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4F34D9" w:rsidRPr="00AC7619" w:rsidRDefault="004F34D9">
      <w:pPr>
        <w:spacing w:line="360" w:lineRule="auto"/>
        <w:jc w:val="center"/>
        <w:rPr>
          <w:rFonts w:ascii="宋体" w:hAnsi="宋体" w:cs="宋体" w:hint="eastAsia"/>
          <w:b/>
          <w:sz w:val="44"/>
          <w:szCs w:val="44"/>
        </w:rPr>
      </w:pPr>
      <w:bookmarkStart w:id="0" w:name="_Hlk529826506"/>
    </w:p>
    <w:p w:rsidR="004F34D9" w:rsidRPr="00123108" w:rsidRDefault="004F34D9">
      <w:pPr>
        <w:spacing w:line="360" w:lineRule="auto"/>
        <w:jc w:val="center"/>
        <w:rPr>
          <w:rFonts w:ascii="宋体" w:hAnsi="宋体" w:cs="宋体" w:hint="eastAsia"/>
          <w:b/>
          <w:sz w:val="44"/>
          <w:szCs w:val="44"/>
        </w:rPr>
      </w:pPr>
      <w:bookmarkStart w:id="1" w:name="OLE_LINK29"/>
      <w:bookmarkStart w:id="2" w:name="OLE_LINK30"/>
      <w:r w:rsidRPr="00123108">
        <w:rPr>
          <w:rFonts w:ascii="宋体" w:hAnsi="宋体" w:hint="eastAsia"/>
          <w:b/>
          <w:bCs/>
          <w:kern w:val="0"/>
          <w:sz w:val="44"/>
          <w:szCs w:val="20"/>
        </w:rPr>
        <w:t>宁波新桥化工有限公司</w:t>
      </w:r>
    </w:p>
    <w:bookmarkEnd w:id="1"/>
    <w:bookmarkEnd w:id="2"/>
    <w:p w:rsidR="004F34D9" w:rsidRPr="00123108" w:rsidRDefault="004F34D9">
      <w:pPr>
        <w:spacing w:line="360" w:lineRule="auto"/>
        <w:jc w:val="center"/>
        <w:rPr>
          <w:rFonts w:ascii="宋体" w:hAnsi="宋体" w:cs="宋体" w:hint="eastAsia"/>
          <w:b/>
          <w:bCs/>
          <w:sz w:val="44"/>
          <w:szCs w:val="44"/>
        </w:rPr>
      </w:pPr>
    </w:p>
    <w:p w:rsidR="004F34D9" w:rsidRPr="00123108" w:rsidRDefault="004F34D9">
      <w:pPr>
        <w:spacing w:line="360" w:lineRule="auto"/>
        <w:jc w:val="center"/>
        <w:rPr>
          <w:rFonts w:ascii="宋体" w:hAnsi="宋体" w:cs="宋体" w:hint="eastAsia"/>
          <w:b/>
          <w:sz w:val="52"/>
          <w:szCs w:val="52"/>
        </w:rPr>
      </w:pPr>
      <w:bookmarkStart w:id="3" w:name="_Toc219518671"/>
      <w:r w:rsidRPr="00123108">
        <w:rPr>
          <w:rFonts w:ascii="黑体" w:eastAsia="黑体" w:hAnsi="宋体" w:hint="eastAsia"/>
          <w:b/>
          <w:bCs/>
          <w:kern w:val="0"/>
          <w:sz w:val="52"/>
          <w:szCs w:val="52"/>
        </w:rPr>
        <w:t>安全现状评价报告</w:t>
      </w:r>
      <w:bookmarkEnd w:id="3"/>
    </w:p>
    <w:p w:rsidR="004F34D9" w:rsidRPr="00123108" w:rsidRDefault="004F34D9">
      <w:pPr>
        <w:spacing w:line="360" w:lineRule="auto"/>
        <w:jc w:val="center"/>
        <w:rPr>
          <w:rFonts w:ascii="宋体" w:hAnsi="宋体" w:cs="宋体" w:hint="eastAsia"/>
          <w:sz w:val="28"/>
          <w:szCs w:val="28"/>
          <w:lang w:val="zh-CN"/>
        </w:rPr>
      </w:pPr>
    </w:p>
    <w:p w:rsidR="004F34D9" w:rsidRPr="00123108" w:rsidRDefault="004F34D9">
      <w:pPr>
        <w:spacing w:line="360" w:lineRule="auto"/>
        <w:jc w:val="center"/>
        <w:rPr>
          <w:rFonts w:ascii="宋体" w:hAnsi="宋体" w:cs="宋体" w:hint="eastAsia"/>
          <w:sz w:val="28"/>
          <w:szCs w:val="28"/>
          <w:lang w:val="zh-CN"/>
        </w:rPr>
      </w:pPr>
    </w:p>
    <w:p w:rsidR="004F34D9" w:rsidRPr="00123108" w:rsidRDefault="004F34D9">
      <w:pPr>
        <w:spacing w:line="360" w:lineRule="auto"/>
        <w:jc w:val="center"/>
        <w:rPr>
          <w:rFonts w:ascii="宋体" w:hAnsi="宋体" w:cs="宋体" w:hint="eastAsia"/>
          <w:sz w:val="28"/>
          <w:szCs w:val="28"/>
          <w:lang w:val="zh-CN"/>
        </w:rPr>
      </w:pPr>
    </w:p>
    <w:p w:rsidR="004F34D9" w:rsidRPr="00123108" w:rsidRDefault="004F34D9">
      <w:pPr>
        <w:spacing w:line="360" w:lineRule="auto"/>
        <w:jc w:val="center"/>
        <w:rPr>
          <w:rFonts w:ascii="宋体" w:hAnsi="宋体" w:cs="宋体" w:hint="eastAsia"/>
          <w:sz w:val="28"/>
          <w:szCs w:val="28"/>
          <w:lang w:val="zh-CN"/>
        </w:rPr>
      </w:pPr>
    </w:p>
    <w:p w:rsidR="004F34D9" w:rsidRPr="00123108" w:rsidRDefault="004F34D9" w:rsidP="00786F28">
      <w:pPr>
        <w:spacing w:line="360" w:lineRule="auto"/>
        <w:ind w:firstLineChars="642" w:firstLine="1798"/>
        <w:rPr>
          <w:rFonts w:ascii="宋体"/>
          <w:kern w:val="0"/>
          <w:sz w:val="28"/>
          <w:szCs w:val="28"/>
        </w:rPr>
      </w:pPr>
      <w:bookmarkStart w:id="4" w:name="_Toc238867462"/>
      <w:bookmarkStart w:id="5" w:name="_Toc225056850"/>
      <w:bookmarkStart w:id="6" w:name="_Toc218914618"/>
      <w:bookmarkStart w:id="7" w:name="_Toc217890968"/>
      <w:bookmarkStart w:id="8" w:name="_Toc236122592"/>
      <w:bookmarkStart w:id="9" w:name="_Toc224442360"/>
      <w:r w:rsidRPr="00123108">
        <w:rPr>
          <w:rFonts w:ascii="宋体" w:hint="eastAsia"/>
          <w:kern w:val="0"/>
          <w:sz w:val="28"/>
          <w:szCs w:val="28"/>
        </w:rPr>
        <w:t>被评价单位主要负责人：田志雨</w:t>
      </w:r>
    </w:p>
    <w:bookmarkEnd w:id="4"/>
    <w:bookmarkEnd w:id="5"/>
    <w:bookmarkEnd w:id="6"/>
    <w:bookmarkEnd w:id="7"/>
    <w:bookmarkEnd w:id="8"/>
    <w:bookmarkEnd w:id="9"/>
    <w:p w:rsidR="004F34D9" w:rsidRPr="00123108" w:rsidRDefault="004F34D9" w:rsidP="00786F28">
      <w:pPr>
        <w:spacing w:line="360" w:lineRule="auto"/>
        <w:ind w:firstLineChars="642" w:firstLine="1798"/>
        <w:rPr>
          <w:rFonts w:ascii="宋体" w:hint="eastAsia"/>
          <w:kern w:val="0"/>
          <w:sz w:val="28"/>
          <w:szCs w:val="28"/>
          <w:lang w:val="zh-CN"/>
        </w:rPr>
      </w:pPr>
      <w:r w:rsidRPr="00123108">
        <w:rPr>
          <w:rFonts w:ascii="宋体" w:hint="eastAsia"/>
          <w:kern w:val="0"/>
          <w:sz w:val="28"/>
          <w:szCs w:val="28"/>
        </w:rPr>
        <w:t>被评价单位经办人：朱振强</w:t>
      </w:r>
    </w:p>
    <w:p w:rsidR="004F34D9" w:rsidRPr="00123108" w:rsidRDefault="004F34D9" w:rsidP="00786F28">
      <w:pPr>
        <w:spacing w:line="360" w:lineRule="auto"/>
        <w:ind w:firstLineChars="642" w:firstLine="1798"/>
        <w:rPr>
          <w:rFonts w:ascii="宋体" w:hint="eastAsia"/>
          <w:kern w:val="0"/>
          <w:sz w:val="28"/>
          <w:szCs w:val="28"/>
        </w:rPr>
      </w:pPr>
      <w:r w:rsidRPr="00123108">
        <w:rPr>
          <w:rFonts w:ascii="宋体" w:hint="eastAsia"/>
          <w:kern w:val="0"/>
          <w:sz w:val="28"/>
          <w:szCs w:val="28"/>
        </w:rPr>
        <w:t>被评价单位联系电话：0574-86446814</w:t>
      </w:r>
    </w:p>
    <w:p w:rsidR="004F34D9" w:rsidRPr="00123108" w:rsidRDefault="004F34D9">
      <w:pPr>
        <w:spacing w:line="360" w:lineRule="auto"/>
        <w:jc w:val="center"/>
        <w:rPr>
          <w:rFonts w:ascii="宋体" w:hAnsi="宋体" w:cs="宋体" w:hint="eastAsia"/>
          <w:b/>
          <w:sz w:val="44"/>
        </w:rPr>
      </w:pPr>
    </w:p>
    <w:p w:rsidR="004F34D9" w:rsidRPr="00123108" w:rsidRDefault="004F34D9">
      <w:pPr>
        <w:spacing w:line="360" w:lineRule="auto"/>
        <w:jc w:val="center"/>
        <w:rPr>
          <w:rFonts w:ascii="宋体" w:hAnsi="宋体" w:cs="宋体" w:hint="eastAsia"/>
          <w:b/>
          <w:sz w:val="44"/>
        </w:rPr>
      </w:pPr>
    </w:p>
    <w:p w:rsidR="004F34D9" w:rsidRPr="00123108" w:rsidRDefault="004F34D9">
      <w:pPr>
        <w:spacing w:line="360" w:lineRule="auto"/>
        <w:jc w:val="center"/>
        <w:rPr>
          <w:rFonts w:ascii="宋体" w:hAnsi="宋体" w:cs="宋体" w:hint="eastAsia"/>
          <w:b/>
          <w:sz w:val="44"/>
        </w:rPr>
      </w:pPr>
    </w:p>
    <w:p w:rsidR="004F34D9" w:rsidRPr="00123108" w:rsidRDefault="004F34D9">
      <w:pPr>
        <w:spacing w:line="360" w:lineRule="auto"/>
        <w:jc w:val="center"/>
        <w:rPr>
          <w:rFonts w:ascii="宋体" w:hAnsi="宋体" w:cs="宋体" w:hint="eastAsia"/>
          <w:b/>
          <w:sz w:val="44"/>
        </w:rPr>
      </w:pPr>
    </w:p>
    <w:p w:rsidR="004F34D9" w:rsidRPr="00123108" w:rsidRDefault="004F34D9">
      <w:pPr>
        <w:spacing w:line="360" w:lineRule="auto"/>
        <w:jc w:val="center"/>
        <w:rPr>
          <w:rFonts w:ascii="宋体" w:hAnsi="宋体" w:cs="宋体" w:hint="eastAsia"/>
          <w:b/>
          <w:sz w:val="44"/>
        </w:rPr>
      </w:pPr>
    </w:p>
    <w:p w:rsidR="004F34D9" w:rsidRPr="00123108" w:rsidRDefault="004F34D9">
      <w:pPr>
        <w:spacing w:line="360" w:lineRule="auto"/>
        <w:jc w:val="center"/>
        <w:rPr>
          <w:rFonts w:ascii="仿宋_GB2312" w:eastAsia="仿宋_GB2312" w:hAnsi="宋体" w:hint="eastAsia"/>
          <w:kern w:val="0"/>
          <w:sz w:val="32"/>
        </w:rPr>
      </w:pPr>
      <w:r w:rsidRPr="00123108">
        <w:rPr>
          <w:rFonts w:ascii="仿宋_GB2312" w:eastAsia="仿宋_GB2312" w:hAnsi="宋体" w:hint="eastAsia"/>
          <w:kern w:val="0"/>
          <w:sz w:val="32"/>
        </w:rPr>
        <w:t>（被评价单位公章）</w:t>
      </w:r>
    </w:p>
    <w:p w:rsidR="004F34D9" w:rsidRPr="00123108" w:rsidRDefault="004F34D9">
      <w:pPr>
        <w:spacing w:line="360" w:lineRule="auto"/>
        <w:jc w:val="center"/>
        <w:rPr>
          <w:rFonts w:ascii="仿宋_GB2312" w:eastAsia="仿宋_GB2312" w:hAnsi="宋体" w:hint="eastAsia"/>
          <w:kern w:val="0"/>
          <w:sz w:val="32"/>
        </w:rPr>
      </w:pPr>
      <w:r w:rsidRPr="00123108">
        <w:rPr>
          <w:rFonts w:ascii="仿宋_GB2312" w:eastAsia="仿宋_GB2312" w:hAnsi="宋体" w:hint="eastAsia"/>
          <w:kern w:val="0"/>
          <w:sz w:val="32"/>
        </w:rPr>
        <w:t>2024年</w:t>
      </w:r>
      <w:r w:rsidR="00B70EF6" w:rsidRPr="00123108">
        <w:rPr>
          <w:rFonts w:ascii="仿宋_GB2312" w:eastAsia="仿宋_GB2312" w:hAnsi="宋体" w:hint="eastAsia"/>
          <w:kern w:val="0"/>
          <w:sz w:val="32"/>
        </w:rPr>
        <w:t>6</w:t>
      </w:r>
      <w:r w:rsidRPr="00123108">
        <w:rPr>
          <w:rFonts w:ascii="仿宋_GB2312" w:eastAsia="仿宋_GB2312" w:hAnsi="宋体" w:hint="eastAsia"/>
          <w:kern w:val="0"/>
          <w:sz w:val="32"/>
        </w:rPr>
        <w:t>月</w:t>
      </w:r>
      <w:r w:rsidR="00DF2C59" w:rsidRPr="00123108">
        <w:rPr>
          <w:rFonts w:ascii="仿宋_GB2312" w:eastAsia="仿宋_GB2312" w:hAnsi="宋体" w:hint="eastAsia"/>
          <w:kern w:val="0"/>
          <w:sz w:val="32"/>
        </w:rPr>
        <w:t>15</w:t>
      </w:r>
      <w:r w:rsidRPr="00123108">
        <w:rPr>
          <w:rFonts w:ascii="仿宋_GB2312" w:eastAsia="仿宋_GB2312" w:hAnsi="宋体" w:hint="eastAsia"/>
          <w:kern w:val="0"/>
          <w:sz w:val="32"/>
        </w:rPr>
        <w:t>日</w:t>
      </w:r>
    </w:p>
    <w:p w:rsidR="004F34D9" w:rsidRPr="00123108" w:rsidRDefault="004F34D9">
      <w:pPr>
        <w:spacing w:line="360" w:lineRule="auto"/>
        <w:jc w:val="center"/>
        <w:rPr>
          <w:rFonts w:ascii="仿宋_GB2312" w:eastAsia="仿宋_GB2312" w:hAnsi="宋体" w:hint="eastAsia"/>
          <w:kern w:val="0"/>
          <w:sz w:val="32"/>
        </w:rPr>
        <w:sectPr w:rsidR="004F34D9" w:rsidRPr="00123108">
          <w:headerReference w:type="default" r:id="rId7"/>
          <w:type w:val="nextColumn"/>
          <w:pgSz w:w="11907" w:h="16840"/>
          <w:pgMar w:top="1418" w:right="1134" w:bottom="1134" w:left="1588" w:header="851" w:footer="992" w:gutter="0"/>
          <w:paperSrc w:first="7" w:other="7"/>
          <w:pgNumType w:fmt="upperRoman" w:start="1"/>
          <w:cols w:space="720"/>
          <w:docGrid w:linePitch="437" w:charSpace="4301"/>
        </w:sectPr>
      </w:pPr>
    </w:p>
    <w:p w:rsidR="004F34D9" w:rsidRPr="00123108" w:rsidRDefault="004F34D9">
      <w:pPr>
        <w:widowControl/>
        <w:spacing w:line="360" w:lineRule="auto"/>
        <w:jc w:val="center"/>
        <w:rPr>
          <w:rFonts w:ascii="宋体" w:hAnsi="宋体" w:cs="宋体" w:hint="eastAsia"/>
          <w:kern w:val="0"/>
          <w:sz w:val="32"/>
        </w:rPr>
        <w:sectPr w:rsidR="004F34D9" w:rsidRPr="00123108">
          <w:type w:val="nextColumn"/>
          <w:pgSz w:w="11907" w:h="16840"/>
          <w:pgMar w:top="1418" w:right="1134" w:bottom="1134" w:left="1588" w:header="851" w:footer="992" w:gutter="0"/>
          <w:paperSrc w:first="7" w:other="7"/>
          <w:pgNumType w:fmt="upperRoman" w:start="1"/>
          <w:cols w:space="720"/>
          <w:docGrid w:linePitch="437" w:charSpace="4301"/>
        </w:sectPr>
      </w:pPr>
    </w:p>
    <w:p w:rsidR="004F34D9" w:rsidRPr="00123108" w:rsidRDefault="004F34D9">
      <w:pPr>
        <w:pStyle w:val="1fff"/>
        <w:ind w:right="160"/>
        <w:jc w:val="left"/>
        <w:outlineLvl w:val="0"/>
        <w:rPr>
          <w:rFonts w:ascii="宋体" w:hAnsi="宋体" w:cs="宋体"/>
          <w:b w:val="0"/>
          <w:kern w:val="0"/>
          <w:szCs w:val="32"/>
        </w:rPr>
      </w:pPr>
      <w:bookmarkStart w:id="10" w:name="_Toc8636"/>
      <w:bookmarkStart w:id="11" w:name="_Toc6882"/>
      <w:bookmarkStart w:id="12" w:name="_Toc19823"/>
      <w:bookmarkStart w:id="13" w:name="_Toc25978"/>
      <w:bookmarkStart w:id="14" w:name="_Toc6762"/>
      <w:bookmarkStart w:id="15" w:name="_Toc17218"/>
      <w:bookmarkStart w:id="16" w:name="_Toc2453"/>
      <w:bookmarkStart w:id="17" w:name="_Toc2555"/>
      <w:bookmarkStart w:id="18" w:name="_Toc26616"/>
      <w:bookmarkStart w:id="19" w:name="_Toc32313"/>
      <w:bookmarkStart w:id="20" w:name="_Toc12840"/>
      <w:bookmarkStart w:id="21" w:name="_Toc24515"/>
      <w:bookmarkStart w:id="22" w:name="_Toc29787"/>
      <w:bookmarkStart w:id="23" w:name="_Toc164412629"/>
      <w:bookmarkStart w:id="24" w:name="_Toc190935715"/>
      <w:r w:rsidRPr="00123108">
        <w:rPr>
          <w:rFonts w:ascii="宋体" w:hAnsi="宋体" w:cs="宋体" w:hint="eastAsia"/>
          <w:b w:val="0"/>
          <w:kern w:val="0"/>
          <w:szCs w:val="32"/>
        </w:rPr>
        <w:lastRenderedPageBreak/>
        <w:t>编号：</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4F34D9" w:rsidRPr="00123108" w:rsidRDefault="004F34D9">
      <w:pPr>
        <w:spacing w:line="360" w:lineRule="auto"/>
        <w:jc w:val="center"/>
        <w:rPr>
          <w:rFonts w:ascii="宋体" w:hAnsi="宋体" w:cs="宋体" w:hint="eastAsia"/>
          <w:b/>
          <w:bCs/>
          <w:sz w:val="32"/>
          <w:szCs w:val="32"/>
        </w:rPr>
      </w:pPr>
    </w:p>
    <w:p w:rsidR="004F34D9" w:rsidRPr="00123108" w:rsidRDefault="004F34D9">
      <w:pPr>
        <w:pStyle w:val="af2"/>
        <w:rPr>
          <w:rFonts w:ascii="宋体" w:hAnsi="宋体" w:cs="宋体" w:hint="eastAsia"/>
        </w:rPr>
      </w:pPr>
    </w:p>
    <w:p w:rsidR="004F34D9" w:rsidRPr="00123108" w:rsidRDefault="004F34D9">
      <w:pPr>
        <w:spacing w:line="360" w:lineRule="auto"/>
        <w:jc w:val="center"/>
        <w:rPr>
          <w:rFonts w:ascii="宋体" w:hAnsi="宋体" w:cs="宋体" w:hint="eastAsia"/>
          <w:b/>
          <w:bCs/>
          <w:sz w:val="32"/>
          <w:szCs w:val="32"/>
        </w:rPr>
      </w:pPr>
      <w:r w:rsidRPr="00123108">
        <w:rPr>
          <w:rFonts w:ascii="宋体" w:hAnsi="宋体" w:hint="eastAsia"/>
          <w:b/>
          <w:bCs/>
          <w:kern w:val="0"/>
          <w:sz w:val="32"/>
          <w:szCs w:val="32"/>
        </w:rPr>
        <w:t>宁波新桥化工有限公司</w:t>
      </w:r>
    </w:p>
    <w:p w:rsidR="004F34D9" w:rsidRPr="00123108" w:rsidRDefault="004F34D9">
      <w:pPr>
        <w:spacing w:line="360" w:lineRule="auto"/>
        <w:jc w:val="center"/>
        <w:rPr>
          <w:rFonts w:ascii="宋体" w:hAnsi="宋体" w:cs="宋体" w:hint="eastAsia"/>
          <w:b/>
          <w:sz w:val="40"/>
          <w:szCs w:val="44"/>
        </w:rPr>
      </w:pPr>
    </w:p>
    <w:p w:rsidR="004F34D9" w:rsidRPr="00123108" w:rsidRDefault="004F34D9">
      <w:pPr>
        <w:spacing w:line="360" w:lineRule="auto"/>
        <w:jc w:val="center"/>
        <w:rPr>
          <w:rFonts w:ascii="宋体" w:hAnsi="宋体" w:cs="宋体" w:hint="eastAsia"/>
          <w:b/>
          <w:sz w:val="44"/>
          <w:szCs w:val="44"/>
        </w:rPr>
      </w:pPr>
      <w:r w:rsidRPr="00123108">
        <w:rPr>
          <w:rFonts w:ascii="宋体" w:hAnsi="宋体" w:hint="eastAsia"/>
          <w:b/>
          <w:bCs/>
          <w:kern w:val="0"/>
          <w:sz w:val="44"/>
          <w:szCs w:val="44"/>
        </w:rPr>
        <w:t>安全现状评价报告</w:t>
      </w:r>
    </w:p>
    <w:p w:rsidR="004F34D9" w:rsidRPr="00123108" w:rsidRDefault="004F34D9">
      <w:pPr>
        <w:autoSpaceDE w:val="0"/>
        <w:autoSpaceDN w:val="0"/>
        <w:adjustRightInd w:val="0"/>
        <w:spacing w:line="360" w:lineRule="auto"/>
        <w:jc w:val="center"/>
        <w:rPr>
          <w:rFonts w:ascii="宋体" w:hAnsi="宋体" w:cs="宋体" w:hint="eastAsia"/>
          <w:b/>
          <w:sz w:val="32"/>
          <w:szCs w:val="32"/>
          <w:lang w:val="zh-CN"/>
        </w:rPr>
      </w:pPr>
      <w:bookmarkStart w:id="25" w:name="_Toc245793019"/>
      <w:bookmarkStart w:id="26" w:name="_Toc236122594"/>
      <w:bookmarkStart w:id="27" w:name="_Toc218914620"/>
      <w:bookmarkStart w:id="28" w:name="_Toc225056852"/>
      <w:bookmarkStart w:id="29" w:name="_Toc245793320"/>
      <w:bookmarkStart w:id="30" w:name="_Toc224442362"/>
      <w:bookmarkStart w:id="31" w:name="_Toc238867464"/>
      <w:bookmarkStart w:id="32" w:name="_Toc217890970"/>
    </w:p>
    <w:p w:rsidR="004F34D9" w:rsidRPr="00123108" w:rsidRDefault="004F34D9">
      <w:pPr>
        <w:spacing w:line="360" w:lineRule="auto"/>
        <w:ind w:firstLineChars="700" w:firstLine="1960"/>
        <w:rPr>
          <w:rFonts w:ascii="宋体" w:hint="eastAsia"/>
          <w:sz w:val="28"/>
          <w:szCs w:val="28"/>
        </w:rPr>
      </w:pPr>
      <w:bookmarkStart w:id="33" w:name="_Toc320083086"/>
      <w:bookmarkStart w:id="34" w:name="_Toc275258533"/>
      <w:bookmarkStart w:id="35" w:name="_Toc375386749"/>
      <w:bookmarkStart w:id="36" w:name="_Toc440528794"/>
      <w:bookmarkStart w:id="37" w:name="_Toc275257837"/>
      <w:bookmarkStart w:id="38" w:name="_Toc375401867"/>
      <w:bookmarkStart w:id="39" w:name="_Toc375734004"/>
      <w:bookmarkStart w:id="40" w:name="_Toc450736968"/>
      <w:bookmarkStart w:id="41" w:name="_Toc275258274"/>
      <w:bookmarkStart w:id="42" w:name="_Toc272406936"/>
      <w:bookmarkStart w:id="43" w:name="_Toc453678583"/>
      <w:bookmarkStart w:id="44" w:name="_Toc450915580"/>
      <w:bookmarkStart w:id="45" w:name="_Toc357155830"/>
      <w:bookmarkEnd w:id="25"/>
      <w:bookmarkEnd w:id="26"/>
      <w:bookmarkEnd w:id="27"/>
      <w:bookmarkEnd w:id="28"/>
      <w:bookmarkEnd w:id="29"/>
      <w:bookmarkEnd w:id="30"/>
      <w:bookmarkEnd w:id="31"/>
      <w:bookmarkEnd w:id="32"/>
      <w:r w:rsidRPr="00123108">
        <w:rPr>
          <w:rFonts w:ascii="宋体" w:hint="eastAsia"/>
          <w:sz w:val="28"/>
          <w:szCs w:val="28"/>
        </w:rPr>
        <w:t>评价机构名称：</w:t>
      </w:r>
      <w:bookmarkEnd w:id="33"/>
      <w:bookmarkEnd w:id="34"/>
      <w:bookmarkEnd w:id="35"/>
      <w:bookmarkEnd w:id="36"/>
      <w:bookmarkEnd w:id="37"/>
      <w:bookmarkEnd w:id="38"/>
      <w:bookmarkEnd w:id="39"/>
      <w:bookmarkEnd w:id="40"/>
      <w:bookmarkEnd w:id="41"/>
      <w:bookmarkEnd w:id="42"/>
      <w:bookmarkEnd w:id="43"/>
      <w:bookmarkEnd w:id="44"/>
      <w:bookmarkEnd w:id="45"/>
      <w:r w:rsidRPr="00123108">
        <w:rPr>
          <w:rFonts w:ascii="宋体" w:hint="eastAsia"/>
          <w:sz w:val="28"/>
          <w:szCs w:val="28"/>
        </w:rPr>
        <w:t>山东实华安全技术有限公司</w:t>
      </w:r>
    </w:p>
    <w:p w:rsidR="004F34D9" w:rsidRPr="00123108" w:rsidRDefault="004F34D9">
      <w:pPr>
        <w:spacing w:line="360" w:lineRule="auto"/>
        <w:ind w:firstLineChars="700" w:firstLine="1960"/>
        <w:rPr>
          <w:rFonts w:ascii="宋体"/>
          <w:sz w:val="28"/>
          <w:szCs w:val="28"/>
        </w:rPr>
      </w:pPr>
      <w:r w:rsidRPr="00123108">
        <w:rPr>
          <w:rFonts w:ascii="宋体" w:hint="eastAsia"/>
          <w:sz w:val="28"/>
          <w:szCs w:val="28"/>
        </w:rPr>
        <w:t>资质证书编号：APJ-（鲁）-013</w:t>
      </w:r>
    </w:p>
    <w:p w:rsidR="004F34D9" w:rsidRPr="00123108" w:rsidRDefault="004F34D9">
      <w:pPr>
        <w:spacing w:line="360" w:lineRule="auto"/>
        <w:ind w:firstLineChars="700" w:firstLine="1960"/>
        <w:rPr>
          <w:rFonts w:ascii="宋体"/>
          <w:sz w:val="28"/>
          <w:szCs w:val="28"/>
        </w:rPr>
      </w:pPr>
      <w:r w:rsidRPr="00123108">
        <w:rPr>
          <w:rFonts w:ascii="宋体" w:hint="eastAsia"/>
          <w:sz w:val="28"/>
          <w:szCs w:val="28"/>
        </w:rPr>
        <w:t>法定代表人：任红艳</w:t>
      </w:r>
    </w:p>
    <w:p w:rsidR="004F34D9" w:rsidRPr="00123108" w:rsidRDefault="004F34D9">
      <w:pPr>
        <w:spacing w:line="360" w:lineRule="auto"/>
        <w:ind w:firstLineChars="700" w:firstLine="1960"/>
        <w:rPr>
          <w:rFonts w:ascii="宋体" w:hint="eastAsia"/>
          <w:sz w:val="28"/>
          <w:szCs w:val="28"/>
        </w:rPr>
      </w:pPr>
      <w:r w:rsidRPr="00123108">
        <w:rPr>
          <w:rFonts w:ascii="宋体" w:hint="eastAsia"/>
          <w:sz w:val="28"/>
          <w:szCs w:val="28"/>
        </w:rPr>
        <w:t>审核定稿人：吴佳东</w:t>
      </w:r>
    </w:p>
    <w:p w:rsidR="004F34D9" w:rsidRPr="00123108" w:rsidRDefault="004F34D9">
      <w:pPr>
        <w:spacing w:line="360" w:lineRule="auto"/>
        <w:ind w:firstLineChars="700" w:firstLine="1960"/>
        <w:rPr>
          <w:rFonts w:ascii="宋体"/>
          <w:sz w:val="28"/>
          <w:szCs w:val="28"/>
        </w:rPr>
      </w:pPr>
      <w:bookmarkStart w:id="46" w:name="_Toc375734005"/>
      <w:bookmarkStart w:id="47" w:name="_Toc450736969"/>
      <w:bookmarkStart w:id="48" w:name="_Toc275258275"/>
      <w:bookmarkStart w:id="49" w:name="_Toc267238482"/>
      <w:bookmarkStart w:id="50" w:name="_Toc272406937"/>
      <w:bookmarkStart w:id="51" w:name="_Toc440528795"/>
      <w:bookmarkStart w:id="52" w:name="_Toc275257838"/>
      <w:bookmarkStart w:id="53" w:name="_Toc357155831"/>
      <w:bookmarkStart w:id="54" w:name="_Toc375386750"/>
      <w:bookmarkStart w:id="55" w:name="_Toc450915581"/>
      <w:bookmarkStart w:id="56" w:name="_Toc320083087"/>
      <w:bookmarkStart w:id="57" w:name="_Toc453678584"/>
      <w:bookmarkStart w:id="58" w:name="_Toc275258534"/>
      <w:bookmarkStart w:id="59" w:name="_Toc375401868"/>
      <w:bookmarkStart w:id="60" w:name="_Toc271555808"/>
      <w:r w:rsidRPr="00123108">
        <w:rPr>
          <w:rFonts w:ascii="宋体" w:hint="eastAsia"/>
          <w:sz w:val="28"/>
          <w:szCs w:val="28"/>
        </w:rPr>
        <w:t>评价负责人：</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123108">
        <w:rPr>
          <w:rFonts w:ascii="宋体" w:hint="eastAsia"/>
          <w:sz w:val="28"/>
          <w:szCs w:val="28"/>
        </w:rPr>
        <w:t>朱行郎</w:t>
      </w:r>
    </w:p>
    <w:p w:rsidR="004F34D9" w:rsidRPr="00123108" w:rsidRDefault="004F34D9" w:rsidP="00786F28">
      <w:pPr>
        <w:autoSpaceDE w:val="0"/>
        <w:autoSpaceDN w:val="0"/>
        <w:adjustRightInd w:val="0"/>
        <w:spacing w:line="360" w:lineRule="auto"/>
        <w:ind w:firstLineChars="771" w:firstLine="2159"/>
        <w:rPr>
          <w:rFonts w:ascii="宋体" w:hAnsi="宋体" w:cs="宋体" w:hint="eastAsia"/>
          <w:sz w:val="28"/>
          <w:szCs w:val="28"/>
          <w:lang w:val="zh-CN"/>
        </w:rPr>
      </w:pPr>
    </w:p>
    <w:p w:rsidR="004F34D9" w:rsidRPr="00123108" w:rsidRDefault="004F34D9">
      <w:pPr>
        <w:widowControl/>
        <w:spacing w:line="360" w:lineRule="auto"/>
        <w:rPr>
          <w:rFonts w:ascii="宋体" w:hAnsi="宋体" w:cs="宋体" w:hint="eastAsia"/>
          <w:sz w:val="28"/>
          <w:szCs w:val="28"/>
          <w:lang w:val="zh-CN"/>
        </w:rPr>
      </w:pPr>
    </w:p>
    <w:p w:rsidR="004F34D9" w:rsidRPr="00123108" w:rsidRDefault="004F34D9">
      <w:pPr>
        <w:widowControl/>
        <w:spacing w:line="360" w:lineRule="auto"/>
        <w:rPr>
          <w:rFonts w:ascii="宋体" w:hAnsi="宋体" w:cs="宋体" w:hint="eastAsia"/>
          <w:sz w:val="28"/>
          <w:szCs w:val="28"/>
          <w:lang w:val="zh-CN"/>
        </w:rPr>
      </w:pPr>
    </w:p>
    <w:p w:rsidR="004F34D9" w:rsidRPr="00123108" w:rsidRDefault="004F34D9">
      <w:pPr>
        <w:widowControl/>
        <w:spacing w:line="360" w:lineRule="auto"/>
        <w:rPr>
          <w:rFonts w:ascii="宋体" w:hAnsi="宋体" w:cs="宋体" w:hint="eastAsia"/>
          <w:sz w:val="28"/>
          <w:szCs w:val="28"/>
          <w:lang w:val="zh-CN"/>
        </w:rPr>
      </w:pPr>
    </w:p>
    <w:p w:rsidR="004F34D9" w:rsidRPr="00123108" w:rsidRDefault="004F34D9">
      <w:pPr>
        <w:widowControl/>
        <w:spacing w:line="360" w:lineRule="auto"/>
        <w:rPr>
          <w:rFonts w:ascii="宋体" w:hAnsi="宋体" w:cs="宋体" w:hint="eastAsia"/>
          <w:sz w:val="28"/>
          <w:szCs w:val="28"/>
          <w:lang w:val="zh-CN"/>
        </w:rPr>
      </w:pPr>
    </w:p>
    <w:p w:rsidR="004F34D9" w:rsidRPr="00123108" w:rsidRDefault="004F34D9">
      <w:pPr>
        <w:widowControl/>
        <w:spacing w:line="360" w:lineRule="auto"/>
        <w:rPr>
          <w:rFonts w:ascii="宋体" w:hAnsi="宋体" w:cs="宋体" w:hint="eastAsia"/>
          <w:sz w:val="28"/>
          <w:szCs w:val="28"/>
          <w:lang w:val="zh-CN"/>
        </w:rPr>
      </w:pPr>
    </w:p>
    <w:p w:rsidR="004F34D9" w:rsidRPr="00123108" w:rsidRDefault="004F34D9">
      <w:pPr>
        <w:widowControl/>
        <w:spacing w:line="360" w:lineRule="auto"/>
        <w:rPr>
          <w:rFonts w:ascii="宋体" w:hAnsi="宋体" w:cs="宋体" w:hint="eastAsia"/>
          <w:sz w:val="28"/>
          <w:szCs w:val="28"/>
          <w:lang w:val="zh-CN"/>
        </w:rPr>
      </w:pPr>
    </w:p>
    <w:p w:rsidR="004F34D9" w:rsidRPr="00123108" w:rsidRDefault="004F34D9">
      <w:pPr>
        <w:widowControl/>
        <w:spacing w:line="360" w:lineRule="auto"/>
        <w:rPr>
          <w:rFonts w:ascii="宋体" w:hAnsi="宋体" w:cs="宋体" w:hint="eastAsia"/>
          <w:sz w:val="28"/>
          <w:szCs w:val="28"/>
          <w:lang w:val="zh-CN"/>
        </w:rPr>
      </w:pPr>
    </w:p>
    <w:p w:rsidR="004F34D9" w:rsidRPr="00123108" w:rsidRDefault="004F34D9">
      <w:pPr>
        <w:widowControl/>
        <w:spacing w:line="360" w:lineRule="auto"/>
        <w:rPr>
          <w:rFonts w:ascii="宋体" w:hAnsi="宋体" w:cs="宋体" w:hint="eastAsia"/>
          <w:sz w:val="28"/>
          <w:szCs w:val="28"/>
          <w:lang w:val="zh-CN"/>
        </w:rPr>
      </w:pPr>
    </w:p>
    <w:p w:rsidR="004F34D9" w:rsidRPr="00123108" w:rsidRDefault="004F34D9">
      <w:pPr>
        <w:spacing w:line="360" w:lineRule="auto"/>
        <w:jc w:val="center"/>
        <w:rPr>
          <w:rFonts w:ascii="仿宋_GB2312" w:eastAsia="仿宋_GB2312" w:hint="eastAsia"/>
          <w:sz w:val="32"/>
        </w:rPr>
      </w:pPr>
      <w:r w:rsidRPr="00123108">
        <w:rPr>
          <w:rFonts w:ascii="仿宋_GB2312" w:eastAsia="仿宋_GB2312" w:hint="eastAsia"/>
          <w:sz w:val="32"/>
        </w:rPr>
        <w:t>（安全评价机构公章）</w:t>
      </w:r>
    </w:p>
    <w:p w:rsidR="004F34D9" w:rsidRPr="00123108" w:rsidRDefault="004F34D9">
      <w:pPr>
        <w:spacing w:line="360" w:lineRule="auto"/>
        <w:jc w:val="center"/>
        <w:rPr>
          <w:rFonts w:ascii="仿宋_GB2312" w:eastAsia="仿宋_GB2312" w:hAnsi="宋体" w:hint="eastAsia"/>
          <w:kern w:val="0"/>
          <w:sz w:val="32"/>
        </w:rPr>
      </w:pPr>
      <w:r w:rsidRPr="00123108">
        <w:rPr>
          <w:rFonts w:ascii="仿宋_GB2312" w:eastAsia="仿宋_GB2312" w:hAnsi="宋体" w:hint="eastAsia"/>
          <w:kern w:val="0"/>
          <w:sz w:val="32"/>
        </w:rPr>
        <w:t>2024年</w:t>
      </w:r>
      <w:r w:rsidR="00B70EF6" w:rsidRPr="00123108">
        <w:rPr>
          <w:rFonts w:ascii="仿宋_GB2312" w:eastAsia="仿宋_GB2312" w:hAnsi="宋体" w:hint="eastAsia"/>
          <w:kern w:val="0"/>
          <w:sz w:val="32"/>
        </w:rPr>
        <w:t>6</w:t>
      </w:r>
      <w:r w:rsidRPr="00123108">
        <w:rPr>
          <w:rFonts w:ascii="仿宋_GB2312" w:eastAsia="仿宋_GB2312" w:hAnsi="宋体" w:hint="eastAsia"/>
          <w:kern w:val="0"/>
          <w:sz w:val="32"/>
        </w:rPr>
        <w:t>月</w:t>
      </w:r>
      <w:r w:rsidR="00DF2C59" w:rsidRPr="00123108">
        <w:rPr>
          <w:rFonts w:ascii="仿宋_GB2312" w:eastAsia="仿宋_GB2312" w:hAnsi="宋体" w:hint="eastAsia"/>
          <w:kern w:val="0"/>
          <w:sz w:val="32"/>
        </w:rPr>
        <w:t>15</w:t>
      </w:r>
      <w:r w:rsidRPr="00123108">
        <w:rPr>
          <w:rFonts w:ascii="仿宋_GB2312" w:eastAsia="仿宋_GB2312" w:hAnsi="宋体" w:hint="eastAsia"/>
          <w:kern w:val="0"/>
          <w:sz w:val="32"/>
        </w:rPr>
        <w:t>日</w:t>
      </w:r>
    </w:p>
    <w:p w:rsidR="004F34D9" w:rsidRPr="00123108" w:rsidRDefault="004F34D9">
      <w:pPr>
        <w:widowControl/>
        <w:spacing w:line="360" w:lineRule="auto"/>
        <w:jc w:val="center"/>
        <w:rPr>
          <w:rFonts w:ascii="宋体" w:hAnsi="宋体" w:cs="宋体" w:hint="eastAsia"/>
          <w:b/>
          <w:sz w:val="28"/>
          <w:szCs w:val="28"/>
        </w:rPr>
      </w:pPr>
    </w:p>
    <w:bookmarkEnd w:id="0"/>
    <w:p w:rsidR="004F34D9" w:rsidRPr="00123108" w:rsidRDefault="004F34D9">
      <w:pPr>
        <w:spacing w:line="360" w:lineRule="auto"/>
        <w:jc w:val="center"/>
        <w:outlineLvl w:val="0"/>
        <w:rPr>
          <w:rFonts w:ascii="宋体" w:hAnsi="宋体" w:cs="宋体" w:hint="eastAsia"/>
          <w:b/>
          <w:sz w:val="36"/>
        </w:rPr>
        <w:sectPr w:rsidR="004F34D9" w:rsidRPr="00123108">
          <w:type w:val="nextColumn"/>
          <w:pgSz w:w="11907" w:h="16840"/>
          <w:pgMar w:top="1418" w:right="1134" w:bottom="1134" w:left="1588" w:header="851" w:footer="992" w:gutter="0"/>
          <w:paperSrc w:first="7" w:other="7"/>
          <w:pgNumType w:fmt="upperRoman" w:start="1"/>
          <w:cols w:space="720"/>
          <w:docGrid w:linePitch="437" w:charSpace="4301"/>
        </w:sectPr>
      </w:pPr>
    </w:p>
    <w:p w:rsidR="004F34D9" w:rsidRPr="00123108" w:rsidRDefault="004F34D9">
      <w:pPr>
        <w:spacing w:line="360" w:lineRule="auto"/>
        <w:jc w:val="center"/>
        <w:outlineLvl w:val="0"/>
        <w:rPr>
          <w:rFonts w:ascii="宋体" w:hAnsi="宋体" w:cs="宋体" w:hint="eastAsia"/>
          <w:b/>
          <w:sz w:val="36"/>
        </w:rPr>
        <w:sectPr w:rsidR="004F34D9" w:rsidRPr="00123108">
          <w:type w:val="nextColumn"/>
          <w:pgSz w:w="11907" w:h="16840"/>
          <w:pgMar w:top="1418" w:right="1134" w:bottom="1134" w:left="1588" w:header="851" w:footer="992" w:gutter="0"/>
          <w:paperSrc w:first="7" w:other="7"/>
          <w:pgNumType w:fmt="upperRoman" w:start="1"/>
          <w:cols w:space="720"/>
          <w:docGrid w:linePitch="437" w:charSpace="4301"/>
        </w:sectPr>
      </w:pPr>
    </w:p>
    <w:p w:rsidR="004F34D9" w:rsidRPr="00123108" w:rsidRDefault="004F34D9">
      <w:pPr>
        <w:pStyle w:val="affffff"/>
        <w:rPr>
          <w:rFonts w:ascii="宋体" w:hAnsi="宋体" w:cs="宋体" w:hint="eastAsia"/>
        </w:rPr>
      </w:pPr>
      <w:r w:rsidRPr="00123108">
        <w:rPr>
          <w:rFonts w:ascii="宋体" w:hAnsi="宋体" w:cs="宋体" w:hint="eastAsia"/>
        </w:rPr>
        <w:lastRenderedPageBreak/>
        <w:t>宁波新桥化工有限公司</w:t>
      </w:r>
    </w:p>
    <w:p w:rsidR="004F34D9" w:rsidRPr="00123108" w:rsidRDefault="004F34D9">
      <w:pPr>
        <w:pStyle w:val="affffff"/>
        <w:rPr>
          <w:rFonts w:ascii="宋体" w:hAnsi="宋体" w:cs="宋体" w:hint="eastAsia"/>
        </w:rPr>
      </w:pPr>
      <w:r w:rsidRPr="00123108">
        <w:rPr>
          <w:rFonts w:ascii="宋体" w:hAnsi="宋体" w:cs="宋体" w:hint="eastAsia"/>
        </w:rPr>
        <w:t>安全现状评价人员</w:t>
      </w:r>
    </w:p>
    <w:tbl>
      <w:tblPr>
        <w:tblW w:w="495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5"/>
        <w:gridCol w:w="1041"/>
        <w:gridCol w:w="1267"/>
        <w:gridCol w:w="3144"/>
        <w:gridCol w:w="1091"/>
        <w:gridCol w:w="1395"/>
      </w:tblGrid>
      <w:tr w:rsidR="004F34D9" w:rsidRPr="00123108">
        <w:trPr>
          <w:trHeight w:val="907"/>
          <w:jc w:val="center"/>
        </w:trPr>
        <w:tc>
          <w:tcPr>
            <w:tcW w:w="1171"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项目组</w:t>
            </w:r>
          </w:p>
        </w:tc>
        <w:tc>
          <w:tcPr>
            <w:tcW w:w="1065"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姓  名</w:t>
            </w:r>
          </w:p>
        </w:tc>
        <w:tc>
          <w:tcPr>
            <w:tcW w:w="1297"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专  业</w:t>
            </w:r>
          </w:p>
        </w:tc>
        <w:tc>
          <w:tcPr>
            <w:tcW w:w="3229"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资格证书号</w:t>
            </w:r>
          </w:p>
        </w:tc>
        <w:tc>
          <w:tcPr>
            <w:tcW w:w="1116"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从业登记编号</w:t>
            </w:r>
          </w:p>
        </w:tc>
        <w:tc>
          <w:tcPr>
            <w:tcW w:w="1429"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签  字</w:t>
            </w:r>
          </w:p>
        </w:tc>
      </w:tr>
      <w:tr w:rsidR="004F34D9" w:rsidRPr="00123108">
        <w:trPr>
          <w:trHeight w:val="907"/>
          <w:jc w:val="center"/>
        </w:trPr>
        <w:tc>
          <w:tcPr>
            <w:tcW w:w="1171"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项目负责人</w:t>
            </w:r>
          </w:p>
        </w:tc>
        <w:tc>
          <w:tcPr>
            <w:tcW w:w="1065"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朱行郎</w:t>
            </w:r>
          </w:p>
        </w:tc>
        <w:tc>
          <w:tcPr>
            <w:tcW w:w="1297"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化工机械</w:t>
            </w:r>
          </w:p>
        </w:tc>
        <w:tc>
          <w:tcPr>
            <w:tcW w:w="3229"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0800000000101508</w:t>
            </w:r>
          </w:p>
        </w:tc>
        <w:tc>
          <w:tcPr>
            <w:tcW w:w="1116"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002206</w:t>
            </w:r>
          </w:p>
        </w:tc>
        <w:tc>
          <w:tcPr>
            <w:tcW w:w="1429" w:type="dxa"/>
            <w:vAlign w:val="center"/>
          </w:tcPr>
          <w:p w:rsidR="004F34D9" w:rsidRPr="00123108" w:rsidRDefault="004F34D9">
            <w:pPr>
              <w:jc w:val="center"/>
              <w:rPr>
                <w:rFonts w:ascii="宋体" w:hAnsi="宋体" w:cs="宋体" w:hint="eastAsia"/>
                <w:sz w:val="24"/>
              </w:rPr>
            </w:pPr>
          </w:p>
        </w:tc>
      </w:tr>
      <w:tr w:rsidR="004F34D9" w:rsidRPr="00123108">
        <w:trPr>
          <w:trHeight w:val="907"/>
          <w:jc w:val="center"/>
        </w:trPr>
        <w:tc>
          <w:tcPr>
            <w:tcW w:w="1171" w:type="dxa"/>
            <w:vMerge w:val="restart"/>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项目组成员</w:t>
            </w:r>
          </w:p>
        </w:tc>
        <w:tc>
          <w:tcPr>
            <w:tcW w:w="1065" w:type="dxa"/>
            <w:vAlign w:val="center"/>
          </w:tcPr>
          <w:p w:rsidR="004F34D9" w:rsidRPr="00123108" w:rsidRDefault="004F34D9">
            <w:pPr>
              <w:jc w:val="center"/>
              <w:rPr>
                <w:rFonts w:ascii="宋体" w:hAnsi="宋体" w:cs="宋体" w:hint="eastAsia"/>
                <w:sz w:val="24"/>
              </w:rPr>
            </w:pPr>
            <w:bookmarkStart w:id="61" w:name="OLE_LINK35"/>
            <w:r w:rsidRPr="00123108">
              <w:rPr>
                <w:rFonts w:ascii="宋体" w:hAnsi="宋体" w:cs="宋体" w:hint="eastAsia"/>
                <w:sz w:val="24"/>
              </w:rPr>
              <w:t>徐东平</w:t>
            </w:r>
            <w:bookmarkEnd w:id="61"/>
          </w:p>
        </w:tc>
        <w:tc>
          <w:tcPr>
            <w:tcW w:w="1297"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化工工艺</w:t>
            </w:r>
          </w:p>
        </w:tc>
        <w:tc>
          <w:tcPr>
            <w:tcW w:w="3229" w:type="dxa"/>
            <w:vAlign w:val="center"/>
          </w:tcPr>
          <w:p w:rsidR="004F34D9" w:rsidRPr="00123108" w:rsidRDefault="004F34D9">
            <w:pPr>
              <w:adjustRightInd w:val="0"/>
              <w:jc w:val="center"/>
              <w:rPr>
                <w:rFonts w:ascii="宋体" w:hAnsi="宋体"/>
                <w:kern w:val="0"/>
                <w:sz w:val="24"/>
              </w:rPr>
            </w:pPr>
            <w:r w:rsidRPr="00123108">
              <w:rPr>
                <w:rFonts w:ascii="宋体" w:hAnsi="宋体" w:hint="eastAsia"/>
                <w:kern w:val="0"/>
                <w:sz w:val="24"/>
              </w:rPr>
              <w:t>S011032000110192001225</w:t>
            </w:r>
          </w:p>
        </w:tc>
        <w:tc>
          <w:tcPr>
            <w:tcW w:w="1116" w:type="dxa"/>
            <w:vAlign w:val="center"/>
          </w:tcPr>
          <w:p w:rsidR="004F34D9" w:rsidRPr="00123108" w:rsidRDefault="004F34D9">
            <w:pPr>
              <w:adjustRightInd w:val="0"/>
              <w:jc w:val="center"/>
              <w:rPr>
                <w:rFonts w:ascii="宋体" w:hAnsi="宋体"/>
                <w:kern w:val="0"/>
                <w:sz w:val="24"/>
              </w:rPr>
            </w:pPr>
            <w:r w:rsidRPr="00123108">
              <w:rPr>
                <w:rFonts w:ascii="宋体" w:hAnsi="宋体"/>
                <w:kern w:val="0"/>
                <w:sz w:val="24"/>
              </w:rPr>
              <w:t>015435</w:t>
            </w:r>
          </w:p>
        </w:tc>
        <w:tc>
          <w:tcPr>
            <w:tcW w:w="1429" w:type="dxa"/>
            <w:vAlign w:val="center"/>
          </w:tcPr>
          <w:p w:rsidR="004F34D9" w:rsidRPr="00123108" w:rsidRDefault="004F34D9">
            <w:pPr>
              <w:jc w:val="center"/>
              <w:rPr>
                <w:rFonts w:ascii="宋体" w:hAnsi="宋体" w:cs="宋体" w:hint="eastAsia"/>
                <w:sz w:val="24"/>
              </w:rPr>
            </w:pPr>
          </w:p>
        </w:tc>
      </w:tr>
      <w:tr w:rsidR="004F34D9" w:rsidRPr="00123108">
        <w:trPr>
          <w:trHeight w:val="877"/>
          <w:jc w:val="center"/>
        </w:trPr>
        <w:tc>
          <w:tcPr>
            <w:tcW w:w="1171" w:type="dxa"/>
            <w:vMerge/>
            <w:vAlign w:val="center"/>
          </w:tcPr>
          <w:p w:rsidR="004F34D9" w:rsidRPr="00123108" w:rsidRDefault="004F34D9">
            <w:pPr>
              <w:jc w:val="center"/>
              <w:rPr>
                <w:rFonts w:ascii="宋体" w:hAnsi="宋体" w:cs="宋体" w:hint="eastAsia"/>
                <w:sz w:val="24"/>
              </w:rPr>
            </w:pPr>
          </w:p>
        </w:tc>
        <w:tc>
          <w:tcPr>
            <w:tcW w:w="1065" w:type="dxa"/>
            <w:vAlign w:val="center"/>
          </w:tcPr>
          <w:p w:rsidR="004F34D9" w:rsidRPr="00123108" w:rsidRDefault="004F34D9">
            <w:pPr>
              <w:jc w:val="center"/>
              <w:rPr>
                <w:rFonts w:ascii="宋体" w:hAnsi="宋体" w:cs="宋体"/>
                <w:sz w:val="24"/>
              </w:rPr>
            </w:pPr>
            <w:r w:rsidRPr="00123108">
              <w:rPr>
                <w:rFonts w:ascii="宋体" w:hAnsi="宋体" w:cs="宋体" w:hint="eastAsia"/>
                <w:sz w:val="24"/>
              </w:rPr>
              <w:t>马利登</w:t>
            </w:r>
          </w:p>
        </w:tc>
        <w:tc>
          <w:tcPr>
            <w:tcW w:w="1297"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安   全</w:t>
            </w:r>
          </w:p>
        </w:tc>
        <w:tc>
          <w:tcPr>
            <w:tcW w:w="3229" w:type="dxa"/>
            <w:vAlign w:val="center"/>
          </w:tcPr>
          <w:p w:rsidR="004F34D9" w:rsidRPr="00123108" w:rsidRDefault="004F34D9">
            <w:pPr>
              <w:jc w:val="center"/>
              <w:rPr>
                <w:rFonts w:ascii="宋体" w:hAnsi="宋体" w:cs="宋体" w:hint="eastAsia"/>
                <w:sz w:val="24"/>
              </w:rPr>
            </w:pPr>
            <w:r w:rsidRPr="00123108">
              <w:rPr>
                <w:rFonts w:ascii="宋体" w:hAnsi="宋体" w:cs="宋体"/>
                <w:sz w:val="24"/>
              </w:rPr>
              <w:t>CAWS350000230200207</w:t>
            </w:r>
          </w:p>
        </w:tc>
        <w:tc>
          <w:tcPr>
            <w:tcW w:w="1116" w:type="dxa"/>
            <w:vAlign w:val="center"/>
          </w:tcPr>
          <w:p w:rsidR="004F34D9" w:rsidRPr="00123108" w:rsidRDefault="004F34D9">
            <w:pPr>
              <w:jc w:val="center"/>
              <w:rPr>
                <w:rFonts w:ascii="宋体" w:hAnsi="宋体" w:cs="宋体" w:hint="eastAsia"/>
                <w:sz w:val="24"/>
              </w:rPr>
            </w:pPr>
            <w:r w:rsidRPr="00123108">
              <w:rPr>
                <w:rFonts w:ascii="宋体" w:hAnsi="宋体" w:cs="宋体"/>
                <w:sz w:val="24"/>
              </w:rPr>
              <w:t>042738</w:t>
            </w:r>
          </w:p>
        </w:tc>
        <w:tc>
          <w:tcPr>
            <w:tcW w:w="1429" w:type="dxa"/>
            <w:vAlign w:val="center"/>
          </w:tcPr>
          <w:p w:rsidR="004F34D9" w:rsidRPr="00123108" w:rsidRDefault="004F34D9">
            <w:pPr>
              <w:jc w:val="center"/>
              <w:rPr>
                <w:rFonts w:ascii="宋体" w:hAnsi="宋体" w:cs="宋体" w:hint="eastAsia"/>
                <w:sz w:val="24"/>
              </w:rPr>
            </w:pPr>
          </w:p>
        </w:tc>
      </w:tr>
      <w:tr w:rsidR="004F34D9" w:rsidRPr="00123108">
        <w:trPr>
          <w:trHeight w:val="907"/>
          <w:jc w:val="center"/>
        </w:trPr>
        <w:tc>
          <w:tcPr>
            <w:tcW w:w="1171" w:type="dxa"/>
            <w:vMerge/>
            <w:vAlign w:val="center"/>
          </w:tcPr>
          <w:p w:rsidR="004F34D9" w:rsidRPr="00123108" w:rsidRDefault="004F34D9">
            <w:pPr>
              <w:jc w:val="center"/>
              <w:rPr>
                <w:rFonts w:ascii="宋体" w:hAnsi="宋体" w:cs="宋体" w:hint="eastAsia"/>
                <w:sz w:val="24"/>
              </w:rPr>
            </w:pPr>
          </w:p>
        </w:tc>
        <w:tc>
          <w:tcPr>
            <w:tcW w:w="1065"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周菲菲</w:t>
            </w:r>
          </w:p>
        </w:tc>
        <w:tc>
          <w:tcPr>
            <w:tcW w:w="1297"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自动化</w:t>
            </w:r>
          </w:p>
        </w:tc>
        <w:tc>
          <w:tcPr>
            <w:tcW w:w="3229"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S011037000110192001722</w:t>
            </w:r>
          </w:p>
        </w:tc>
        <w:tc>
          <w:tcPr>
            <w:tcW w:w="1116"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025976</w:t>
            </w:r>
          </w:p>
        </w:tc>
        <w:tc>
          <w:tcPr>
            <w:tcW w:w="1429" w:type="dxa"/>
            <w:vAlign w:val="center"/>
          </w:tcPr>
          <w:p w:rsidR="004F34D9" w:rsidRPr="00123108" w:rsidRDefault="004F34D9">
            <w:pPr>
              <w:jc w:val="center"/>
              <w:rPr>
                <w:rFonts w:ascii="宋体" w:hAnsi="宋体" w:cs="宋体" w:hint="eastAsia"/>
                <w:sz w:val="24"/>
              </w:rPr>
            </w:pPr>
          </w:p>
        </w:tc>
      </w:tr>
      <w:tr w:rsidR="004F34D9" w:rsidRPr="00123108">
        <w:trPr>
          <w:trHeight w:val="907"/>
          <w:jc w:val="center"/>
        </w:trPr>
        <w:tc>
          <w:tcPr>
            <w:tcW w:w="1171" w:type="dxa"/>
            <w:vMerge/>
            <w:vAlign w:val="center"/>
          </w:tcPr>
          <w:p w:rsidR="004F34D9" w:rsidRPr="00123108" w:rsidRDefault="004F34D9">
            <w:pPr>
              <w:jc w:val="center"/>
              <w:rPr>
                <w:rFonts w:ascii="宋体" w:hAnsi="宋体" w:cs="宋体" w:hint="eastAsia"/>
                <w:sz w:val="24"/>
              </w:rPr>
            </w:pPr>
          </w:p>
        </w:tc>
        <w:tc>
          <w:tcPr>
            <w:tcW w:w="1065"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袁梅</w:t>
            </w:r>
          </w:p>
        </w:tc>
        <w:tc>
          <w:tcPr>
            <w:tcW w:w="1297"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电   气</w:t>
            </w:r>
          </w:p>
        </w:tc>
        <w:tc>
          <w:tcPr>
            <w:tcW w:w="3229"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S011037000110192002127</w:t>
            </w:r>
          </w:p>
        </w:tc>
        <w:tc>
          <w:tcPr>
            <w:tcW w:w="1116"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025979</w:t>
            </w:r>
          </w:p>
        </w:tc>
        <w:tc>
          <w:tcPr>
            <w:tcW w:w="1429" w:type="dxa"/>
            <w:vAlign w:val="center"/>
          </w:tcPr>
          <w:p w:rsidR="004F34D9" w:rsidRPr="00123108" w:rsidRDefault="004F34D9">
            <w:pPr>
              <w:jc w:val="center"/>
              <w:rPr>
                <w:rFonts w:ascii="宋体" w:hAnsi="宋体" w:cs="宋体" w:hint="eastAsia"/>
                <w:sz w:val="24"/>
              </w:rPr>
            </w:pPr>
          </w:p>
        </w:tc>
      </w:tr>
      <w:tr w:rsidR="004F34D9" w:rsidRPr="00123108">
        <w:trPr>
          <w:trHeight w:val="907"/>
          <w:jc w:val="center"/>
        </w:trPr>
        <w:tc>
          <w:tcPr>
            <w:tcW w:w="1171" w:type="dxa"/>
            <w:vMerge/>
            <w:vAlign w:val="center"/>
          </w:tcPr>
          <w:p w:rsidR="004F34D9" w:rsidRPr="00123108" w:rsidRDefault="004F34D9">
            <w:pPr>
              <w:jc w:val="center"/>
              <w:rPr>
                <w:rFonts w:ascii="宋体" w:hAnsi="宋体" w:cs="宋体" w:hint="eastAsia"/>
                <w:sz w:val="24"/>
              </w:rPr>
            </w:pPr>
          </w:p>
        </w:tc>
        <w:tc>
          <w:tcPr>
            <w:tcW w:w="1065"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张宁</w:t>
            </w:r>
          </w:p>
        </w:tc>
        <w:tc>
          <w:tcPr>
            <w:tcW w:w="1297"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安   全</w:t>
            </w:r>
          </w:p>
        </w:tc>
        <w:tc>
          <w:tcPr>
            <w:tcW w:w="3229" w:type="dxa"/>
            <w:vAlign w:val="center"/>
          </w:tcPr>
          <w:p w:rsidR="004F34D9" w:rsidRPr="00123108" w:rsidRDefault="004F34D9">
            <w:pPr>
              <w:jc w:val="center"/>
              <w:rPr>
                <w:rFonts w:ascii="宋体" w:hAnsi="宋体"/>
                <w:sz w:val="24"/>
              </w:rPr>
            </w:pPr>
            <w:r w:rsidRPr="00123108">
              <w:rPr>
                <w:rFonts w:ascii="宋体" w:hAnsi="宋体" w:hint="eastAsia"/>
                <w:sz w:val="24"/>
              </w:rPr>
              <w:t>1500000000300704</w:t>
            </w:r>
          </w:p>
        </w:tc>
        <w:tc>
          <w:tcPr>
            <w:tcW w:w="1116" w:type="dxa"/>
            <w:vAlign w:val="center"/>
          </w:tcPr>
          <w:p w:rsidR="004F34D9" w:rsidRPr="00123108" w:rsidRDefault="004F34D9">
            <w:pPr>
              <w:jc w:val="center"/>
              <w:rPr>
                <w:rFonts w:ascii="宋体" w:hAnsi="宋体"/>
                <w:sz w:val="24"/>
              </w:rPr>
            </w:pPr>
            <w:r w:rsidRPr="00123108">
              <w:rPr>
                <w:rFonts w:ascii="宋体" w:hAnsi="宋体" w:hint="eastAsia"/>
                <w:sz w:val="24"/>
              </w:rPr>
              <w:t>027082</w:t>
            </w:r>
          </w:p>
        </w:tc>
        <w:tc>
          <w:tcPr>
            <w:tcW w:w="1429" w:type="dxa"/>
            <w:vAlign w:val="center"/>
          </w:tcPr>
          <w:p w:rsidR="004F34D9" w:rsidRPr="00123108" w:rsidRDefault="004F34D9">
            <w:pPr>
              <w:jc w:val="center"/>
              <w:rPr>
                <w:rFonts w:ascii="宋体" w:hAnsi="宋体" w:cs="宋体" w:hint="eastAsia"/>
                <w:sz w:val="24"/>
              </w:rPr>
            </w:pPr>
          </w:p>
        </w:tc>
      </w:tr>
      <w:tr w:rsidR="004F34D9" w:rsidRPr="00123108">
        <w:trPr>
          <w:trHeight w:val="907"/>
          <w:jc w:val="center"/>
        </w:trPr>
        <w:tc>
          <w:tcPr>
            <w:tcW w:w="1171" w:type="dxa"/>
            <w:vMerge w:val="restart"/>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报告编制人</w:t>
            </w:r>
          </w:p>
        </w:tc>
        <w:tc>
          <w:tcPr>
            <w:tcW w:w="1065"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朱行郎</w:t>
            </w:r>
          </w:p>
        </w:tc>
        <w:tc>
          <w:tcPr>
            <w:tcW w:w="1297"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化工机械</w:t>
            </w:r>
          </w:p>
        </w:tc>
        <w:tc>
          <w:tcPr>
            <w:tcW w:w="3229"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0800000000101508</w:t>
            </w:r>
          </w:p>
        </w:tc>
        <w:tc>
          <w:tcPr>
            <w:tcW w:w="1116"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002206</w:t>
            </w:r>
          </w:p>
        </w:tc>
        <w:tc>
          <w:tcPr>
            <w:tcW w:w="1429" w:type="dxa"/>
            <w:vAlign w:val="center"/>
          </w:tcPr>
          <w:p w:rsidR="004F34D9" w:rsidRPr="00123108" w:rsidRDefault="004F34D9">
            <w:pPr>
              <w:jc w:val="center"/>
              <w:rPr>
                <w:rFonts w:ascii="宋体" w:hAnsi="宋体" w:cs="宋体" w:hint="eastAsia"/>
                <w:sz w:val="24"/>
              </w:rPr>
            </w:pPr>
          </w:p>
        </w:tc>
      </w:tr>
      <w:tr w:rsidR="004F34D9" w:rsidRPr="00123108">
        <w:trPr>
          <w:trHeight w:val="907"/>
          <w:jc w:val="center"/>
        </w:trPr>
        <w:tc>
          <w:tcPr>
            <w:tcW w:w="1171" w:type="dxa"/>
            <w:vMerge/>
            <w:vAlign w:val="center"/>
          </w:tcPr>
          <w:p w:rsidR="004F34D9" w:rsidRPr="00123108" w:rsidRDefault="004F34D9">
            <w:pPr>
              <w:jc w:val="center"/>
              <w:rPr>
                <w:rFonts w:ascii="宋体" w:hAnsi="宋体" w:cs="宋体" w:hint="eastAsia"/>
                <w:sz w:val="24"/>
              </w:rPr>
            </w:pPr>
          </w:p>
        </w:tc>
        <w:tc>
          <w:tcPr>
            <w:tcW w:w="1065"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张宁</w:t>
            </w:r>
          </w:p>
        </w:tc>
        <w:tc>
          <w:tcPr>
            <w:tcW w:w="1297"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安   全</w:t>
            </w:r>
          </w:p>
        </w:tc>
        <w:tc>
          <w:tcPr>
            <w:tcW w:w="3229" w:type="dxa"/>
            <w:vAlign w:val="center"/>
          </w:tcPr>
          <w:p w:rsidR="004F34D9" w:rsidRPr="00123108" w:rsidRDefault="004F34D9">
            <w:pPr>
              <w:jc w:val="center"/>
              <w:rPr>
                <w:rFonts w:ascii="宋体" w:hAnsi="宋体"/>
                <w:sz w:val="24"/>
              </w:rPr>
            </w:pPr>
            <w:r w:rsidRPr="00123108">
              <w:rPr>
                <w:rFonts w:ascii="宋体" w:hAnsi="宋体" w:hint="eastAsia"/>
                <w:sz w:val="24"/>
              </w:rPr>
              <w:t>1500000000300704</w:t>
            </w:r>
          </w:p>
        </w:tc>
        <w:tc>
          <w:tcPr>
            <w:tcW w:w="1116" w:type="dxa"/>
            <w:vAlign w:val="center"/>
          </w:tcPr>
          <w:p w:rsidR="004F34D9" w:rsidRPr="00123108" w:rsidRDefault="004F34D9">
            <w:pPr>
              <w:jc w:val="center"/>
              <w:rPr>
                <w:rFonts w:ascii="宋体" w:hAnsi="宋体"/>
                <w:sz w:val="24"/>
              </w:rPr>
            </w:pPr>
            <w:r w:rsidRPr="00123108">
              <w:rPr>
                <w:rFonts w:ascii="宋体" w:hAnsi="宋体" w:hint="eastAsia"/>
                <w:sz w:val="24"/>
              </w:rPr>
              <w:t>027082</w:t>
            </w:r>
          </w:p>
        </w:tc>
        <w:tc>
          <w:tcPr>
            <w:tcW w:w="1429" w:type="dxa"/>
            <w:vAlign w:val="center"/>
          </w:tcPr>
          <w:p w:rsidR="004F34D9" w:rsidRPr="00123108" w:rsidRDefault="004F34D9">
            <w:pPr>
              <w:jc w:val="center"/>
              <w:rPr>
                <w:rFonts w:ascii="宋体" w:hAnsi="宋体" w:cs="宋体" w:hint="eastAsia"/>
                <w:sz w:val="24"/>
              </w:rPr>
            </w:pPr>
          </w:p>
        </w:tc>
      </w:tr>
      <w:tr w:rsidR="004F34D9" w:rsidRPr="00123108">
        <w:trPr>
          <w:trHeight w:val="907"/>
          <w:jc w:val="center"/>
        </w:trPr>
        <w:tc>
          <w:tcPr>
            <w:tcW w:w="1171"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报告审核人</w:t>
            </w:r>
          </w:p>
        </w:tc>
        <w:tc>
          <w:tcPr>
            <w:tcW w:w="1065"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林更鹏</w:t>
            </w:r>
          </w:p>
        </w:tc>
        <w:tc>
          <w:tcPr>
            <w:tcW w:w="1297"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化工工艺</w:t>
            </w:r>
          </w:p>
        </w:tc>
        <w:tc>
          <w:tcPr>
            <w:tcW w:w="3229"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S011037000110192001823</w:t>
            </w:r>
          </w:p>
        </w:tc>
        <w:tc>
          <w:tcPr>
            <w:tcW w:w="1116"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025977</w:t>
            </w:r>
          </w:p>
        </w:tc>
        <w:tc>
          <w:tcPr>
            <w:tcW w:w="1429" w:type="dxa"/>
            <w:vAlign w:val="center"/>
          </w:tcPr>
          <w:p w:rsidR="004F34D9" w:rsidRPr="00123108" w:rsidRDefault="004F34D9">
            <w:pPr>
              <w:jc w:val="center"/>
              <w:rPr>
                <w:rFonts w:ascii="宋体" w:hAnsi="宋体" w:cs="宋体" w:hint="eastAsia"/>
                <w:sz w:val="24"/>
              </w:rPr>
            </w:pPr>
          </w:p>
        </w:tc>
      </w:tr>
      <w:tr w:rsidR="004F34D9" w:rsidRPr="00123108">
        <w:trPr>
          <w:trHeight w:val="907"/>
          <w:jc w:val="center"/>
        </w:trPr>
        <w:tc>
          <w:tcPr>
            <w:tcW w:w="1171"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过程控制负责人</w:t>
            </w:r>
          </w:p>
        </w:tc>
        <w:tc>
          <w:tcPr>
            <w:tcW w:w="1065"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邓清</w:t>
            </w:r>
          </w:p>
        </w:tc>
        <w:tc>
          <w:tcPr>
            <w:tcW w:w="1297" w:type="dxa"/>
            <w:vAlign w:val="center"/>
          </w:tcPr>
          <w:p w:rsidR="004F34D9" w:rsidRPr="00123108" w:rsidRDefault="004F34D9">
            <w:pPr>
              <w:jc w:val="center"/>
              <w:rPr>
                <w:rFonts w:ascii="宋体" w:hAnsi="宋体" w:cs="宋体" w:hint="eastAsia"/>
                <w:sz w:val="24"/>
                <w:lang w:val="zh-CN"/>
              </w:rPr>
            </w:pPr>
            <w:r w:rsidRPr="00123108">
              <w:rPr>
                <w:rFonts w:ascii="宋体" w:hAnsi="宋体" w:cs="宋体" w:hint="eastAsia"/>
                <w:sz w:val="24"/>
              </w:rPr>
              <w:t>电   气</w:t>
            </w:r>
          </w:p>
        </w:tc>
        <w:tc>
          <w:tcPr>
            <w:tcW w:w="3229"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S011037000110191000752</w:t>
            </w:r>
          </w:p>
        </w:tc>
        <w:tc>
          <w:tcPr>
            <w:tcW w:w="1116"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019130</w:t>
            </w:r>
          </w:p>
        </w:tc>
        <w:tc>
          <w:tcPr>
            <w:tcW w:w="1429" w:type="dxa"/>
            <w:vAlign w:val="center"/>
          </w:tcPr>
          <w:p w:rsidR="004F34D9" w:rsidRPr="00123108" w:rsidRDefault="004F34D9">
            <w:pPr>
              <w:jc w:val="center"/>
              <w:rPr>
                <w:rFonts w:ascii="宋体" w:hAnsi="宋体" w:cs="宋体" w:hint="eastAsia"/>
                <w:sz w:val="24"/>
              </w:rPr>
            </w:pPr>
          </w:p>
        </w:tc>
      </w:tr>
      <w:tr w:rsidR="004F34D9" w:rsidRPr="00123108">
        <w:trPr>
          <w:trHeight w:val="907"/>
          <w:jc w:val="center"/>
        </w:trPr>
        <w:tc>
          <w:tcPr>
            <w:tcW w:w="1171"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技术负责人</w:t>
            </w:r>
          </w:p>
        </w:tc>
        <w:tc>
          <w:tcPr>
            <w:tcW w:w="1065"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吴佳东</w:t>
            </w:r>
          </w:p>
        </w:tc>
        <w:tc>
          <w:tcPr>
            <w:tcW w:w="1297"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安   全</w:t>
            </w:r>
          </w:p>
        </w:tc>
        <w:tc>
          <w:tcPr>
            <w:tcW w:w="3229"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S011037000110191000859</w:t>
            </w:r>
          </w:p>
        </w:tc>
        <w:tc>
          <w:tcPr>
            <w:tcW w:w="1116" w:type="dxa"/>
            <w:vAlign w:val="center"/>
          </w:tcPr>
          <w:p w:rsidR="004F34D9" w:rsidRPr="00123108" w:rsidRDefault="004F34D9">
            <w:pPr>
              <w:jc w:val="center"/>
              <w:rPr>
                <w:rFonts w:ascii="宋体" w:hAnsi="宋体" w:cs="宋体" w:hint="eastAsia"/>
                <w:sz w:val="24"/>
              </w:rPr>
            </w:pPr>
            <w:r w:rsidRPr="00123108">
              <w:rPr>
                <w:rFonts w:ascii="宋体" w:hAnsi="宋体" w:cs="宋体" w:hint="eastAsia"/>
                <w:sz w:val="24"/>
              </w:rPr>
              <w:t>025862</w:t>
            </w:r>
          </w:p>
        </w:tc>
        <w:tc>
          <w:tcPr>
            <w:tcW w:w="1429" w:type="dxa"/>
            <w:vAlign w:val="center"/>
          </w:tcPr>
          <w:p w:rsidR="004F34D9" w:rsidRPr="00123108" w:rsidRDefault="004F34D9">
            <w:pPr>
              <w:jc w:val="center"/>
              <w:rPr>
                <w:rFonts w:ascii="宋体" w:hAnsi="宋体" w:cs="宋体" w:hint="eastAsia"/>
                <w:sz w:val="24"/>
              </w:rPr>
            </w:pPr>
          </w:p>
        </w:tc>
      </w:tr>
    </w:tbl>
    <w:p w:rsidR="004F34D9" w:rsidRPr="00123108" w:rsidRDefault="004F34D9">
      <w:pPr>
        <w:pStyle w:val="affffff"/>
      </w:pPr>
    </w:p>
    <w:p w:rsidR="004F34D9" w:rsidRPr="00123108" w:rsidRDefault="004F34D9">
      <w:pPr>
        <w:pStyle w:val="affffff"/>
      </w:pPr>
    </w:p>
    <w:p w:rsidR="004F34D9" w:rsidRPr="00123108" w:rsidRDefault="004F34D9">
      <w:pPr>
        <w:rPr>
          <w:rFonts w:ascii="宋体" w:hAnsi="宋体" w:cs="宋体" w:hint="eastAsia"/>
        </w:rPr>
      </w:pPr>
    </w:p>
    <w:p w:rsidR="004F34D9" w:rsidRPr="00123108" w:rsidRDefault="004F34D9">
      <w:pPr>
        <w:pStyle w:val="aff7"/>
        <w:ind w:firstLine="210"/>
        <w:rPr>
          <w:rFonts w:ascii="宋体" w:hAnsi="宋体" w:cs="宋体" w:hint="eastAsia"/>
        </w:rPr>
      </w:pPr>
    </w:p>
    <w:p w:rsidR="004F34D9" w:rsidRPr="00123108" w:rsidRDefault="004F34D9">
      <w:pPr>
        <w:rPr>
          <w:rFonts w:ascii="宋体" w:hAnsi="宋体" w:cs="宋体" w:hint="eastAsia"/>
        </w:rPr>
      </w:pPr>
    </w:p>
    <w:p w:rsidR="004F34D9" w:rsidRPr="00123108" w:rsidRDefault="004F34D9">
      <w:pPr>
        <w:pStyle w:val="aff7"/>
        <w:ind w:firstLine="210"/>
        <w:rPr>
          <w:rFonts w:ascii="宋体" w:hAnsi="宋体" w:cs="宋体" w:hint="eastAsia"/>
        </w:rPr>
      </w:pPr>
    </w:p>
    <w:p w:rsidR="004F34D9" w:rsidRPr="00123108" w:rsidRDefault="004F34D9">
      <w:pPr>
        <w:rPr>
          <w:rFonts w:ascii="宋体" w:hAnsi="宋体" w:cs="宋体" w:hint="eastAsia"/>
        </w:rPr>
      </w:pPr>
    </w:p>
    <w:p w:rsidR="004F34D9" w:rsidRPr="00123108" w:rsidRDefault="004F34D9">
      <w:pPr>
        <w:pStyle w:val="aff7"/>
        <w:ind w:firstLine="210"/>
        <w:rPr>
          <w:rFonts w:ascii="宋体" w:hAnsi="宋体" w:cs="宋体" w:hint="eastAsia"/>
        </w:rPr>
      </w:pPr>
    </w:p>
    <w:p w:rsidR="004F34D9" w:rsidRPr="00123108" w:rsidRDefault="004F34D9">
      <w:pPr>
        <w:rPr>
          <w:rFonts w:ascii="宋体" w:hAnsi="宋体" w:cs="宋体" w:hint="eastAsia"/>
        </w:rPr>
      </w:pPr>
    </w:p>
    <w:p w:rsidR="004F34D9" w:rsidRPr="00123108" w:rsidRDefault="004F34D9">
      <w:pPr>
        <w:pStyle w:val="aff7"/>
        <w:ind w:firstLine="210"/>
        <w:rPr>
          <w:rFonts w:ascii="宋体" w:hAnsi="宋体" w:cs="宋体" w:hint="eastAsia"/>
        </w:rPr>
      </w:pPr>
    </w:p>
    <w:p w:rsidR="004F34D9" w:rsidRPr="00123108" w:rsidRDefault="004F34D9">
      <w:pPr>
        <w:rPr>
          <w:rFonts w:ascii="宋体" w:hAnsi="宋体" w:cs="宋体" w:hint="eastAsia"/>
        </w:rPr>
      </w:pPr>
    </w:p>
    <w:p w:rsidR="004F34D9" w:rsidRPr="00123108" w:rsidRDefault="004F34D9">
      <w:pPr>
        <w:pStyle w:val="aff7"/>
        <w:ind w:firstLine="210"/>
        <w:rPr>
          <w:rFonts w:ascii="宋体" w:hAnsi="宋体" w:cs="宋体" w:hint="eastAsia"/>
        </w:rPr>
      </w:pPr>
    </w:p>
    <w:p w:rsidR="004F34D9" w:rsidRPr="00123108" w:rsidRDefault="004F34D9">
      <w:pPr>
        <w:rPr>
          <w:rFonts w:ascii="宋体" w:hAnsi="宋体" w:cs="宋体" w:hint="eastAsia"/>
        </w:rPr>
      </w:pPr>
    </w:p>
    <w:p w:rsidR="004F34D9" w:rsidRPr="00123108" w:rsidRDefault="004F34D9">
      <w:pPr>
        <w:pStyle w:val="aff7"/>
        <w:ind w:firstLine="210"/>
        <w:rPr>
          <w:rFonts w:ascii="宋体" w:hAnsi="宋体" w:cs="宋体" w:hint="eastAsia"/>
        </w:rPr>
      </w:pPr>
    </w:p>
    <w:p w:rsidR="004F34D9" w:rsidRPr="00123108" w:rsidRDefault="004F34D9">
      <w:pPr>
        <w:rPr>
          <w:rFonts w:ascii="宋体" w:hAnsi="宋体" w:cs="宋体" w:hint="eastAsia"/>
        </w:rPr>
      </w:pPr>
    </w:p>
    <w:p w:rsidR="004F34D9" w:rsidRPr="00123108" w:rsidRDefault="004F34D9">
      <w:pPr>
        <w:pStyle w:val="aff7"/>
        <w:ind w:firstLine="210"/>
        <w:rPr>
          <w:rFonts w:hint="eastAsia"/>
        </w:rPr>
        <w:sectPr w:rsidR="004F34D9" w:rsidRPr="00123108">
          <w:pgSz w:w="11907" w:h="16840"/>
          <w:pgMar w:top="1418" w:right="1134" w:bottom="1134" w:left="1588" w:header="851" w:footer="992" w:gutter="0"/>
          <w:paperSrc w:first="7" w:other="7"/>
          <w:pgNumType w:fmt="upperRoman" w:start="1"/>
          <w:cols w:space="720"/>
          <w:docGrid w:linePitch="437" w:charSpace="4301"/>
        </w:sectPr>
      </w:pPr>
    </w:p>
    <w:p w:rsidR="004F34D9" w:rsidRPr="00123108" w:rsidRDefault="004F34D9" w:rsidP="00561580">
      <w:pPr>
        <w:pStyle w:val="a"/>
        <w:numPr>
          <w:ilvl w:val="0"/>
          <w:numId w:val="0"/>
        </w:numPr>
        <w:tabs>
          <w:tab w:val="left" w:pos="544"/>
        </w:tabs>
        <w:spacing w:beforeLines="0" w:before="0" w:afterLines="0" w:after="0" w:line="500" w:lineRule="exact"/>
        <w:rPr>
          <w:rFonts w:ascii="宋体" w:eastAsia="宋体" w:hAnsi="宋体" w:cs="宋体" w:hint="eastAsia"/>
          <w:b/>
          <w:color w:val="auto"/>
          <w:sz w:val="32"/>
        </w:rPr>
      </w:pPr>
      <w:bookmarkStart w:id="62" w:name="_Toc32681"/>
      <w:bookmarkStart w:id="63" w:name="_Toc22023"/>
      <w:bookmarkStart w:id="64" w:name="_Toc339"/>
      <w:bookmarkStart w:id="65" w:name="_Toc6379"/>
      <w:bookmarkStart w:id="66" w:name="_Toc15464"/>
      <w:bookmarkStart w:id="67" w:name="_Toc3311"/>
      <w:bookmarkStart w:id="68" w:name="_Toc30181"/>
      <w:bookmarkStart w:id="69" w:name="_Toc20923"/>
      <w:bookmarkStart w:id="70" w:name="_Toc13567"/>
      <w:bookmarkStart w:id="71" w:name="_Toc24002"/>
      <w:bookmarkStart w:id="72" w:name="_Toc15925"/>
      <w:bookmarkStart w:id="73" w:name="_Toc16472"/>
      <w:bookmarkStart w:id="74" w:name="_Toc6285"/>
      <w:bookmarkStart w:id="75" w:name="_Toc15305"/>
      <w:bookmarkStart w:id="76" w:name="_Toc153"/>
      <w:bookmarkStart w:id="77" w:name="_Toc2570"/>
      <w:bookmarkStart w:id="78" w:name="_Toc6166"/>
      <w:bookmarkStart w:id="79" w:name="_Toc27798"/>
      <w:bookmarkStart w:id="80" w:name="_Toc6294"/>
      <w:bookmarkStart w:id="81" w:name="_Toc422002522"/>
      <w:bookmarkStart w:id="82" w:name="_Toc3298765"/>
      <w:bookmarkStart w:id="83" w:name="_Toc423076235"/>
      <w:bookmarkStart w:id="84" w:name="_Toc524017502"/>
      <w:bookmarkStart w:id="85" w:name="_Toc529125015"/>
      <w:bookmarkStart w:id="86" w:name="_Toc3808975"/>
      <w:bookmarkStart w:id="87" w:name="_Toc515991102"/>
      <w:bookmarkStart w:id="88" w:name="_Toc516829165"/>
      <w:bookmarkStart w:id="89" w:name="_Toc17583"/>
      <w:bookmarkStart w:id="90" w:name="_Toc524086752"/>
      <w:bookmarkStart w:id="91" w:name="_Toc522261000"/>
      <w:bookmarkStart w:id="92" w:name="_Toc515825383"/>
      <w:bookmarkStart w:id="93" w:name="_Toc524697966"/>
      <w:bookmarkStart w:id="94" w:name="_Toc190935716"/>
      <w:r w:rsidRPr="00123108">
        <w:rPr>
          <w:rFonts w:ascii="宋体" w:eastAsia="宋体" w:hAnsi="宋体" w:cs="宋体" w:hint="eastAsia"/>
          <w:b/>
          <w:color w:val="auto"/>
          <w:sz w:val="32"/>
        </w:rPr>
        <w:lastRenderedPageBreak/>
        <w:t>安全评价报告摘要</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94"/>
    </w:p>
    <w:tbl>
      <w:tblPr>
        <w:tblW w:w="940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4"/>
        <w:gridCol w:w="42"/>
        <w:gridCol w:w="5061"/>
        <w:gridCol w:w="21"/>
        <w:gridCol w:w="2153"/>
      </w:tblGrid>
      <w:tr w:rsidR="004F34D9" w:rsidRPr="00123108">
        <w:trPr>
          <w:trHeight w:val="397"/>
        </w:trPr>
        <w:tc>
          <w:tcPr>
            <w:tcW w:w="9401" w:type="dxa"/>
            <w:gridSpan w:val="5"/>
            <w:vAlign w:val="center"/>
          </w:tcPr>
          <w:p w:rsidR="004F34D9" w:rsidRPr="00123108" w:rsidRDefault="004F34D9">
            <w:pPr>
              <w:pStyle w:val="affffe"/>
              <w:spacing w:beforeLines="0" w:before="0" w:afterLines="0" w:after="0"/>
              <w:jc w:val="center"/>
              <w:rPr>
                <w:rFonts w:ascii="宋体" w:hAnsi="宋体" w:cs="宋体" w:hint="eastAsia"/>
                <w:szCs w:val="21"/>
              </w:rPr>
            </w:pPr>
            <w:r w:rsidRPr="00123108">
              <w:rPr>
                <w:rFonts w:ascii="宋体" w:hAnsi="宋体" w:cs="宋体" w:hint="eastAsia"/>
                <w:szCs w:val="21"/>
              </w:rPr>
              <w:t>一、项目基本信息</w:t>
            </w:r>
          </w:p>
        </w:tc>
      </w:tr>
      <w:tr w:rsidR="004F34D9" w:rsidRPr="00123108">
        <w:trPr>
          <w:trHeight w:val="397"/>
        </w:trPr>
        <w:tc>
          <w:tcPr>
            <w:tcW w:w="2166" w:type="dxa"/>
            <w:gridSpan w:val="2"/>
            <w:vAlign w:val="center"/>
          </w:tcPr>
          <w:p w:rsidR="004F34D9" w:rsidRPr="00123108" w:rsidRDefault="004F34D9">
            <w:pPr>
              <w:pStyle w:val="affffe"/>
              <w:spacing w:beforeLines="0" w:before="0" w:afterLines="0" w:after="0"/>
              <w:jc w:val="center"/>
              <w:rPr>
                <w:rFonts w:ascii="宋体" w:hAnsi="宋体" w:cs="宋体" w:hint="eastAsia"/>
                <w:szCs w:val="21"/>
              </w:rPr>
            </w:pPr>
            <w:r w:rsidRPr="00123108">
              <w:rPr>
                <w:rFonts w:ascii="宋体" w:hAnsi="宋体" w:cs="宋体" w:hint="eastAsia"/>
                <w:szCs w:val="21"/>
              </w:rPr>
              <w:t>项目</w:t>
            </w:r>
          </w:p>
        </w:tc>
        <w:tc>
          <w:tcPr>
            <w:tcW w:w="5061" w:type="dxa"/>
            <w:vAlign w:val="center"/>
          </w:tcPr>
          <w:p w:rsidR="004F34D9" w:rsidRPr="00123108" w:rsidRDefault="004F34D9">
            <w:pPr>
              <w:pStyle w:val="affffe"/>
              <w:spacing w:beforeLines="0" w:before="0" w:afterLines="0" w:after="0"/>
              <w:jc w:val="center"/>
              <w:rPr>
                <w:rFonts w:ascii="宋体" w:hAnsi="宋体" w:cs="宋体" w:hint="eastAsia"/>
                <w:szCs w:val="21"/>
              </w:rPr>
            </w:pPr>
            <w:r w:rsidRPr="00123108">
              <w:rPr>
                <w:rFonts w:ascii="宋体" w:hAnsi="宋体" w:cs="宋体" w:hint="eastAsia"/>
                <w:szCs w:val="21"/>
              </w:rPr>
              <w:t>内容</w:t>
            </w:r>
          </w:p>
        </w:tc>
        <w:tc>
          <w:tcPr>
            <w:tcW w:w="2174" w:type="dxa"/>
            <w:gridSpan w:val="2"/>
            <w:vAlign w:val="center"/>
          </w:tcPr>
          <w:p w:rsidR="004F34D9" w:rsidRPr="00123108" w:rsidRDefault="004F34D9">
            <w:pPr>
              <w:pStyle w:val="affffe"/>
              <w:spacing w:beforeLines="0" w:before="0" w:afterLines="0" w:after="0"/>
              <w:jc w:val="center"/>
              <w:rPr>
                <w:rFonts w:ascii="宋体" w:hAnsi="宋体" w:cs="宋体" w:hint="eastAsia"/>
                <w:szCs w:val="21"/>
              </w:rPr>
            </w:pPr>
            <w:r w:rsidRPr="00123108">
              <w:rPr>
                <w:rFonts w:ascii="宋体" w:hAnsi="宋体" w:cs="宋体" w:hint="eastAsia"/>
                <w:szCs w:val="21"/>
              </w:rPr>
              <w:t>备注</w:t>
            </w:r>
          </w:p>
        </w:tc>
      </w:tr>
      <w:tr w:rsidR="004F34D9" w:rsidRPr="00123108">
        <w:trPr>
          <w:trHeight w:val="397"/>
        </w:trPr>
        <w:tc>
          <w:tcPr>
            <w:tcW w:w="2166" w:type="dxa"/>
            <w:gridSpan w:val="2"/>
            <w:vAlign w:val="center"/>
          </w:tcPr>
          <w:p w:rsidR="004F34D9" w:rsidRPr="00123108" w:rsidRDefault="004F34D9">
            <w:pPr>
              <w:pStyle w:val="affffe"/>
              <w:spacing w:beforeLines="0" w:before="0" w:afterLines="0" w:after="0"/>
              <w:jc w:val="center"/>
              <w:rPr>
                <w:rFonts w:ascii="宋体" w:hAnsi="宋体" w:cs="宋体" w:hint="eastAsia"/>
                <w:szCs w:val="21"/>
              </w:rPr>
            </w:pPr>
            <w:r w:rsidRPr="00123108">
              <w:rPr>
                <w:rFonts w:ascii="宋体" w:hAnsi="宋体" w:cs="宋体" w:hint="eastAsia"/>
                <w:szCs w:val="28"/>
              </w:rPr>
              <w:t>项目名称</w:t>
            </w:r>
          </w:p>
        </w:tc>
        <w:tc>
          <w:tcPr>
            <w:tcW w:w="5061" w:type="dxa"/>
            <w:vAlign w:val="center"/>
          </w:tcPr>
          <w:p w:rsidR="004F34D9" w:rsidRPr="00123108" w:rsidRDefault="004F34D9">
            <w:pPr>
              <w:pStyle w:val="affffe"/>
              <w:spacing w:before="48" w:after="48"/>
              <w:rPr>
                <w:rFonts w:ascii="宋体" w:hAnsi="宋体" w:cs="宋体" w:hint="eastAsia"/>
                <w:szCs w:val="21"/>
              </w:rPr>
            </w:pPr>
            <w:r w:rsidRPr="00123108">
              <w:rPr>
                <w:rFonts w:ascii="宋体" w:hAnsi="宋体" w:cs="宋体" w:hint="eastAsia"/>
                <w:szCs w:val="21"/>
              </w:rPr>
              <w:t>宁波新桥化工有限公司安全现状评价报告</w:t>
            </w:r>
          </w:p>
        </w:tc>
        <w:tc>
          <w:tcPr>
            <w:tcW w:w="2174" w:type="dxa"/>
            <w:gridSpan w:val="2"/>
            <w:vAlign w:val="center"/>
          </w:tcPr>
          <w:p w:rsidR="004F34D9" w:rsidRPr="00123108" w:rsidRDefault="004F34D9">
            <w:pPr>
              <w:pStyle w:val="affffe"/>
              <w:spacing w:beforeLines="0" w:before="0" w:afterLines="0" w:after="0"/>
              <w:rPr>
                <w:rFonts w:ascii="宋体" w:hAnsi="宋体" w:cs="宋体" w:hint="eastAsia"/>
                <w:szCs w:val="21"/>
              </w:rPr>
            </w:pPr>
          </w:p>
        </w:tc>
      </w:tr>
      <w:tr w:rsidR="004F34D9" w:rsidRPr="00123108">
        <w:trPr>
          <w:trHeight w:val="397"/>
        </w:trPr>
        <w:tc>
          <w:tcPr>
            <w:tcW w:w="2166" w:type="dxa"/>
            <w:gridSpan w:val="2"/>
            <w:vAlign w:val="center"/>
          </w:tcPr>
          <w:p w:rsidR="004F34D9" w:rsidRPr="00123108" w:rsidRDefault="004F34D9">
            <w:pPr>
              <w:pStyle w:val="affffe"/>
              <w:spacing w:beforeLines="0" w:before="0" w:afterLines="0" w:after="0"/>
              <w:jc w:val="center"/>
              <w:rPr>
                <w:rFonts w:ascii="宋体" w:hAnsi="宋体" w:cs="宋体" w:hint="eastAsia"/>
                <w:szCs w:val="21"/>
              </w:rPr>
            </w:pPr>
            <w:r w:rsidRPr="00123108">
              <w:rPr>
                <w:rFonts w:ascii="宋体" w:hAnsi="宋体" w:cs="宋体" w:hint="eastAsia"/>
                <w:szCs w:val="28"/>
              </w:rPr>
              <w:t>项目地址</w:t>
            </w:r>
          </w:p>
        </w:tc>
        <w:tc>
          <w:tcPr>
            <w:tcW w:w="5061" w:type="dxa"/>
            <w:vAlign w:val="center"/>
          </w:tcPr>
          <w:p w:rsidR="004F34D9" w:rsidRPr="00123108" w:rsidRDefault="004F34D9">
            <w:pPr>
              <w:pStyle w:val="affffe"/>
              <w:spacing w:beforeLines="0" w:before="0" w:afterLines="0" w:after="0"/>
              <w:rPr>
                <w:rFonts w:ascii="宋体" w:hAnsi="宋体" w:cs="宋体" w:hint="eastAsia"/>
                <w:szCs w:val="21"/>
              </w:rPr>
            </w:pPr>
            <w:r w:rsidRPr="00123108">
              <w:rPr>
                <w:rFonts w:ascii="宋体" w:hAnsi="宋体" w:cs="宋体" w:hint="eastAsia"/>
              </w:rPr>
              <w:t>宁波市北仑区金鸡山路98号</w:t>
            </w:r>
          </w:p>
        </w:tc>
        <w:tc>
          <w:tcPr>
            <w:tcW w:w="2174" w:type="dxa"/>
            <w:gridSpan w:val="2"/>
            <w:vAlign w:val="center"/>
          </w:tcPr>
          <w:p w:rsidR="004F34D9" w:rsidRPr="00123108" w:rsidRDefault="004F34D9">
            <w:pPr>
              <w:pStyle w:val="affffe"/>
              <w:spacing w:beforeLines="0" w:before="0" w:afterLines="0" w:after="0"/>
              <w:rPr>
                <w:rFonts w:ascii="宋体" w:hAnsi="宋体" w:cs="宋体" w:hint="eastAsia"/>
                <w:szCs w:val="21"/>
              </w:rPr>
            </w:pPr>
          </w:p>
        </w:tc>
      </w:tr>
      <w:tr w:rsidR="004F34D9" w:rsidRPr="00123108">
        <w:trPr>
          <w:trHeight w:val="397"/>
        </w:trPr>
        <w:tc>
          <w:tcPr>
            <w:tcW w:w="2166" w:type="dxa"/>
            <w:gridSpan w:val="2"/>
            <w:vAlign w:val="center"/>
          </w:tcPr>
          <w:p w:rsidR="004F34D9" w:rsidRPr="00123108" w:rsidRDefault="004F34D9">
            <w:pPr>
              <w:pStyle w:val="afffff5"/>
              <w:spacing w:before="0" w:line="260" w:lineRule="exact"/>
              <w:jc w:val="center"/>
              <w:rPr>
                <w:rFonts w:ascii="宋体" w:hAnsi="宋体" w:cs="宋体" w:hint="eastAsia"/>
                <w:szCs w:val="21"/>
              </w:rPr>
            </w:pPr>
            <w:r w:rsidRPr="00123108">
              <w:rPr>
                <w:rFonts w:hint="eastAsia"/>
              </w:rPr>
              <w:t>本次</w:t>
            </w:r>
            <w:r w:rsidRPr="00123108">
              <w:t>危险化学品</w:t>
            </w:r>
            <w:r w:rsidRPr="00123108">
              <w:rPr>
                <w:rFonts w:hint="eastAsia"/>
              </w:rPr>
              <w:t>安全生产许可证申请范围</w:t>
            </w:r>
          </w:p>
        </w:tc>
        <w:tc>
          <w:tcPr>
            <w:tcW w:w="5061" w:type="dxa"/>
            <w:vAlign w:val="center"/>
          </w:tcPr>
          <w:p w:rsidR="004F34D9" w:rsidRPr="00123108" w:rsidRDefault="004F34D9">
            <w:pPr>
              <w:pStyle w:val="afffff5"/>
              <w:spacing w:before="0" w:line="260" w:lineRule="exact"/>
              <w:jc w:val="both"/>
              <w:rPr>
                <w:rFonts w:ascii="宋体" w:hAnsi="宋体" w:cs="宋体" w:hint="eastAsia"/>
              </w:rPr>
            </w:pPr>
            <w:r w:rsidRPr="00123108">
              <w:rPr>
                <w:rFonts w:ascii="宋体" w:hAnsi="宋体" w:cs="宋体" w:hint="eastAsia"/>
              </w:rPr>
              <w:t>年产： 可发性</w:t>
            </w:r>
            <w:r w:rsidRPr="00123108">
              <w:rPr>
                <w:rFonts w:ascii="宋体" w:hAnsi="宋体" w:hint="eastAsia"/>
                <w:bCs/>
                <w:szCs w:val="21"/>
              </w:rPr>
              <w:t>聚苯乙烯（EPS）12万吨</w:t>
            </w:r>
          </w:p>
        </w:tc>
        <w:tc>
          <w:tcPr>
            <w:tcW w:w="2174" w:type="dxa"/>
            <w:gridSpan w:val="2"/>
            <w:vAlign w:val="center"/>
          </w:tcPr>
          <w:p w:rsidR="004F34D9" w:rsidRPr="00123108" w:rsidRDefault="004F34D9">
            <w:pPr>
              <w:pStyle w:val="afffff5"/>
              <w:spacing w:before="0" w:line="260" w:lineRule="exact"/>
              <w:jc w:val="both"/>
              <w:rPr>
                <w:rFonts w:ascii="宋体" w:hAnsi="宋体" w:cs="宋体"/>
                <w:bCs/>
              </w:rPr>
            </w:pPr>
            <w:r w:rsidRPr="00123108">
              <w:rPr>
                <w:rFonts w:hint="eastAsia"/>
              </w:rPr>
              <w:t>与</w:t>
            </w:r>
            <w:r w:rsidRPr="00123108">
              <w:t>原</w:t>
            </w:r>
            <w:r w:rsidRPr="00123108">
              <w:rPr>
                <w:rFonts w:hint="eastAsia"/>
              </w:rPr>
              <w:t>危险化学品安全生产许可证许可范围一致</w:t>
            </w:r>
            <w:r w:rsidRPr="00123108">
              <w:rPr>
                <w:rFonts w:ascii="宋体" w:hAnsi="宋体" w:cs="宋体" w:hint="eastAsia"/>
              </w:rPr>
              <w:t>，无变化</w:t>
            </w:r>
          </w:p>
        </w:tc>
      </w:tr>
      <w:tr w:rsidR="004F34D9" w:rsidRPr="00123108">
        <w:trPr>
          <w:trHeight w:val="397"/>
        </w:trPr>
        <w:tc>
          <w:tcPr>
            <w:tcW w:w="9401" w:type="dxa"/>
            <w:gridSpan w:val="5"/>
            <w:vAlign w:val="center"/>
          </w:tcPr>
          <w:p w:rsidR="004F34D9" w:rsidRPr="00123108" w:rsidRDefault="004F34D9">
            <w:pPr>
              <w:pStyle w:val="affffe"/>
              <w:spacing w:beforeLines="0" w:before="0" w:afterLines="0" w:after="0"/>
              <w:jc w:val="center"/>
              <w:rPr>
                <w:rFonts w:ascii="宋体" w:hAnsi="宋体" w:cs="宋体" w:hint="eastAsia"/>
                <w:szCs w:val="21"/>
              </w:rPr>
            </w:pPr>
            <w:r w:rsidRPr="00123108">
              <w:rPr>
                <w:rFonts w:ascii="宋体" w:hAnsi="宋体" w:cs="宋体" w:hint="eastAsia"/>
                <w:szCs w:val="21"/>
              </w:rPr>
              <w:t>二、评价报告基本情况</w:t>
            </w:r>
          </w:p>
        </w:tc>
      </w:tr>
      <w:tr w:rsidR="004F34D9" w:rsidRPr="00123108">
        <w:trPr>
          <w:trHeight w:val="397"/>
        </w:trPr>
        <w:tc>
          <w:tcPr>
            <w:tcW w:w="7248" w:type="dxa"/>
            <w:gridSpan w:val="4"/>
            <w:vAlign w:val="center"/>
          </w:tcPr>
          <w:p w:rsidR="004F34D9" w:rsidRPr="00123108" w:rsidRDefault="004F34D9">
            <w:pPr>
              <w:pStyle w:val="affffe"/>
              <w:spacing w:beforeLines="0" w:before="0" w:afterLines="0" w:after="0"/>
              <w:jc w:val="center"/>
              <w:rPr>
                <w:rFonts w:ascii="宋体" w:hAnsi="宋体" w:cs="宋体" w:hint="eastAsia"/>
                <w:szCs w:val="21"/>
              </w:rPr>
            </w:pPr>
            <w:r w:rsidRPr="00123108">
              <w:rPr>
                <w:rFonts w:ascii="宋体" w:hAnsi="宋体" w:cs="宋体" w:hint="eastAsia"/>
                <w:szCs w:val="21"/>
              </w:rPr>
              <w:t>内容</w:t>
            </w:r>
          </w:p>
        </w:tc>
        <w:tc>
          <w:tcPr>
            <w:tcW w:w="2153" w:type="dxa"/>
            <w:vAlign w:val="center"/>
          </w:tcPr>
          <w:p w:rsidR="004F34D9" w:rsidRPr="00123108" w:rsidRDefault="004F34D9">
            <w:pPr>
              <w:pStyle w:val="affffe"/>
              <w:spacing w:beforeLines="0" w:before="0" w:afterLines="0" w:after="0"/>
              <w:jc w:val="center"/>
              <w:rPr>
                <w:rFonts w:ascii="宋体" w:hAnsi="宋体" w:cs="宋体" w:hint="eastAsia"/>
                <w:szCs w:val="21"/>
              </w:rPr>
            </w:pPr>
            <w:r w:rsidRPr="00123108">
              <w:rPr>
                <w:rFonts w:ascii="宋体" w:hAnsi="宋体" w:cs="宋体" w:hint="eastAsia"/>
                <w:szCs w:val="21"/>
              </w:rPr>
              <w:t>备注</w:t>
            </w:r>
          </w:p>
        </w:tc>
      </w:tr>
      <w:tr w:rsidR="004F34D9" w:rsidRPr="00123108">
        <w:trPr>
          <w:trHeight w:val="452"/>
        </w:trPr>
        <w:tc>
          <w:tcPr>
            <w:tcW w:w="2124" w:type="dxa"/>
            <w:vAlign w:val="center"/>
          </w:tcPr>
          <w:p w:rsidR="004F34D9" w:rsidRPr="00123108" w:rsidRDefault="004F34D9">
            <w:pPr>
              <w:rPr>
                <w:rFonts w:hint="eastAsia"/>
              </w:rPr>
            </w:pPr>
            <w:r w:rsidRPr="00123108">
              <w:rPr>
                <w:rFonts w:hint="eastAsia"/>
              </w:rPr>
              <w:t>危险化学品</w:t>
            </w:r>
          </w:p>
        </w:tc>
        <w:tc>
          <w:tcPr>
            <w:tcW w:w="5124" w:type="dxa"/>
            <w:gridSpan w:val="3"/>
            <w:vAlign w:val="center"/>
          </w:tcPr>
          <w:p w:rsidR="004F34D9" w:rsidRPr="00123108" w:rsidRDefault="004F34D9">
            <w:pPr>
              <w:rPr>
                <w:rFonts w:hint="eastAsia"/>
              </w:rPr>
            </w:pPr>
            <w:r w:rsidRPr="00123108">
              <w:rPr>
                <w:rFonts w:hint="eastAsia"/>
              </w:rPr>
              <w:t>苯乙烯、戊烷、二甲苯、过氧化苯甲酰、过氧化苯甲酸叔丁酯、过氧化二异丙苯、氮气</w:t>
            </w:r>
            <w:r w:rsidRPr="00123108">
              <w:rPr>
                <w:rFonts w:hint="eastAsia"/>
              </w:rPr>
              <w:t>[</w:t>
            </w:r>
            <w:r w:rsidRPr="00123108">
              <w:rPr>
                <w:rFonts w:hint="eastAsia"/>
              </w:rPr>
              <w:t>压缩的</w:t>
            </w:r>
            <w:r w:rsidRPr="00123108">
              <w:rPr>
                <w:rFonts w:hint="eastAsia"/>
              </w:rPr>
              <w:t>]</w:t>
            </w:r>
            <w:r w:rsidRPr="00123108">
              <w:rPr>
                <w:rFonts w:hint="eastAsia"/>
              </w:rPr>
              <w:t>、盐酸、液碱、柴油、</w:t>
            </w:r>
            <w:r w:rsidRPr="00123108">
              <w:t xml:space="preserve">D </w:t>
            </w:r>
            <w:r w:rsidRPr="00123108">
              <w:rPr>
                <w:rFonts w:hint="eastAsia"/>
              </w:rPr>
              <w:t>-</w:t>
            </w:r>
            <w:r w:rsidRPr="00123108">
              <w:rPr>
                <w:rFonts w:hint="eastAsia"/>
              </w:rPr>
              <w:t>柠檬烯以及产品可发性聚苯乙烯（</w:t>
            </w:r>
            <w:r w:rsidRPr="00123108">
              <w:rPr>
                <w:rFonts w:hint="eastAsia"/>
              </w:rPr>
              <w:t>EPS</w:t>
            </w:r>
            <w:r w:rsidRPr="00123108">
              <w:rPr>
                <w:rFonts w:hint="eastAsia"/>
              </w:rPr>
              <w:t>）</w:t>
            </w:r>
          </w:p>
        </w:tc>
        <w:tc>
          <w:tcPr>
            <w:tcW w:w="2153" w:type="dxa"/>
            <w:vMerge w:val="restart"/>
            <w:vAlign w:val="center"/>
          </w:tcPr>
          <w:p w:rsidR="004F34D9" w:rsidRPr="00123108" w:rsidRDefault="004F34D9">
            <w:pPr>
              <w:pStyle w:val="affffe"/>
              <w:spacing w:beforeLines="0" w:before="0" w:afterLines="0" w:after="0"/>
              <w:jc w:val="center"/>
              <w:rPr>
                <w:rFonts w:ascii="宋体" w:hAnsi="宋体" w:cs="宋体" w:hint="eastAsia"/>
                <w:szCs w:val="21"/>
              </w:rPr>
            </w:pPr>
            <w:r w:rsidRPr="00123108">
              <w:rPr>
                <w:rFonts w:ascii="宋体" w:hAnsi="宋体" w:cs="宋体" w:hint="eastAsia"/>
                <w:szCs w:val="21"/>
              </w:rPr>
              <w:t>6.1章节</w:t>
            </w:r>
          </w:p>
        </w:tc>
      </w:tr>
      <w:tr w:rsidR="004F34D9" w:rsidRPr="00123108">
        <w:trPr>
          <w:trHeight w:val="452"/>
        </w:trPr>
        <w:tc>
          <w:tcPr>
            <w:tcW w:w="2124" w:type="dxa"/>
            <w:vAlign w:val="center"/>
          </w:tcPr>
          <w:p w:rsidR="004F34D9" w:rsidRPr="00123108" w:rsidRDefault="004F34D9">
            <w:pPr>
              <w:rPr>
                <w:rFonts w:hint="eastAsia"/>
              </w:rPr>
            </w:pPr>
            <w:r w:rsidRPr="00123108">
              <w:rPr>
                <w:rFonts w:hint="eastAsia"/>
              </w:rPr>
              <w:t>剧毒化学品</w:t>
            </w:r>
          </w:p>
        </w:tc>
        <w:tc>
          <w:tcPr>
            <w:tcW w:w="5124" w:type="dxa"/>
            <w:gridSpan w:val="3"/>
            <w:vAlign w:val="center"/>
          </w:tcPr>
          <w:p w:rsidR="004F34D9" w:rsidRPr="00123108" w:rsidRDefault="004F34D9">
            <w:pPr>
              <w:rPr>
                <w:rFonts w:hint="eastAsia"/>
              </w:rPr>
            </w:pPr>
            <w:r w:rsidRPr="00123108">
              <w:rPr>
                <w:rFonts w:hint="eastAsia"/>
              </w:rPr>
              <w:t>无</w:t>
            </w:r>
          </w:p>
        </w:tc>
        <w:tc>
          <w:tcPr>
            <w:tcW w:w="2153" w:type="dxa"/>
            <w:vMerge/>
            <w:vAlign w:val="center"/>
          </w:tcPr>
          <w:p w:rsidR="004F34D9" w:rsidRPr="00123108" w:rsidRDefault="004F34D9">
            <w:pPr>
              <w:pStyle w:val="affffe"/>
              <w:spacing w:beforeLines="0" w:before="0" w:afterLines="0" w:after="0"/>
              <w:jc w:val="center"/>
              <w:rPr>
                <w:rFonts w:ascii="宋体" w:hAnsi="宋体" w:cs="宋体" w:hint="eastAsia"/>
                <w:szCs w:val="21"/>
              </w:rPr>
            </w:pPr>
          </w:p>
        </w:tc>
      </w:tr>
      <w:tr w:rsidR="004F34D9" w:rsidRPr="00123108">
        <w:trPr>
          <w:trHeight w:val="204"/>
        </w:trPr>
        <w:tc>
          <w:tcPr>
            <w:tcW w:w="2124" w:type="dxa"/>
            <w:vAlign w:val="center"/>
          </w:tcPr>
          <w:p w:rsidR="004F34D9" w:rsidRPr="00123108" w:rsidRDefault="004F34D9">
            <w:pPr>
              <w:rPr>
                <w:rFonts w:hint="eastAsia"/>
              </w:rPr>
            </w:pPr>
            <w:r w:rsidRPr="00123108">
              <w:rPr>
                <w:rFonts w:hint="eastAsia"/>
              </w:rPr>
              <w:t>易制毒化学品</w:t>
            </w:r>
          </w:p>
        </w:tc>
        <w:tc>
          <w:tcPr>
            <w:tcW w:w="5124" w:type="dxa"/>
            <w:gridSpan w:val="3"/>
            <w:vAlign w:val="center"/>
          </w:tcPr>
          <w:p w:rsidR="004F34D9" w:rsidRPr="00123108" w:rsidRDefault="004F34D9">
            <w:pPr>
              <w:rPr>
                <w:rFonts w:hint="eastAsia"/>
              </w:rPr>
            </w:pPr>
            <w:r w:rsidRPr="00123108">
              <w:rPr>
                <w:rFonts w:hint="eastAsia"/>
              </w:rPr>
              <w:t>盐酸</w:t>
            </w:r>
          </w:p>
        </w:tc>
        <w:tc>
          <w:tcPr>
            <w:tcW w:w="2153" w:type="dxa"/>
            <w:vMerge/>
            <w:vAlign w:val="center"/>
          </w:tcPr>
          <w:p w:rsidR="004F34D9" w:rsidRPr="00123108" w:rsidRDefault="004F34D9">
            <w:pPr>
              <w:pStyle w:val="affffe"/>
              <w:spacing w:beforeLines="0" w:before="0" w:afterLines="0" w:after="0"/>
              <w:jc w:val="center"/>
              <w:rPr>
                <w:rFonts w:ascii="宋体" w:hAnsi="宋体" w:cs="宋体" w:hint="eastAsia"/>
                <w:szCs w:val="21"/>
              </w:rPr>
            </w:pPr>
          </w:p>
        </w:tc>
      </w:tr>
      <w:tr w:rsidR="004F34D9" w:rsidRPr="00123108">
        <w:trPr>
          <w:trHeight w:val="452"/>
        </w:trPr>
        <w:tc>
          <w:tcPr>
            <w:tcW w:w="2124" w:type="dxa"/>
            <w:vAlign w:val="center"/>
          </w:tcPr>
          <w:p w:rsidR="004F34D9" w:rsidRPr="00123108" w:rsidRDefault="004F34D9">
            <w:pPr>
              <w:rPr>
                <w:rFonts w:hint="eastAsia"/>
              </w:rPr>
            </w:pPr>
            <w:r w:rsidRPr="00123108">
              <w:rPr>
                <w:rFonts w:hint="eastAsia"/>
              </w:rPr>
              <w:t>易制爆危险化学品</w:t>
            </w:r>
          </w:p>
        </w:tc>
        <w:tc>
          <w:tcPr>
            <w:tcW w:w="5124" w:type="dxa"/>
            <w:gridSpan w:val="3"/>
            <w:vAlign w:val="center"/>
          </w:tcPr>
          <w:p w:rsidR="004F34D9" w:rsidRPr="00123108" w:rsidRDefault="004F34D9">
            <w:pPr>
              <w:rPr>
                <w:rFonts w:hint="eastAsia"/>
              </w:rPr>
            </w:pPr>
            <w:r w:rsidRPr="00123108">
              <w:rPr>
                <w:rFonts w:hint="eastAsia"/>
              </w:rPr>
              <w:t>过氧化二异丙苯</w:t>
            </w:r>
          </w:p>
        </w:tc>
        <w:tc>
          <w:tcPr>
            <w:tcW w:w="2153" w:type="dxa"/>
            <w:vMerge/>
            <w:vAlign w:val="center"/>
          </w:tcPr>
          <w:p w:rsidR="004F34D9" w:rsidRPr="00123108" w:rsidRDefault="004F34D9">
            <w:pPr>
              <w:pStyle w:val="affffe"/>
              <w:spacing w:beforeLines="0" w:before="0" w:afterLines="0" w:after="0"/>
              <w:jc w:val="center"/>
              <w:rPr>
                <w:rFonts w:ascii="宋体" w:hAnsi="宋体" w:cs="宋体" w:hint="eastAsia"/>
                <w:szCs w:val="21"/>
              </w:rPr>
            </w:pPr>
          </w:p>
        </w:tc>
      </w:tr>
      <w:tr w:rsidR="004F34D9" w:rsidRPr="00123108">
        <w:trPr>
          <w:trHeight w:val="452"/>
        </w:trPr>
        <w:tc>
          <w:tcPr>
            <w:tcW w:w="2124" w:type="dxa"/>
            <w:vAlign w:val="center"/>
          </w:tcPr>
          <w:p w:rsidR="004F34D9" w:rsidRPr="00123108" w:rsidRDefault="004F34D9">
            <w:pPr>
              <w:rPr>
                <w:rFonts w:hint="eastAsia"/>
              </w:rPr>
            </w:pPr>
            <w:r w:rsidRPr="00123108">
              <w:rPr>
                <w:rFonts w:hint="eastAsia"/>
              </w:rPr>
              <w:t>重点监管的危险化学品</w:t>
            </w:r>
          </w:p>
        </w:tc>
        <w:tc>
          <w:tcPr>
            <w:tcW w:w="5124" w:type="dxa"/>
            <w:gridSpan w:val="3"/>
            <w:vAlign w:val="center"/>
          </w:tcPr>
          <w:p w:rsidR="004F34D9" w:rsidRPr="00123108" w:rsidRDefault="004F34D9">
            <w:pPr>
              <w:rPr>
                <w:rFonts w:hint="eastAsia"/>
              </w:rPr>
            </w:pPr>
            <w:r w:rsidRPr="00123108">
              <w:rPr>
                <w:rFonts w:hint="eastAsia"/>
              </w:rPr>
              <w:t>苯乙烯、过氧化苯甲酰和过氧化苯甲酸叔丁酯</w:t>
            </w:r>
          </w:p>
        </w:tc>
        <w:tc>
          <w:tcPr>
            <w:tcW w:w="2153" w:type="dxa"/>
            <w:vMerge/>
            <w:vAlign w:val="center"/>
          </w:tcPr>
          <w:p w:rsidR="004F34D9" w:rsidRPr="00123108" w:rsidRDefault="004F34D9">
            <w:pPr>
              <w:pStyle w:val="affffe"/>
              <w:spacing w:beforeLines="0" w:before="0" w:afterLines="0" w:after="0"/>
              <w:jc w:val="center"/>
              <w:rPr>
                <w:rFonts w:ascii="宋体" w:hAnsi="宋体" w:cs="宋体" w:hint="eastAsia"/>
                <w:szCs w:val="21"/>
              </w:rPr>
            </w:pPr>
          </w:p>
        </w:tc>
      </w:tr>
      <w:tr w:rsidR="004F34D9" w:rsidRPr="00123108">
        <w:trPr>
          <w:trHeight w:val="452"/>
        </w:trPr>
        <w:tc>
          <w:tcPr>
            <w:tcW w:w="2124" w:type="dxa"/>
            <w:vAlign w:val="center"/>
          </w:tcPr>
          <w:p w:rsidR="004F34D9" w:rsidRPr="00123108" w:rsidRDefault="004F34D9">
            <w:pPr>
              <w:rPr>
                <w:rFonts w:ascii="宋体" w:hAnsi="宋体" w:hint="eastAsia"/>
              </w:rPr>
            </w:pPr>
            <w:r w:rsidRPr="00123108">
              <w:rPr>
                <w:rFonts w:ascii="宋体" w:hAnsi="宋体" w:hint="eastAsia"/>
              </w:rPr>
              <w:t>高毒物品</w:t>
            </w:r>
          </w:p>
        </w:tc>
        <w:tc>
          <w:tcPr>
            <w:tcW w:w="5124" w:type="dxa"/>
            <w:gridSpan w:val="3"/>
            <w:vAlign w:val="center"/>
          </w:tcPr>
          <w:p w:rsidR="004F34D9" w:rsidRPr="00123108" w:rsidRDefault="004F34D9">
            <w:pPr>
              <w:rPr>
                <w:rFonts w:ascii="宋体" w:hAnsi="宋体" w:hint="eastAsia"/>
              </w:rPr>
            </w:pPr>
            <w:r w:rsidRPr="00123108">
              <w:rPr>
                <w:rFonts w:ascii="宋体" w:hAnsi="宋体" w:hint="eastAsia"/>
              </w:rPr>
              <w:t>无</w:t>
            </w:r>
          </w:p>
        </w:tc>
        <w:tc>
          <w:tcPr>
            <w:tcW w:w="2153" w:type="dxa"/>
            <w:vMerge/>
            <w:vAlign w:val="center"/>
          </w:tcPr>
          <w:p w:rsidR="004F34D9" w:rsidRPr="00123108" w:rsidRDefault="004F34D9">
            <w:pPr>
              <w:pStyle w:val="affffe"/>
              <w:spacing w:beforeLines="0" w:before="0" w:afterLines="0" w:after="0"/>
              <w:jc w:val="center"/>
              <w:rPr>
                <w:rFonts w:ascii="宋体" w:hAnsi="宋体" w:cs="宋体" w:hint="eastAsia"/>
                <w:szCs w:val="21"/>
              </w:rPr>
            </w:pPr>
          </w:p>
        </w:tc>
      </w:tr>
      <w:tr w:rsidR="004F34D9" w:rsidRPr="00123108">
        <w:trPr>
          <w:trHeight w:val="452"/>
        </w:trPr>
        <w:tc>
          <w:tcPr>
            <w:tcW w:w="2124" w:type="dxa"/>
            <w:vAlign w:val="center"/>
          </w:tcPr>
          <w:p w:rsidR="004F34D9" w:rsidRPr="00123108" w:rsidRDefault="004F34D9">
            <w:pPr>
              <w:rPr>
                <w:rFonts w:ascii="宋体" w:hAnsi="宋体" w:hint="eastAsia"/>
              </w:rPr>
            </w:pPr>
            <w:r w:rsidRPr="00123108">
              <w:rPr>
                <w:rFonts w:ascii="宋体" w:hAnsi="宋体" w:hint="eastAsia"/>
              </w:rPr>
              <w:t>特别管控危险化学品</w:t>
            </w:r>
          </w:p>
        </w:tc>
        <w:tc>
          <w:tcPr>
            <w:tcW w:w="5124" w:type="dxa"/>
            <w:gridSpan w:val="3"/>
            <w:vAlign w:val="center"/>
          </w:tcPr>
          <w:p w:rsidR="004F34D9" w:rsidRPr="00123108" w:rsidRDefault="004F34D9">
            <w:pPr>
              <w:rPr>
                <w:rFonts w:ascii="宋体" w:hAnsi="宋体"/>
              </w:rPr>
            </w:pPr>
            <w:r w:rsidRPr="00123108">
              <w:rPr>
                <w:rFonts w:ascii="宋体" w:hAnsi="宋体" w:hint="eastAsia"/>
              </w:rPr>
              <w:t>无</w:t>
            </w:r>
          </w:p>
        </w:tc>
        <w:tc>
          <w:tcPr>
            <w:tcW w:w="2153" w:type="dxa"/>
            <w:vMerge/>
            <w:vAlign w:val="center"/>
          </w:tcPr>
          <w:p w:rsidR="004F34D9" w:rsidRPr="00123108" w:rsidRDefault="004F34D9">
            <w:pPr>
              <w:pStyle w:val="affffe"/>
              <w:spacing w:beforeLines="0" w:before="0" w:afterLines="0" w:after="0"/>
              <w:jc w:val="center"/>
              <w:rPr>
                <w:rFonts w:ascii="宋体" w:hAnsi="宋体" w:cs="宋体" w:hint="eastAsia"/>
                <w:szCs w:val="21"/>
              </w:rPr>
            </w:pPr>
          </w:p>
        </w:tc>
      </w:tr>
      <w:tr w:rsidR="004F34D9" w:rsidRPr="00123108">
        <w:trPr>
          <w:trHeight w:val="452"/>
        </w:trPr>
        <w:tc>
          <w:tcPr>
            <w:tcW w:w="2124" w:type="dxa"/>
            <w:vAlign w:val="center"/>
          </w:tcPr>
          <w:p w:rsidR="004F34D9" w:rsidRPr="00123108" w:rsidRDefault="004F34D9">
            <w:pPr>
              <w:spacing w:line="300" w:lineRule="exact"/>
              <w:rPr>
                <w:rFonts w:ascii="宋体" w:hAnsi="宋体" w:cs="宋体" w:hint="eastAsia"/>
                <w:szCs w:val="21"/>
              </w:rPr>
            </w:pPr>
            <w:r w:rsidRPr="00123108">
              <w:rPr>
                <w:rFonts w:ascii="宋体" w:hAnsi="宋体" w:cs="宋体" w:hint="eastAsia"/>
                <w:bCs/>
                <w:snapToGrid w:val="0"/>
                <w:kern w:val="0"/>
                <w:szCs w:val="21"/>
              </w:rPr>
              <w:t>涉及的监控化学品</w:t>
            </w:r>
          </w:p>
        </w:tc>
        <w:tc>
          <w:tcPr>
            <w:tcW w:w="5124" w:type="dxa"/>
            <w:gridSpan w:val="3"/>
            <w:vAlign w:val="center"/>
          </w:tcPr>
          <w:p w:rsidR="004F34D9" w:rsidRPr="00123108" w:rsidRDefault="004F34D9">
            <w:pPr>
              <w:pStyle w:val="affffe"/>
              <w:spacing w:beforeLines="0" w:before="0" w:afterLines="0" w:after="0"/>
              <w:jc w:val="left"/>
              <w:rPr>
                <w:rFonts w:ascii="宋体" w:hAnsi="宋体" w:cs="宋体" w:hint="eastAsia"/>
                <w:szCs w:val="21"/>
              </w:rPr>
            </w:pPr>
            <w:r w:rsidRPr="00123108">
              <w:rPr>
                <w:rFonts w:ascii="宋体" w:hAnsi="宋体" w:cs="宋体" w:hint="eastAsia"/>
                <w:szCs w:val="21"/>
              </w:rPr>
              <w:t>无</w:t>
            </w:r>
          </w:p>
        </w:tc>
        <w:tc>
          <w:tcPr>
            <w:tcW w:w="2153" w:type="dxa"/>
            <w:vMerge/>
            <w:vAlign w:val="center"/>
          </w:tcPr>
          <w:p w:rsidR="004F34D9" w:rsidRPr="00123108" w:rsidRDefault="004F34D9">
            <w:pPr>
              <w:pStyle w:val="affffe"/>
              <w:spacing w:beforeLines="0" w:before="0" w:afterLines="0" w:after="0"/>
              <w:jc w:val="center"/>
              <w:rPr>
                <w:rFonts w:ascii="宋体" w:hAnsi="宋体" w:cs="宋体" w:hint="eastAsia"/>
                <w:szCs w:val="21"/>
              </w:rPr>
            </w:pPr>
          </w:p>
        </w:tc>
      </w:tr>
      <w:tr w:rsidR="004F34D9" w:rsidRPr="00123108">
        <w:trPr>
          <w:trHeight w:val="397"/>
        </w:trPr>
        <w:tc>
          <w:tcPr>
            <w:tcW w:w="2124" w:type="dxa"/>
            <w:vAlign w:val="center"/>
          </w:tcPr>
          <w:p w:rsidR="004F34D9" w:rsidRPr="00123108" w:rsidRDefault="004F34D9">
            <w:pPr>
              <w:pStyle w:val="affffe"/>
              <w:spacing w:beforeLines="0" w:before="0" w:afterLines="0" w:after="0"/>
              <w:jc w:val="center"/>
              <w:rPr>
                <w:rFonts w:ascii="宋体" w:hAnsi="宋体" w:cs="宋体" w:hint="eastAsia"/>
                <w:szCs w:val="21"/>
              </w:rPr>
            </w:pPr>
            <w:r w:rsidRPr="00123108">
              <w:rPr>
                <w:rFonts w:ascii="宋体" w:hAnsi="宋体" w:cs="宋体" w:hint="eastAsia"/>
                <w:szCs w:val="21"/>
              </w:rPr>
              <w:t>重点危险工艺</w:t>
            </w:r>
          </w:p>
        </w:tc>
        <w:tc>
          <w:tcPr>
            <w:tcW w:w="5124" w:type="dxa"/>
            <w:gridSpan w:val="3"/>
            <w:vAlign w:val="center"/>
          </w:tcPr>
          <w:p w:rsidR="004F34D9" w:rsidRPr="00123108" w:rsidRDefault="004F34D9">
            <w:pPr>
              <w:pStyle w:val="affffe"/>
              <w:spacing w:beforeLines="0" w:before="0" w:afterLines="0" w:after="0"/>
              <w:rPr>
                <w:rFonts w:ascii="宋体" w:hAnsi="宋体" w:cs="宋体" w:hint="eastAsia"/>
                <w:snapToGrid w:val="0"/>
                <w:szCs w:val="21"/>
              </w:rPr>
            </w:pPr>
            <w:r w:rsidRPr="00123108">
              <w:rPr>
                <w:rFonts w:ascii="宋体" w:hAnsi="宋体" w:cs="宋体" w:hint="eastAsia"/>
                <w:snapToGrid w:val="0"/>
                <w:szCs w:val="21"/>
              </w:rPr>
              <w:t>聚合工艺</w:t>
            </w:r>
          </w:p>
        </w:tc>
        <w:tc>
          <w:tcPr>
            <w:tcW w:w="2153" w:type="dxa"/>
            <w:vAlign w:val="center"/>
          </w:tcPr>
          <w:p w:rsidR="004F34D9" w:rsidRPr="00123108" w:rsidRDefault="004F34D9">
            <w:pPr>
              <w:pStyle w:val="affffe"/>
              <w:spacing w:beforeLines="0" w:before="0" w:afterLines="0" w:after="0"/>
              <w:jc w:val="center"/>
              <w:rPr>
                <w:rFonts w:ascii="宋体" w:hAnsi="宋体" w:cs="宋体" w:hint="eastAsia"/>
                <w:szCs w:val="21"/>
              </w:rPr>
            </w:pPr>
            <w:r w:rsidRPr="00123108">
              <w:rPr>
                <w:rFonts w:ascii="宋体" w:hAnsi="宋体" w:cs="宋体" w:hint="eastAsia"/>
                <w:szCs w:val="21"/>
              </w:rPr>
              <w:t>第6.2章节</w:t>
            </w:r>
          </w:p>
        </w:tc>
      </w:tr>
      <w:tr w:rsidR="004F34D9" w:rsidRPr="00123108">
        <w:trPr>
          <w:trHeight w:val="90"/>
        </w:trPr>
        <w:tc>
          <w:tcPr>
            <w:tcW w:w="2124" w:type="dxa"/>
            <w:vAlign w:val="center"/>
          </w:tcPr>
          <w:p w:rsidR="004F34D9" w:rsidRPr="00123108" w:rsidRDefault="004F34D9">
            <w:pPr>
              <w:pStyle w:val="affffe"/>
              <w:spacing w:beforeLines="0" w:before="0" w:afterLines="0" w:after="0"/>
              <w:jc w:val="center"/>
              <w:rPr>
                <w:rFonts w:ascii="宋体" w:hAnsi="宋体" w:cs="宋体" w:hint="eastAsia"/>
                <w:szCs w:val="21"/>
              </w:rPr>
            </w:pPr>
            <w:r w:rsidRPr="00123108">
              <w:rPr>
                <w:rFonts w:ascii="宋体" w:hAnsi="宋体" w:cs="宋体" w:hint="eastAsia"/>
                <w:szCs w:val="21"/>
              </w:rPr>
              <w:t>危险化学品</w:t>
            </w:r>
          </w:p>
          <w:p w:rsidR="004F34D9" w:rsidRPr="00123108" w:rsidRDefault="004F34D9">
            <w:pPr>
              <w:pStyle w:val="affffe"/>
              <w:spacing w:beforeLines="0" w:before="0" w:afterLines="0" w:after="0"/>
              <w:jc w:val="center"/>
              <w:rPr>
                <w:rFonts w:ascii="宋体" w:hAnsi="宋体" w:cs="宋体" w:hint="eastAsia"/>
                <w:szCs w:val="21"/>
              </w:rPr>
            </w:pPr>
            <w:r w:rsidRPr="00123108">
              <w:rPr>
                <w:rFonts w:ascii="宋体" w:hAnsi="宋体" w:cs="宋体" w:hint="eastAsia"/>
                <w:szCs w:val="21"/>
              </w:rPr>
              <w:t>重大危险源</w:t>
            </w:r>
          </w:p>
        </w:tc>
        <w:tc>
          <w:tcPr>
            <w:tcW w:w="5124" w:type="dxa"/>
            <w:gridSpan w:val="3"/>
            <w:vAlign w:val="center"/>
          </w:tcPr>
          <w:p w:rsidR="004F34D9" w:rsidRPr="00123108" w:rsidRDefault="004F34D9">
            <w:pPr>
              <w:pStyle w:val="affffe"/>
              <w:spacing w:beforeLines="0" w:before="0" w:afterLines="0" w:after="0"/>
              <w:rPr>
                <w:rFonts w:ascii="宋体" w:hAnsi="宋体" w:cs="宋体" w:hint="eastAsia"/>
                <w:szCs w:val="21"/>
              </w:rPr>
            </w:pPr>
            <w:r w:rsidRPr="00123108">
              <w:rPr>
                <w:rFonts w:ascii="宋体" w:hAnsi="宋体" w:cs="宋体" w:hint="eastAsia"/>
                <w:snapToGrid w:val="0"/>
                <w:szCs w:val="21"/>
              </w:rPr>
              <w:t>根据危险化学品重大危险源辨识结果，</w:t>
            </w:r>
            <w:r w:rsidRPr="00123108">
              <w:rPr>
                <w:rFonts w:ascii="宋体" w:hAnsi="宋体" w:hint="eastAsia"/>
              </w:rPr>
              <w:t>苯乙烯罐区、5#成品库分别构成三级危险化学品重大危险源</w:t>
            </w:r>
          </w:p>
        </w:tc>
        <w:tc>
          <w:tcPr>
            <w:tcW w:w="2153" w:type="dxa"/>
            <w:vAlign w:val="center"/>
          </w:tcPr>
          <w:p w:rsidR="004F34D9" w:rsidRPr="00123108" w:rsidRDefault="004F34D9">
            <w:pPr>
              <w:pStyle w:val="affffe"/>
              <w:spacing w:beforeLines="0" w:before="0" w:afterLines="0" w:after="0"/>
              <w:jc w:val="center"/>
              <w:rPr>
                <w:rFonts w:ascii="宋体" w:hAnsi="宋体" w:cs="宋体" w:hint="eastAsia"/>
                <w:szCs w:val="21"/>
              </w:rPr>
            </w:pPr>
            <w:r w:rsidRPr="00123108">
              <w:rPr>
                <w:rFonts w:ascii="宋体" w:hAnsi="宋体" w:cs="宋体" w:hint="eastAsia"/>
                <w:szCs w:val="21"/>
              </w:rPr>
              <w:t>第6.3章节</w:t>
            </w:r>
          </w:p>
        </w:tc>
      </w:tr>
      <w:tr w:rsidR="004F34D9" w:rsidRPr="00123108">
        <w:trPr>
          <w:trHeight w:val="397"/>
        </w:trPr>
        <w:tc>
          <w:tcPr>
            <w:tcW w:w="2124" w:type="dxa"/>
            <w:vAlign w:val="center"/>
          </w:tcPr>
          <w:p w:rsidR="004F34D9" w:rsidRPr="00123108" w:rsidRDefault="004F34D9">
            <w:pPr>
              <w:pStyle w:val="afffff5"/>
              <w:spacing w:before="0" w:line="260" w:lineRule="exact"/>
              <w:jc w:val="center"/>
              <w:rPr>
                <w:rFonts w:ascii="宋体" w:hAnsi="宋体" w:cs="宋体" w:hint="eastAsia"/>
                <w:szCs w:val="21"/>
              </w:rPr>
            </w:pPr>
            <w:r w:rsidRPr="00123108">
              <w:rPr>
                <w:rFonts w:ascii="宋体" w:hAnsi="宋体" w:cs="宋体" w:hint="eastAsia"/>
                <w:szCs w:val="28"/>
              </w:rPr>
              <w:t>危险、有害因素分析</w:t>
            </w:r>
          </w:p>
        </w:tc>
        <w:tc>
          <w:tcPr>
            <w:tcW w:w="5124" w:type="dxa"/>
            <w:gridSpan w:val="3"/>
            <w:vAlign w:val="center"/>
          </w:tcPr>
          <w:p w:rsidR="004F34D9" w:rsidRPr="00123108" w:rsidRDefault="004F34D9">
            <w:pPr>
              <w:pStyle w:val="affffe"/>
              <w:spacing w:beforeLines="0" w:before="0" w:afterLines="0" w:after="0"/>
              <w:rPr>
                <w:rFonts w:ascii="宋体" w:hAnsi="宋体" w:cs="宋体" w:hint="eastAsia"/>
                <w:szCs w:val="21"/>
              </w:rPr>
            </w:pPr>
            <w:r w:rsidRPr="00123108">
              <w:rPr>
                <w:rFonts w:ascii="宋体" w:hAnsi="宋体" w:cs="宋体" w:hint="eastAsia"/>
                <w:szCs w:val="21"/>
              </w:rPr>
              <w:t>本项目在生产、储存等过程中存在的主要危险、有害因素是火灾、容器爆炸、其他爆炸、中毒和窒息等。次要危险为触电、机械伤害、车辆伤害、高处坠落、物体打击、灼烫、起重伤害、淹溺、</w:t>
            </w:r>
            <w:r w:rsidRPr="00123108">
              <w:rPr>
                <w:rFonts w:ascii="宋体" w:hAnsi="宋体" w:cs="宋体" w:hint="eastAsia"/>
                <w:bCs/>
                <w:caps/>
                <w:szCs w:val="21"/>
              </w:rPr>
              <w:t>坍塌、</w:t>
            </w:r>
            <w:r w:rsidRPr="00123108">
              <w:rPr>
                <w:rFonts w:ascii="宋体" w:hAnsi="宋体" w:cs="宋体" w:hint="eastAsia"/>
                <w:szCs w:val="21"/>
              </w:rPr>
              <w:t>其他伤害、粉尘危害等</w:t>
            </w:r>
          </w:p>
        </w:tc>
        <w:tc>
          <w:tcPr>
            <w:tcW w:w="2153" w:type="dxa"/>
            <w:vAlign w:val="center"/>
          </w:tcPr>
          <w:p w:rsidR="004F34D9" w:rsidRPr="00123108" w:rsidRDefault="004F34D9">
            <w:pPr>
              <w:pStyle w:val="afffff5"/>
              <w:spacing w:before="0" w:line="260" w:lineRule="exact"/>
              <w:jc w:val="center"/>
              <w:rPr>
                <w:rFonts w:ascii="宋体" w:hAnsi="宋体" w:cs="宋体" w:hint="eastAsia"/>
                <w:szCs w:val="21"/>
              </w:rPr>
            </w:pPr>
            <w:r w:rsidRPr="00123108">
              <w:rPr>
                <w:rFonts w:ascii="宋体" w:hAnsi="宋体" w:cs="宋体" w:hint="eastAsia"/>
                <w:szCs w:val="28"/>
              </w:rPr>
              <w:t>附件1</w:t>
            </w:r>
          </w:p>
        </w:tc>
      </w:tr>
      <w:tr w:rsidR="004F34D9" w:rsidRPr="00123108">
        <w:trPr>
          <w:trHeight w:val="397"/>
        </w:trPr>
        <w:tc>
          <w:tcPr>
            <w:tcW w:w="2124" w:type="dxa"/>
            <w:vAlign w:val="center"/>
          </w:tcPr>
          <w:p w:rsidR="004F34D9" w:rsidRPr="00123108" w:rsidRDefault="004F34D9">
            <w:pPr>
              <w:pStyle w:val="affffe"/>
              <w:spacing w:beforeLines="0" w:before="0" w:afterLines="0" w:after="0"/>
              <w:jc w:val="center"/>
              <w:rPr>
                <w:rFonts w:ascii="宋体" w:hAnsi="宋体" w:cs="宋体" w:hint="eastAsia"/>
                <w:szCs w:val="21"/>
              </w:rPr>
            </w:pPr>
            <w:r w:rsidRPr="00123108">
              <w:rPr>
                <w:rFonts w:ascii="宋体" w:hAnsi="宋体" w:cs="宋体" w:hint="eastAsia"/>
                <w:szCs w:val="21"/>
              </w:rPr>
              <w:t>定性、定量分析过程</w:t>
            </w:r>
          </w:p>
        </w:tc>
        <w:tc>
          <w:tcPr>
            <w:tcW w:w="5124" w:type="dxa"/>
            <w:gridSpan w:val="3"/>
            <w:vAlign w:val="center"/>
          </w:tcPr>
          <w:p w:rsidR="004F34D9" w:rsidRPr="00123108" w:rsidRDefault="004F34D9">
            <w:pPr>
              <w:pStyle w:val="affffe"/>
              <w:spacing w:beforeLines="0" w:before="0" w:afterLines="0" w:after="0"/>
              <w:rPr>
                <w:rFonts w:ascii="宋体" w:hAnsi="宋体" w:cs="宋体" w:hint="eastAsia"/>
                <w:szCs w:val="21"/>
              </w:rPr>
            </w:pPr>
            <w:r w:rsidRPr="00123108">
              <w:rPr>
                <w:rFonts w:ascii="宋体" w:hAnsi="宋体" w:cs="宋体" w:hint="eastAsia"/>
                <w:szCs w:val="21"/>
              </w:rPr>
              <w:t>定性、定量分析过程包括：固有危险程度分析、风险程度分析、</w:t>
            </w:r>
            <w:r w:rsidRPr="00123108">
              <w:rPr>
                <w:rFonts w:ascii="宋体" w:hAnsi="宋体" w:cs="宋体" w:hint="eastAsia"/>
                <w:szCs w:val="21"/>
                <w:lang w:val="zh-CN"/>
              </w:rPr>
              <w:t>安全条件</w:t>
            </w:r>
            <w:r w:rsidRPr="00123108">
              <w:rPr>
                <w:rFonts w:ascii="宋体" w:hAnsi="宋体" w:cs="宋体" w:hint="eastAsia"/>
                <w:szCs w:val="21"/>
              </w:rPr>
              <w:t>评价、安全生产条件评价等</w:t>
            </w:r>
          </w:p>
        </w:tc>
        <w:tc>
          <w:tcPr>
            <w:tcW w:w="2153" w:type="dxa"/>
            <w:vAlign w:val="center"/>
          </w:tcPr>
          <w:p w:rsidR="004F34D9" w:rsidRPr="00123108" w:rsidRDefault="004F34D9">
            <w:pPr>
              <w:pStyle w:val="affffe"/>
              <w:spacing w:beforeLines="0" w:before="0" w:afterLines="0" w:after="0"/>
              <w:jc w:val="center"/>
              <w:rPr>
                <w:rFonts w:ascii="宋体" w:hAnsi="宋体" w:cs="宋体" w:hint="eastAsia"/>
                <w:szCs w:val="21"/>
              </w:rPr>
            </w:pPr>
            <w:r w:rsidRPr="00123108">
              <w:rPr>
                <w:rFonts w:ascii="宋体" w:hAnsi="宋体" w:cs="宋体" w:hint="eastAsia"/>
                <w:szCs w:val="21"/>
              </w:rPr>
              <w:t>附件2</w:t>
            </w:r>
          </w:p>
        </w:tc>
      </w:tr>
      <w:tr w:rsidR="004F34D9" w:rsidRPr="00123108">
        <w:trPr>
          <w:trHeight w:val="397"/>
        </w:trPr>
        <w:tc>
          <w:tcPr>
            <w:tcW w:w="2124" w:type="dxa"/>
            <w:vAlign w:val="center"/>
          </w:tcPr>
          <w:p w:rsidR="004F34D9" w:rsidRPr="00123108" w:rsidRDefault="004F34D9">
            <w:pPr>
              <w:pStyle w:val="affffe"/>
              <w:spacing w:beforeLines="0" w:before="0" w:afterLines="0" w:after="0"/>
              <w:jc w:val="center"/>
              <w:rPr>
                <w:rFonts w:ascii="宋体" w:hAnsi="宋体" w:cs="宋体" w:hint="eastAsia"/>
                <w:szCs w:val="21"/>
              </w:rPr>
            </w:pPr>
            <w:r w:rsidRPr="00123108">
              <w:rPr>
                <w:rFonts w:ascii="宋体" w:hAnsi="宋体" w:cs="宋体" w:hint="eastAsia"/>
                <w:lang w:val="zh-CN"/>
              </w:rPr>
              <w:t>安全对策措施与建议</w:t>
            </w:r>
          </w:p>
        </w:tc>
        <w:tc>
          <w:tcPr>
            <w:tcW w:w="5124" w:type="dxa"/>
            <w:gridSpan w:val="3"/>
            <w:vAlign w:val="center"/>
          </w:tcPr>
          <w:p w:rsidR="004F34D9" w:rsidRPr="00123108" w:rsidRDefault="004F34D9">
            <w:pPr>
              <w:pStyle w:val="affffe"/>
              <w:spacing w:beforeLines="0" w:before="0" w:afterLines="0" w:after="0"/>
              <w:rPr>
                <w:rFonts w:ascii="宋体" w:hAnsi="宋体" w:cs="宋体" w:hint="eastAsia"/>
                <w:szCs w:val="21"/>
              </w:rPr>
            </w:pPr>
            <w:r w:rsidRPr="00123108">
              <w:rPr>
                <w:rFonts w:ascii="宋体" w:hAnsi="宋体" w:cs="宋体" w:hint="eastAsia"/>
                <w:lang w:val="zh-CN"/>
              </w:rPr>
              <w:t>安全对策措施与建议</w:t>
            </w:r>
            <w:r w:rsidRPr="00123108">
              <w:rPr>
                <w:rFonts w:ascii="宋体" w:hAnsi="宋体" w:cs="宋体" w:hint="eastAsia"/>
                <w:szCs w:val="28"/>
              </w:rPr>
              <w:t>主要包括</w:t>
            </w:r>
            <w:bookmarkStart w:id="95" w:name="_Toc230152782"/>
            <w:bookmarkStart w:id="96" w:name="_Toc198367348"/>
            <w:bookmarkStart w:id="97" w:name="_Toc231021077"/>
            <w:bookmarkStart w:id="98" w:name="_Toc197158821"/>
            <w:bookmarkStart w:id="99" w:name="_Toc211847335"/>
            <w:r w:rsidRPr="00123108">
              <w:rPr>
                <w:rFonts w:ascii="宋体" w:hAnsi="宋体" w:cs="宋体" w:hint="eastAsia"/>
                <w:szCs w:val="28"/>
              </w:rPr>
              <w:t>：</w:t>
            </w:r>
            <w:r w:rsidRPr="00123108">
              <w:rPr>
                <w:rFonts w:ascii="宋体" w:hAnsi="宋体" w:cs="宋体" w:hint="eastAsia"/>
                <w:szCs w:val="21"/>
                <w:lang w:val="zh-CN"/>
              </w:rPr>
              <w:t>存在的主要问题</w:t>
            </w:r>
            <w:bookmarkEnd w:id="95"/>
            <w:bookmarkEnd w:id="96"/>
            <w:bookmarkEnd w:id="97"/>
            <w:bookmarkEnd w:id="98"/>
            <w:bookmarkEnd w:id="99"/>
            <w:r w:rsidRPr="00123108">
              <w:rPr>
                <w:rFonts w:ascii="宋体" w:hAnsi="宋体" w:cs="宋体" w:hint="eastAsia"/>
                <w:szCs w:val="21"/>
                <w:lang w:val="zh-CN"/>
              </w:rPr>
              <w:t>及整改措施</w:t>
            </w:r>
            <w:r w:rsidRPr="00123108">
              <w:rPr>
                <w:rFonts w:ascii="宋体" w:hAnsi="宋体" w:cs="宋体" w:hint="eastAsia"/>
                <w:szCs w:val="21"/>
              </w:rPr>
              <w:t>、</w:t>
            </w:r>
            <w:r w:rsidRPr="00123108">
              <w:rPr>
                <w:rFonts w:ascii="宋体" w:hAnsi="宋体" w:cs="宋体" w:hint="eastAsia"/>
                <w:szCs w:val="21"/>
                <w:lang w:val="zh-CN"/>
              </w:rPr>
              <w:t>建议</w:t>
            </w:r>
          </w:p>
        </w:tc>
        <w:tc>
          <w:tcPr>
            <w:tcW w:w="2153" w:type="dxa"/>
            <w:vAlign w:val="center"/>
          </w:tcPr>
          <w:p w:rsidR="004F34D9" w:rsidRPr="00123108" w:rsidRDefault="004F34D9">
            <w:pPr>
              <w:pStyle w:val="affffe"/>
              <w:spacing w:beforeLines="0" w:before="0" w:afterLines="0" w:after="0"/>
              <w:jc w:val="center"/>
              <w:rPr>
                <w:rFonts w:ascii="宋体" w:hAnsi="宋体" w:cs="宋体" w:hint="eastAsia"/>
                <w:szCs w:val="21"/>
              </w:rPr>
            </w:pPr>
            <w:r w:rsidRPr="00123108">
              <w:rPr>
                <w:rFonts w:ascii="宋体" w:hAnsi="宋体" w:cs="宋体" w:hint="eastAsia"/>
                <w:szCs w:val="21"/>
              </w:rPr>
              <w:t>第8章</w:t>
            </w:r>
          </w:p>
        </w:tc>
      </w:tr>
      <w:tr w:rsidR="004F34D9" w:rsidRPr="00123108">
        <w:trPr>
          <w:trHeight w:val="397"/>
        </w:trPr>
        <w:tc>
          <w:tcPr>
            <w:tcW w:w="2124" w:type="dxa"/>
            <w:vAlign w:val="center"/>
          </w:tcPr>
          <w:p w:rsidR="004F34D9" w:rsidRPr="00123108" w:rsidRDefault="004F34D9">
            <w:pPr>
              <w:pStyle w:val="affffe"/>
              <w:spacing w:beforeLines="0" w:before="0" w:afterLines="0" w:after="0"/>
              <w:jc w:val="center"/>
              <w:rPr>
                <w:rFonts w:ascii="宋体" w:hAnsi="宋体" w:cs="宋体" w:hint="eastAsia"/>
                <w:szCs w:val="21"/>
              </w:rPr>
            </w:pPr>
            <w:r w:rsidRPr="00123108">
              <w:rPr>
                <w:rFonts w:ascii="宋体" w:hAnsi="宋体" w:cs="宋体" w:hint="eastAsia"/>
                <w:szCs w:val="28"/>
              </w:rPr>
              <w:t>总体评价结论</w:t>
            </w:r>
          </w:p>
        </w:tc>
        <w:tc>
          <w:tcPr>
            <w:tcW w:w="5124" w:type="dxa"/>
            <w:gridSpan w:val="3"/>
            <w:vAlign w:val="center"/>
          </w:tcPr>
          <w:p w:rsidR="004F34D9" w:rsidRPr="00123108" w:rsidRDefault="004F34D9">
            <w:pPr>
              <w:pStyle w:val="affffe"/>
              <w:spacing w:beforeLines="0" w:before="0" w:afterLines="0" w:after="0"/>
              <w:rPr>
                <w:rFonts w:ascii="宋体" w:hAnsi="宋体" w:cs="宋体" w:hint="eastAsia"/>
                <w:lang w:val="zh-CN"/>
              </w:rPr>
            </w:pPr>
            <w:r w:rsidRPr="00123108">
              <w:rPr>
                <w:rFonts w:ascii="宋体" w:hAnsi="宋体" w:cs="宋体" w:hint="eastAsia"/>
              </w:rPr>
              <w:t>该企业对于评价报告提出的整改措施，均已整改完毕，符合危险化学品安全生产许可证换证审查条件</w:t>
            </w:r>
          </w:p>
        </w:tc>
        <w:tc>
          <w:tcPr>
            <w:tcW w:w="2153" w:type="dxa"/>
            <w:vAlign w:val="center"/>
          </w:tcPr>
          <w:p w:rsidR="004F34D9" w:rsidRPr="00123108" w:rsidRDefault="004F34D9">
            <w:pPr>
              <w:pStyle w:val="affffe"/>
              <w:spacing w:beforeLines="0" w:before="0" w:afterLines="0" w:after="0"/>
              <w:jc w:val="center"/>
              <w:rPr>
                <w:rFonts w:ascii="宋体" w:hAnsi="宋体" w:cs="宋体" w:hint="eastAsia"/>
                <w:szCs w:val="21"/>
              </w:rPr>
            </w:pPr>
            <w:r w:rsidRPr="00123108">
              <w:rPr>
                <w:rFonts w:ascii="宋体" w:hAnsi="宋体" w:cs="宋体" w:hint="eastAsia"/>
                <w:szCs w:val="21"/>
              </w:rPr>
              <w:t>第9章</w:t>
            </w:r>
          </w:p>
        </w:tc>
      </w:tr>
    </w:tbl>
    <w:p w:rsidR="00D67F4D" w:rsidRPr="00123108" w:rsidRDefault="00D67F4D">
      <w:pPr>
        <w:spacing w:line="360" w:lineRule="auto"/>
        <w:jc w:val="center"/>
        <w:rPr>
          <w:rFonts w:ascii="宋体" w:hAnsi="宋体" w:cs="宋体"/>
          <w:b/>
          <w:sz w:val="32"/>
          <w:szCs w:val="32"/>
        </w:rPr>
        <w:sectPr w:rsidR="00D67F4D" w:rsidRPr="00123108">
          <w:headerReference w:type="default" r:id="rId8"/>
          <w:footerReference w:type="default" r:id="rId9"/>
          <w:pgSz w:w="11907" w:h="16840"/>
          <w:pgMar w:top="1418" w:right="1134" w:bottom="1134" w:left="1588" w:header="851" w:footer="992" w:gutter="0"/>
          <w:paperSrc w:first="7" w:other="7"/>
          <w:pgNumType w:fmt="upperRoman"/>
          <w:cols w:space="720"/>
          <w:docGrid w:linePitch="437" w:charSpace="4301"/>
        </w:sectPr>
      </w:pPr>
    </w:p>
    <w:p w:rsidR="004F34D9" w:rsidRPr="00123108" w:rsidRDefault="004F34D9">
      <w:pPr>
        <w:spacing w:line="360" w:lineRule="auto"/>
        <w:jc w:val="center"/>
        <w:rPr>
          <w:rFonts w:ascii="宋体" w:hAnsi="宋体" w:cs="宋体" w:hint="eastAsia"/>
          <w:b/>
          <w:sz w:val="32"/>
          <w:szCs w:val="32"/>
        </w:rPr>
      </w:pPr>
      <w:r w:rsidRPr="00123108">
        <w:rPr>
          <w:rFonts w:ascii="宋体" w:hAnsi="宋体" w:cs="宋体" w:hint="eastAsia"/>
          <w:b/>
          <w:sz w:val="32"/>
          <w:szCs w:val="32"/>
        </w:rPr>
        <w:lastRenderedPageBreak/>
        <w:t>非常用的术语、符号和代号说明</w:t>
      </w:r>
    </w:p>
    <w:tbl>
      <w:tblPr>
        <w:tblW w:w="917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
        <w:gridCol w:w="1789"/>
        <w:gridCol w:w="6856"/>
      </w:tblGrid>
      <w:tr w:rsidR="004F34D9" w:rsidRPr="00123108">
        <w:trPr>
          <w:cantSplit/>
          <w:tblHeader/>
          <w:jc w:val="center"/>
        </w:trPr>
        <w:tc>
          <w:tcPr>
            <w:tcW w:w="52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序号</w:t>
            </w:r>
          </w:p>
        </w:tc>
        <w:tc>
          <w:tcPr>
            <w:tcW w:w="178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非常用的术语、符号和代号</w:t>
            </w:r>
          </w:p>
        </w:tc>
        <w:tc>
          <w:tcPr>
            <w:tcW w:w="6856"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说明</w:t>
            </w:r>
          </w:p>
        </w:tc>
      </w:tr>
      <w:tr w:rsidR="004F34D9" w:rsidRPr="00123108">
        <w:trPr>
          <w:cantSplit/>
          <w:jc w:val="center"/>
        </w:trPr>
        <w:tc>
          <w:tcPr>
            <w:tcW w:w="52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w:t>
            </w:r>
          </w:p>
        </w:tc>
        <w:tc>
          <w:tcPr>
            <w:tcW w:w="178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UN</w:t>
            </w:r>
          </w:p>
        </w:tc>
        <w:tc>
          <w:tcPr>
            <w:tcW w:w="6856" w:type="dxa"/>
            <w:vAlign w:val="center"/>
          </w:tcPr>
          <w:p w:rsidR="004F34D9" w:rsidRPr="00123108" w:rsidRDefault="004F34D9">
            <w:pPr>
              <w:rPr>
                <w:rFonts w:ascii="宋体" w:hAnsi="宋体" w:cs="宋体" w:hint="eastAsia"/>
                <w:szCs w:val="21"/>
              </w:rPr>
            </w:pPr>
            <w:r w:rsidRPr="00123108">
              <w:rPr>
                <w:rFonts w:ascii="宋体" w:hAnsi="宋体" w:cs="宋体" w:hint="eastAsia"/>
                <w:szCs w:val="21"/>
              </w:rPr>
              <w:t>联合国危险货物编号，由联合国危险货物运输专家委员会编制的4位阿拉伯数编号，用以识别一种物质或一类特定物质。该编号登录在联合国《关于危险货物运输的建议书》（Recommendations on the Transport of DangerousGoods）中</w:t>
            </w:r>
          </w:p>
        </w:tc>
      </w:tr>
      <w:tr w:rsidR="004F34D9" w:rsidRPr="00123108">
        <w:trPr>
          <w:cantSplit/>
          <w:jc w:val="center"/>
        </w:trPr>
        <w:tc>
          <w:tcPr>
            <w:tcW w:w="52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2</w:t>
            </w:r>
          </w:p>
        </w:tc>
        <w:tc>
          <w:tcPr>
            <w:tcW w:w="178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CAS</w:t>
            </w:r>
          </w:p>
        </w:tc>
        <w:tc>
          <w:tcPr>
            <w:tcW w:w="6856" w:type="dxa"/>
            <w:vAlign w:val="center"/>
          </w:tcPr>
          <w:p w:rsidR="004F34D9" w:rsidRPr="00123108" w:rsidRDefault="004F34D9">
            <w:pPr>
              <w:rPr>
                <w:rFonts w:ascii="宋体" w:hAnsi="宋体" w:cs="宋体" w:hint="eastAsia"/>
                <w:szCs w:val="21"/>
              </w:rPr>
            </w:pPr>
            <w:r w:rsidRPr="00123108">
              <w:rPr>
                <w:rFonts w:ascii="宋体" w:hAnsi="宋体" w:cs="宋体" w:hint="eastAsia"/>
                <w:szCs w:val="21"/>
              </w:rPr>
              <w:t>CAS编号中文全称为“化学物质登录号”，由一组数字组成。CAS编号最早出现于美国化学摘要服务社（chemical abstracts service，CAS即为该服务社的缩写）出版的《化学摘要》，与其同时研发的网上检索系统，后来凭借无比的优越性，其他出版社也采用CAS编码来标明化学物质</w:t>
            </w:r>
          </w:p>
        </w:tc>
      </w:tr>
      <w:tr w:rsidR="004F34D9" w:rsidRPr="00123108">
        <w:trPr>
          <w:cantSplit/>
          <w:jc w:val="center"/>
        </w:trPr>
        <w:tc>
          <w:tcPr>
            <w:tcW w:w="52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3</w:t>
            </w:r>
          </w:p>
        </w:tc>
        <w:tc>
          <w:tcPr>
            <w:tcW w:w="178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LD</w:t>
            </w:r>
            <w:r w:rsidRPr="00123108">
              <w:rPr>
                <w:rFonts w:ascii="宋体" w:hAnsi="宋体" w:cs="宋体" w:hint="eastAsia"/>
                <w:szCs w:val="21"/>
                <w:vertAlign w:val="subscript"/>
              </w:rPr>
              <w:t>50</w:t>
            </w:r>
            <w:r w:rsidRPr="00123108">
              <w:rPr>
                <w:rFonts w:ascii="宋体" w:hAnsi="宋体" w:cs="宋体" w:hint="eastAsia"/>
                <w:szCs w:val="21"/>
              </w:rPr>
              <w:t>/LC</w:t>
            </w:r>
            <w:r w:rsidRPr="00123108">
              <w:rPr>
                <w:rFonts w:ascii="宋体" w:hAnsi="宋体" w:cs="宋体" w:hint="eastAsia"/>
                <w:szCs w:val="21"/>
                <w:vertAlign w:val="subscript"/>
              </w:rPr>
              <w:t>50</w:t>
            </w:r>
          </w:p>
        </w:tc>
        <w:tc>
          <w:tcPr>
            <w:tcW w:w="6856" w:type="dxa"/>
            <w:vAlign w:val="center"/>
          </w:tcPr>
          <w:p w:rsidR="004F34D9" w:rsidRPr="00123108" w:rsidRDefault="004F34D9">
            <w:pPr>
              <w:rPr>
                <w:rFonts w:ascii="宋体" w:hAnsi="宋体" w:cs="宋体" w:hint="eastAsia"/>
                <w:szCs w:val="21"/>
              </w:rPr>
            </w:pPr>
            <w:r w:rsidRPr="00123108">
              <w:rPr>
                <w:rFonts w:ascii="宋体" w:hAnsi="宋体" w:cs="宋体" w:hint="eastAsia"/>
                <w:szCs w:val="21"/>
              </w:rPr>
              <w:t>半数致死量/半数致死浓度，指某一化学物质能引起一群实验动物50%死亡所需的剂量/浓度</w:t>
            </w:r>
          </w:p>
        </w:tc>
      </w:tr>
      <w:tr w:rsidR="004F34D9" w:rsidRPr="00123108">
        <w:trPr>
          <w:cantSplit/>
          <w:jc w:val="center"/>
        </w:trPr>
        <w:tc>
          <w:tcPr>
            <w:tcW w:w="52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4</w:t>
            </w:r>
          </w:p>
        </w:tc>
        <w:tc>
          <w:tcPr>
            <w:tcW w:w="178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PC-TWA</w:t>
            </w:r>
          </w:p>
        </w:tc>
        <w:tc>
          <w:tcPr>
            <w:tcW w:w="6856" w:type="dxa"/>
            <w:vAlign w:val="center"/>
          </w:tcPr>
          <w:p w:rsidR="004F34D9" w:rsidRPr="00123108" w:rsidRDefault="004F34D9">
            <w:pPr>
              <w:rPr>
                <w:rFonts w:ascii="宋体" w:hAnsi="宋体" w:cs="宋体" w:hint="eastAsia"/>
                <w:szCs w:val="21"/>
              </w:rPr>
            </w:pPr>
            <w:r w:rsidRPr="00123108">
              <w:rPr>
                <w:rFonts w:ascii="宋体" w:hAnsi="宋体" w:cs="宋体" w:hint="eastAsia"/>
                <w:szCs w:val="21"/>
              </w:rPr>
              <w:t>时间加权平均容许浓度，即以时间为权数规定的8h工作日、40h工作周的平均容许接触浓度</w:t>
            </w:r>
          </w:p>
        </w:tc>
      </w:tr>
      <w:tr w:rsidR="004F34D9" w:rsidRPr="00123108">
        <w:trPr>
          <w:cantSplit/>
          <w:jc w:val="center"/>
        </w:trPr>
        <w:tc>
          <w:tcPr>
            <w:tcW w:w="52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5</w:t>
            </w:r>
          </w:p>
        </w:tc>
        <w:tc>
          <w:tcPr>
            <w:tcW w:w="178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PC-STEL</w:t>
            </w:r>
          </w:p>
        </w:tc>
        <w:tc>
          <w:tcPr>
            <w:tcW w:w="6856" w:type="dxa"/>
            <w:vAlign w:val="center"/>
          </w:tcPr>
          <w:p w:rsidR="004F34D9" w:rsidRPr="00123108" w:rsidRDefault="004F34D9">
            <w:pPr>
              <w:rPr>
                <w:rFonts w:ascii="宋体" w:hAnsi="宋体" w:cs="宋体" w:hint="eastAsia"/>
                <w:szCs w:val="21"/>
              </w:rPr>
            </w:pPr>
            <w:r w:rsidRPr="00123108">
              <w:rPr>
                <w:rFonts w:ascii="宋体" w:hAnsi="宋体" w:cs="宋体" w:hint="eastAsia"/>
                <w:szCs w:val="21"/>
              </w:rPr>
              <w:t>短时间接触容许浓度，即在遵守PC-TWA前提下容许短时间（15min）接触的浓度</w:t>
            </w:r>
          </w:p>
        </w:tc>
      </w:tr>
      <w:tr w:rsidR="004F34D9" w:rsidRPr="00123108">
        <w:trPr>
          <w:cantSplit/>
          <w:jc w:val="center"/>
        </w:trPr>
        <w:tc>
          <w:tcPr>
            <w:tcW w:w="52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6</w:t>
            </w:r>
          </w:p>
        </w:tc>
        <w:tc>
          <w:tcPr>
            <w:tcW w:w="178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最大超限倍数</w:t>
            </w:r>
          </w:p>
        </w:tc>
        <w:tc>
          <w:tcPr>
            <w:tcW w:w="6856" w:type="dxa"/>
            <w:vAlign w:val="center"/>
          </w:tcPr>
          <w:p w:rsidR="004F34D9" w:rsidRPr="00123108" w:rsidRDefault="004F34D9">
            <w:pPr>
              <w:rPr>
                <w:rFonts w:ascii="宋体" w:hAnsi="宋体" w:cs="宋体" w:hint="eastAsia"/>
                <w:szCs w:val="21"/>
              </w:rPr>
            </w:pPr>
            <w:r w:rsidRPr="00123108">
              <w:rPr>
                <w:rFonts w:ascii="宋体" w:hAnsi="宋体" w:cs="宋体" w:hint="eastAsia"/>
                <w:szCs w:val="21"/>
              </w:rPr>
              <w:t>对未制定PC-STEL的化学有害因素，在符合8h时间加权平均容许浓度的情况下，任何一次短时间（15min）接触的浓度均不应超过的PC-TWA的倍数值</w:t>
            </w:r>
          </w:p>
        </w:tc>
      </w:tr>
      <w:tr w:rsidR="004F34D9" w:rsidRPr="00123108">
        <w:trPr>
          <w:cantSplit/>
          <w:jc w:val="center"/>
        </w:trPr>
        <w:tc>
          <w:tcPr>
            <w:tcW w:w="52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7</w:t>
            </w:r>
          </w:p>
        </w:tc>
        <w:tc>
          <w:tcPr>
            <w:tcW w:w="178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MAC</w:t>
            </w:r>
          </w:p>
        </w:tc>
        <w:tc>
          <w:tcPr>
            <w:tcW w:w="6856" w:type="dxa"/>
            <w:vAlign w:val="center"/>
          </w:tcPr>
          <w:p w:rsidR="004F34D9" w:rsidRPr="00123108" w:rsidRDefault="004F34D9">
            <w:pPr>
              <w:rPr>
                <w:rFonts w:ascii="宋体" w:hAnsi="宋体" w:cs="宋体" w:hint="eastAsia"/>
                <w:szCs w:val="21"/>
              </w:rPr>
            </w:pPr>
            <w:r w:rsidRPr="00123108">
              <w:rPr>
                <w:rFonts w:ascii="宋体" w:hAnsi="宋体" w:cs="宋体" w:hint="eastAsia"/>
                <w:szCs w:val="21"/>
              </w:rPr>
              <w:t>最高容许浓度，即工作地点、在一个工作日内、任何时间有毒化学物质均不应超过的浓度</w:t>
            </w:r>
          </w:p>
        </w:tc>
      </w:tr>
      <w:tr w:rsidR="004F34D9" w:rsidRPr="00123108">
        <w:trPr>
          <w:cantSplit/>
          <w:jc w:val="center"/>
        </w:trPr>
        <w:tc>
          <w:tcPr>
            <w:tcW w:w="52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8</w:t>
            </w:r>
          </w:p>
        </w:tc>
        <w:tc>
          <w:tcPr>
            <w:tcW w:w="178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G2B</w:t>
            </w:r>
          </w:p>
        </w:tc>
        <w:tc>
          <w:tcPr>
            <w:tcW w:w="6856" w:type="dxa"/>
            <w:vAlign w:val="center"/>
          </w:tcPr>
          <w:p w:rsidR="004F34D9" w:rsidRPr="00123108" w:rsidRDefault="004F34D9">
            <w:pPr>
              <w:rPr>
                <w:rFonts w:ascii="宋体" w:hAnsi="宋体" w:cs="宋体" w:hint="eastAsia"/>
                <w:szCs w:val="21"/>
              </w:rPr>
            </w:pPr>
            <w:r w:rsidRPr="00123108">
              <w:rPr>
                <w:rFonts w:ascii="宋体" w:hAnsi="宋体" w:cs="宋体" w:hint="eastAsia"/>
                <w:szCs w:val="21"/>
              </w:rPr>
              <w:t>Possiblycarcinogenictohumans，可疑人类致癌物。按国际癌症组织（IARC）分级</w:t>
            </w:r>
          </w:p>
        </w:tc>
      </w:tr>
      <w:tr w:rsidR="004F34D9" w:rsidRPr="00123108">
        <w:trPr>
          <w:cantSplit/>
          <w:jc w:val="center"/>
        </w:trPr>
        <w:tc>
          <w:tcPr>
            <w:tcW w:w="52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9</w:t>
            </w:r>
          </w:p>
        </w:tc>
        <w:tc>
          <w:tcPr>
            <w:tcW w:w="178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DCS</w:t>
            </w:r>
          </w:p>
        </w:tc>
        <w:tc>
          <w:tcPr>
            <w:tcW w:w="6856" w:type="dxa"/>
            <w:vAlign w:val="center"/>
          </w:tcPr>
          <w:p w:rsidR="004F34D9" w:rsidRPr="00123108" w:rsidRDefault="004F34D9">
            <w:pPr>
              <w:rPr>
                <w:rFonts w:ascii="宋体" w:hAnsi="宋体" w:cs="宋体" w:hint="eastAsia"/>
                <w:szCs w:val="21"/>
              </w:rPr>
            </w:pPr>
            <w:r w:rsidRPr="00123108">
              <w:rPr>
                <w:rFonts w:ascii="宋体" w:hAnsi="宋体" w:cs="宋体" w:hint="eastAsia"/>
                <w:szCs w:val="21"/>
              </w:rPr>
              <w:t>集散控制系统，DistributedComputerSystem</w:t>
            </w:r>
          </w:p>
        </w:tc>
      </w:tr>
      <w:tr w:rsidR="004F34D9" w:rsidRPr="00123108">
        <w:trPr>
          <w:cantSplit/>
          <w:jc w:val="center"/>
        </w:trPr>
        <w:tc>
          <w:tcPr>
            <w:tcW w:w="52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10</w:t>
            </w:r>
          </w:p>
        </w:tc>
        <w:tc>
          <w:tcPr>
            <w:tcW w:w="178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SIS</w:t>
            </w:r>
          </w:p>
        </w:tc>
        <w:tc>
          <w:tcPr>
            <w:tcW w:w="6856" w:type="dxa"/>
            <w:vAlign w:val="center"/>
          </w:tcPr>
          <w:p w:rsidR="004F34D9" w:rsidRPr="00123108" w:rsidRDefault="004F34D9">
            <w:pPr>
              <w:rPr>
                <w:rFonts w:ascii="宋体" w:hAnsi="宋体" w:cs="宋体" w:hint="eastAsia"/>
                <w:szCs w:val="21"/>
              </w:rPr>
            </w:pPr>
            <w:r w:rsidRPr="00123108">
              <w:rPr>
                <w:rFonts w:ascii="宋体" w:hAnsi="宋体" w:cs="宋体" w:hint="eastAsia"/>
                <w:szCs w:val="21"/>
              </w:rPr>
              <w:t>安全仪表系统，SafetyInstrumentationSystem</w:t>
            </w:r>
          </w:p>
        </w:tc>
      </w:tr>
      <w:tr w:rsidR="004F34D9" w:rsidRPr="00123108">
        <w:trPr>
          <w:cantSplit/>
          <w:jc w:val="center"/>
        </w:trPr>
        <w:tc>
          <w:tcPr>
            <w:tcW w:w="52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11</w:t>
            </w:r>
          </w:p>
        </w:tc>
        <w:tc>
          <w:tcPr>
            <w:tcW w:w="178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GDS</w:t>
            </w:r>
          </w:p>
        </w:tc>
        <w:tc>
          <w:tcPr>
            <w:tcW w:w="6856" w:type="dxa"/>
            <w:vAlign w:val="center"/>
          </w:tcPr>
          <w:p w:rsidR="004F34D9" w:rsidRPr="00123108" w:rsidRDefault="004F34D9">
            <w:pPr>
              <w:rPr>
                <w:rFonts w:ascii="宋体" w:hAnsi="宋体" w:cs="宋体" w:hint="eastAsia"/>
                <w:szCs w:val="21"/>
              </w:rPr>
            </w:pPr>
            <w:r w:rsidRPr="00123108">
              <w:rPr>
                <w:rFonts w:ascii="宋体" w:hAnsi="宋体" w:cs="宋体" w:hint="eastAsia"/>
                <w:szCs w:val="21"/>
              </w:rPr>
              <w:t>可燃气体/有毒气体检测系统，Gas Detection System</w:t>
            </w:r>
          </w:p>
        </w:tc>
      </w:tr>
      <w:tr w:rsidR="004F34D9" w:rsidRPr="00123108">
        <w:trPr>
          <w:cantSplit/>
          <w:jc w:val="center"/>
        </w:trPr>
        <w:tc>
          <w:tcPr>
            <w:tcW w:w="52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12</w:t>
            </w:r>
          </w:p>
        </w:tc>
        <w:tc>
          <w:tcPr>
            <w:tcW w:w="178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UPS</w:t>
            </w:r>
          </w:p>
        </w:tc>
        <w:tc>
          <w:tcPr>
            <w:tcW w:w="6856" w:type="dxa"/>
            <w:vAlign w:val="center"/>
          </w:tcPr>
          <w:p w:rsidR="004F34D9" w:rsidRPr="00123108" w:rsidRDefault="004F34D9">
            <w:pPr>
              <w:rPr>
                <w:rFonts w:ascii="宋体" w:hAnsi="宋体" w:cs="宋体" w:hint="eastAsia"/>
                <w:szCs w:val="21"/>
              </w:rPr>
            </w:pPr>
            <w:r w:rsidRPr="00123108">
              <w:rPr>
                <w:rFonts w:ascii="宋体" w:hAnsi="宋体" w:cs="宋体" w:hint="eastAsia"/>
                <w:szCs w:val="21"/>
              </w:rPr>
              <w:t>不间断电源，UninterruptiblePowerSupply</w:t>
            </w:r>
          </w:p>
        </w:tc>
      </w:tr>
      <w:tr w:rsidR="004F34D9" w:rsidRPr="00123108">
        <w:trPr>
          <w:cantSplit/>
          <w:jc w:val="center"/>
        </w:trPr>
        <w:tc>
          <w:tcPr>
            <w:tcW w:w="52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13</w:t>
            </w:r>
          </w:p>
        </w:tc>
        <w:tc>
          <w:tcPr>
            <w:tcW w:w="1789" w:type="dxa"/>
            <w:vAlign w:val="center"/>
          </w:tcPr>
          <w:p w:rsidR="004F34D9" w:rsidRPr="00123108" w:rsidRDefault="004F34D9">
            <w:pPr>
              <w:jc w:val="center"/>
              <w:rPr>
                <w:rFonts w:ascii="宋体" w:hAnsi="宋体" w:hint="eastAsia"/>
              </w:rPr>
            </w:pPr>
            <w:r w:rsidRPr="00123108">
              <w:rPr>
                <w:rFonts w:ascii="宋体" w:hAnsi="宋体"/>
              </w:rPr>
              <w:t>EPS</w:t>
            </w:r>
          </w:p>
        </w:tc>
        <w:tc>
          <w:tcPr>
            <w:tcW w:w="6856" w:type="dxa"/>
            <w:vAlign w:val="center"/>
          </w:tcPr>
          <w:p w:rsidR="004F34D9" w:rsidRPr="00123108" w:rsidRDefault="004F34D9">
            <w:pPr>
              <w:jc w:val="left"/>
              <w:rPr>
                <w:rFonts w:hint="eastAsia"/>
              </w:rPr>
            </w:pPr>
            <w:r w:rsidRPr="00123108">
              <w:rPr>
                <w:rFonts w:hint="eastAsia"/>
              </w:rPr>
              <w:t>可发性聚苯乙烯</w:t>
            </w:r>
          </w:p>
        </w:tc>
      </w:tr>
    </w:tbl>
    <w:p w:rsidR="004F34D9" w:rsidRPr="00123108" w:rsidRDefault="004F34D9">
      <w:pPr>
        <w:pStyle w:val="af2"/>
        <w:rPr>
          <w:rFonts w:ascii="宋体" w:hAnsi="宋体" w:cs="宋体" w:hint="eastAsia"/>
        </w:rPr>
      </w:pPr>
    </w:p>
    <w:p w:rsidR="004F34D9" w:rsidRPr="00123108" w:rsidRDefault="004F34D9">
      <w:pPr>
        <w:pStyle w:val="af2"/>
        <w:rPr>
          <w:rFonts w:ascii="宋体" w:hAnsi="宋体" w:cs="宋体" w:hint="eastAsia"/>
        </w:rPr>
        <w:sectPr w:rsidR="004F34D9" w:rsidRPr="00123108">
          <w:pgSz w:w="11907" w:h="16840"/>
          <w:pgMar w:top="1418" w:right="1134" w:bottom="1134" w:left="1588" w:header="851" w:footer="992" w:gutter="0"/>
          <w:paperSrc w:first="7" w:other="7"/>
          <w:pgNumType w:fmt="upperRoman"/>
          <w:cols w:space="720"/>
          <w:docGrid w:linePitch="437" w:charSpace="4301"/>
        </w:sectPr>
      </w:pPr>
    </w:p>
    <w:p w:rsidR="004F34D9" w:rsidRPr="00123108" w:rsidRDefault="004F34D9" w:rsidP="00561580">
      <w:pPr>
        <w:pStyle w:val="a"/>
        <w:numPr>
          <w:ilvl w:val="0"/>
          <w:numId w:val="0"/>
        </w:numPr>
        <w:tabs>
          <w:tab w:val="left" w:pos="544"/>
        </w:tabs>
        <w:spacing w:beforeLines="0" w:before="0" w:afterLines="0" w:after="0" w:line="500" w:lineRule="exact"/>
        <w:rPr>
          <w:rFonts w:ascii="宋体" w:eastAsia="宋体" w:hAnsi="宋体" w:cs="宋体" w:hint="eastAsia"/>
          <w:b/>
          <w:color w:val="auto"/>
          <w:sz w:val="32"/>
        </w:rPr>
      </w:pPr>
      <w:bookmarkStart w:id="100" w:name="_Toc24533"/>
      <w:bookmarkStart w:id="101" w:name="_Toc22139"/>
      <w:bookmarkStart w:id="102" w:name="_Toc14440"/>
      <w:bookmarkStart w:id="103" w:name="_Toc13281"/>
      <w:bookmarkStart w:id="104" w:name="_Toc23530"/>
      <w:bookmarkStart w:id="105" w:name="_Toc14909"/>
      <w:bookmarkStart w:id="106" w:name="_Toc31913"/>
      <w:bookmarkStart w:id="107" w:name="_Toc28924"/>
      <w:bookmarkStart w:id="108" w:name="_Toc1827"/>
      <w:bookmarkStart w:id="109" w:name="_Toc24702"/>
      <w:bookmarkStart w:id="110" w:name="_Toc5570"/>
      <w:bookmarkStart w:id="111" w:name="_Toc23915"/>
      <w:bookmarkStart w:id="112" w:name="_Toc31483"/>
      <w:bookmarkStart w:id="113" w:name="_Toc2184"/>
      <w:bookmarkStart w:id="114" w:name="_Toc1705"/>
      <w:bookmarkStart w:id="115" w:name="_Toc26492"/>
      <w:bookmarkStart w:id="116" w:name="_Toc190935717"/>
      <w:r w:rsidRPr="00123108">
        <w:rPr>
          <w:rFonts w:ascii="宋体" w:eastAsia="宋体" w:hAnsi="宋体" w:cs="宋体" w:hint="eastAsia"/>
          <w:b/>
          <w:color w:val="auto"/>
          <w:sz w:val="32"/>
        </w:rPr>
        <w:lastRenderedPageBreak/>
        <w:t>前   言</w:t>
      </w:r>
      <w:bookmarkEnd w:id="81"/>
      <w:bookmarkEnd w:id="82"/>
      <w:bookmarkEnd w:id="83"/>
      <w:bookmarkEnd w:id="84"/>
      <w:bookmarkEnd w:id="85"/>
      <w:bookmarkEnd w:id="86"/>
      <w:bookmarkEnd w:id="87"/>
      <w:bookmarkEnd w:id="88"/>
      <w:bookmarkEnd w:id="89"/>
      <w:bookmarkEnd w:id="90"/>
      <w:bookmarkEnd w:id="91"/>
      <w:bookmarkEnd w:id="92"/>
      <w:bookmarkEnd w:id="93"/>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4F34D9" w:rsidRPr="00123108" w:rsidRDefault="004F34D9" w:rsidP="00D67F4D">
      <w:pPr>
        <w:spacing w:line="500" w:lineRule="exact"/>
        <w:ind w:firstLine="573"/>
        <w:rPr>
          <w:rFonts w:ascii="宋体" w:hAnsi="宋体" w:hint="eastAsia"/>
          <w:bCs/>
          <w:sz w:val="28"/>
          <w:szCs w:val="28"/>
        </w:rPr>
      </w:pPr>
      <w:r w:rsidRPr="00123108">
        <w:rPr>
          <w:rFonts w:ascii="宋体" w:hAnsi="宋体" w:hint="eastAsia"/>
          <w:sz w:val="28"/>
          <w:szCs w:val="28"/>
        </w:rPr>
        <w:t>宁波新桥化工有限公司（以下简称“新桥化工”）成立于1996年3月21日，注册地址为</w:t>
      </w:r>
      <w:r w:rsidRPr="00123108">
        <w:rPr>
          <w:rFonts w:ascii="宋体" w:hAnsi="宋体" w:hint="eastAsia"/>
          <w:bCs/>
          <w:sz w:val="28"/>
          <w:szCs w:val="28"/>
        </w:rPr>
        <w:t>宁波市北仑区金鸡山路98号。</w:t>
      </w:r>
      <w:r w:rsidRPr="00123108">
        <w:rPr>
          <w:rFonts w:ascii="宋体" w:hAnsi="宋体" w:hint="eastAsia"/>
          <w:sz w:val="28"/>
          <w:szCs w:val="28"/>
        </w:rPr>
        <w:t>新桥化工</w:t>
      </w:r>
      <w:r w:rsidRPr="00123108">
        <w:rPr>
          <w:rFonts w:ascii="宋体" w:hAnsi="宋体"/>
          <w:sz w:val="28"/>
          <w:szCs w:val="28"/>
        </w:rPr>
        <w:t>前身为宁波和桥化工有限公司</w:t>
      </w:r>
      <w:r w:rsidRPr="00123108">
        <w:rPr>
          <w:rFonts w:ascii="宋体" w:hAnsi="宋体" w:hint="eastAsia"/>
          <w:sz w:val="28"/>
          <w:szCs w:val="28"/>
        </w:rPr>
        <w:t>（成立于1</w:t>
      </w:r>
      <w:r w:rsidRPr="00123108">
        <w:rPr>
          <w:rFonts w:ascii="宋体" w:hAnsi="宋体"/>
          <w:sz w:val="28"/>
          <w:szCs w:val="28"/>
        </w:rPr>
        <w:t>990</w:t>
      </w:r>
      <w:r w:rsidRPr="00123108">
        <w:rPr>
          <w:rFonts w:ascii="宋体" w:hAnsi="宋体" w:hint="eastAsia"/>
          <w:sz w:val="28"/>
          <w:szCs w:val="28"/>
        </w:rPr>
        <w:t>年）</w:t>
      </w:r>
      <w:r w:rsidRPr="00123108">
        <w:rPr>
          <w:rFonts w:ascii="宋体" w:hAnsi="宋体"/>
          <w:sz w:val="28"/>
          <w:szCs w:val="28"/>
        </w:rPr>
        <w:t>，</w:t>
      </w:r>
      <w:r w:rsidRPr="00123108">
        <w:rPr>
          <w:rFonts w:ascii="宋体" w:hAnsi="宋体" w:hint="eastAsia"/>
          <w:sz w:val="28"/>
          <w:szCs w:val="28"/>
        </w:rPr>
        <w:t>是台湾</w:t>
      </w:r>
      <w:r w:rsidRPr="00123108">
        <w:rPr>
          <w:rFonts w:ascii="宋体" w:hAnsi="宋体"/>
          <w:sz w:val="28"/>
          <w:szCs w:val="28"/>
        </w:rPr>
        <w:t>见龙机构</w:t>
      </w:r>
      <w:r w:rsidRPr="00123108">
        <w:rPr>
          <w:rFonts w:ascii="宋体" w:hAnsi="宋体" w:hint="eastAsia"/>
          <w:sz w:val="28"/>
          <w:szCs w:val="28"/>
        </w:rPr>
        <w:t>在中国大陆设立的首家企业</w:t>
      </w:r>
      <w:r w:rsidRPr="00123108">
        <w:rPr>
          <w:rFonts w:ascii="宋体" w:hAnsi="宋体"/>
          <w:sz w:val="28"/>
          <w:szCs w:val="28"/>
        </w:rPr>
        <w:t>，</w:t>
      </w:r>
      <w:r w:rsidRPr="00123108">
        <w:rPr>
          <w:rFonts w:ascii="宋体" w:hAnsi="宋体" w:hint="eastAsia"/>
          <w:sz w:val="28"/>
          <w:szCs w:val="28"/>
        </w:rPr>
        <w:t>该公司</w:t>
      </w:r>
      <w:r w:rsidRPr="00123108">
        <w:rPr>
          <w:rFonts w:ascii="宋体" w:hAnsi="宋体"/>
          <w:sz w:val="28"/>
          <w:szCs w:val="28"/>
        </w:rPr>
        <w:t>法定代表人为</w:t>
      </w:r>
      <w:r w:rsidRPr="00123108">
        <w:rPr>
          <w:rFonts w:ascii="宋体" w:hAnsi="宋体" w:hint="eastAsia"/>
          <w:sz w:val="28"/>
          <w:szCs w:val="28"/>
        </w:rPr>
        <w:t>杨政达</w:t>
      </w:r>
      <w:r w:rsidRPr="00123108">
        <w:rPr>
          <w:rFonts w:ascii="宋体" w:hAnsi="宋体"/>
          <w:sz w:val="28"/>
          <w:szCs w:val="28"/>
        </w:rPr>
        <w:t>，注册资本</w:t>
      </w:r>
      <w:r w:rsidRPr="00123108">
        <w:rPr>
          <w:rFonts w:ascii="宋体" w:hAnsi="宋体" w:hint="eastAsia"/>
          <w:sz w:val="28"/>
          <w:szCs w:val="28"/>
        </w:rPr>
        <w:t>3650</w:t>
      </w:r>
      <w:r w:rsidRPr="00123108">
        <w:rPr>
          <w:rFonts w:ascii="宋体" w:hAnsi="宋体"/>
          <w:sz w:val="28"/>
          <w:szCs w:val="28"/>
        </w:rPr>
        <w:t>万美元</w:t>
      </w:r>
      <w:r w:rsidRPr="00123108">
        <w:rPr>
          <w:rFonts w:ascii="宋体" w:hAnsi="宋体" w:hint="eastAsia"/>
          <w:sz w:val="28"/>
          <w:szCs w:val="28"/>
        </w:rPr>
        <w:t>。</w:t>
      </w:r>
    </w:p>
    <w:p w:rsidR="004F34D9" w:rsidRPr="00123108" w:rsidRDefault="004F34D9" w:rsidP="00D67F4D">
      <w:pPr>
        <w:spacing w:line="500" w:lineRule="exact"/>
        <w:ind w:firstLine="573"/>
        <w:rPr>
          <w:rFonts w:ascii="宋体" w:hAnsi="宋体" w:cs="宋体" w:hint="eastAsia"/>
          <w:sz w:val="28"/>
          <w:szCs w:val="28"/>
        </w:rPr>
      </w:pPr>
      <w:r w:rsidRPr="00123108">
        <w:rPr>
          <w:rFonts w:ascii="宋体" w:hAnsi="宋体" w:hint="eastAsia"/>
          <w:sz w:val="28"/>
          <w:szCs w:val="28"/>
        </w:rPr>
        <w:t>新桥化工现</w:t>
      </w:r>
      <w:r w:rsidRPr="00123108">
        <w:rPr>
          <w:rFonts w:ascii="宋体" w:hAnsi="宋体"/>
          <w:sz w:val="28"/>
          <w:szCs w:val="28"/>
        </w:rPr>
        <w:t>生产能力</w:t>
      </w:r>
      <w:r w:rsidRPr="00123108">
        <w:rPr>
          <w:rFonts w:ascii="宋体" w:hAnsi="宋体" w:hint="eastAsia"/>
          <w:sz w:val="28"/>
          <w:szCs w:val="28"/>
        </w:rPr>
        <w:t>为</w:t>
      </w:r>
      <w:r w:rsidRPr="00123108">
        <w:rPr>
          <w:rFonts w:ascii="宋体" w:hAnsi="宋体"/>
          <w:sz w:val="28"/>
          <w:szCs w:val="28"/>
        </w:rPr>
        <w:t>12万吨</w:t>
      </w:r>
      <w:r w:rsidRPr="00123108">
        <w:rPr>
          <w:rFonts w:ascii="宋体" w:hAnsi="宋体" w:hint="eastAsia"/>
          <w:sz w:val="28"/>
          <w:szCs w:val="28"/>
        </w:rPr>
        <w:t>可发性聚苯乙烯（EPS），根据</w:t>
      </w:r>
      <w:r w:rsidRPr="00123108">
        <w:rPr>
          <w:rFonts w:ascii="宋体" w:hAnsi="宋体" w:hint="eastAsia"/>
          <w:sz w:val="28"/>
        </w:rPr>
        <w:t>《危险化学品目录》（2015版）原</w:t>
      </w:r>
      <w:r w:rsidRPr="00123108">
        <w:rPr>
          <w:rFonts w:ascii="宋体" w:hAnsi="宋体" w:hint="eastAsia"/>
          <w:sz w:val="28"/>
          <w:lang w:val="zh-CN"/>
        </w:rPr>
        <w:t>国家安全生产监督管理总局</w:t>
      </w:r>
      <w:r w:rsidRPr="00123108">
        <w:rPr>
          <w:rFonts w:ascii="宋体" w:hAnsi="宋体" w:hint="eastAsia"/>
          <w:sz w:val="28"/>
        </w:rPr>
        <w:t>等部局公告2015年第5号（2022年第8号修改）</w:t>
      </w:r>
      <w:r w:rsidRPr="00123108">
        <w:rPr>
          <w:rFonts w:ascii="宋体" w:hAnsi="宋体" w:hint="eastAsia"/>
          <w:sz w:val="28"/>
          <w:szCs w:val="28"/>
        </w:rPr>
        <w:t>可发性聚苯乙烯（EPS）为危险化学品，因此新桥化工</w:t>
      </w:r>
      <w:r w:rsidRPr="00123108">
        <w:rPr>
          <w:rFonts w:ascii="宋体" w:hAnsi="宋体" w:cs="宋体" w:hint="eastAsia"/>
          <w:sz w:val="28"/>
          <w:szCs w:val="28"/>
        </w:rPr>
        <w:t>属于危险化学品生产企业。</w:t>
      </w:r>
    </w:p>
    <w:p w:rsidR="004F34D9" w:rsidRPr="00123108" w:rsidRDefault="004F34D9" w:rsidP="00D67F4D">
      <w:pPr>
        <w:spacing w:line="500" w:lineRule="exact"/>
        <w:ind w:firstLine="573"/>
        <w:rPr>
          <w:rFonts w:ascii="宋体" w:hAnsi="宋体" w:cs="宋体" w:hint="eastAsia"/>
          <w:sz w:val="28"/>
          <w:szCs w:val="28"/>
        </w:rPr>
      </w:pPr>
      <w:r w:rsidRPr="00123108">
        <w:rPr>
          <w:rFonts w:ascii="宋体" w:hAnsi="宋体" w:cs="宋体" w:hint="eastAsia"/>
          <w:sz w:val="28"/>
          <w:szCs w:val="28"/>
        </w:rPr>
        <w:t>公司已于2021年6月25日通过延期换证申领危险化学品安全生产许可证</w:t>
      </w:r>
      <w:r w:rsidRPr="00123108">
        <w:rPr>
          <w:rFonts w:ascii="宋体" w:hint="eastAsia"/>
          <w:sz w:val="28"/>
          <w:szCs w:val="28"/>
        </w:rPr>
        <w:t>，编号：（浙）WH安许证字[2021]-B-0741，许可范围：</w:t>
      </w:r>
      <w:r w:rsidRPr="00123108">
        <w:rPr>
          <w:rFonts w:ascii="宋体" w:hAnsi="宋体" w:cs="宋体" w:hint="eastAsia"/>
          <w:sz w:val="28"/>
          <w:szCs w:val="28"/>
        </w:rPr>
        <w:t>年产：</w:t>
      </w:r>
      <w:r w:rsidRPr="00123108">
        <w:rPr>
          <w:rFonts w:ascii="宋体" w:hAnsi="宋体" w:hint="eastAsia"/>
          <w:sz w:val="28"/>
          <w:szCs w:val="28"/>
        </w:rPr>
        <w:t>可发性聚苯乙烯（EPS）12万吨</w:t>
      </w:r>
      <w:r w:rsidRPr="00123108">
        <w:rPr>
          <w:rFonts w:ascii="宋体" w:hAnsi="宋体" w:cs="宋体" w:hint="eastAsia"/>
          <w:sz w:val="28"/>
          <w:szCs w:val="28"/>
        </w:rPr>
        <w:t>。</w:t>
      </w:r>
      <w:r w:rsidRPr="00123108">
        <w:rPr>
          <w:rFonts w:ascii="宋体" w:hint="eastAsia"/>
          <w:sz w:val="28"/>
          <w:szCs w:val="28"/>
        </w:rPr>
        <w:t>有效期为2021年6月25日至2024年6月24日。</w:t>
      </w:r>
    </w:p>
    <w:p w:rsidR="004F34D9" w:rsidRPr="00123108" w:rsidRDefault="004F34D9" w:rsidP="00D67F4D">
      <w:pPr>
        <w:spacing w:line="500" w:lineRule="exact"/>
        <w:ind w:firstLineChars="200" w:firstLine="560"/>
        <w:rPr>
          <w:rFonts w:ascii="宋体" w:hint="eastAsia"/>
          <w:sz w:val="28"/>
          <w:szCs w:val="28"/>
        </w:rPr>
      </w:pPr>
      <w:r w:rsidRPr="00123108">
        <w:rPr>
          <w:rFonts w:ascii="宋体" w:hint="eastAsia"/>
          <w:sz w:val="28"/>
          <w:szCs w:val="28"/>
        </w:rPr>
        <w:t>目前原危险化学品安全生产许可证即将到期，为了贯彻“安全第一、预防为主、综合治理”的方针，根据《中华人民共和国安全生产法》、《危险化学品安全管理条例》、《危险化学品生产企业安全生产许可证实施办法》的规定，企业委托山东实华安全技术有限公司对本项目进行安全现状评价。</w:t>
      </w:r>
    </w:p>
    <w:p w:rsidR="00D67F4D" w:rsidRPr="00123108" w:rsidRDefault="004F34D9" w:rsidP="00D67F4D">
      <w:pPr>
        <w:spacing w:line="500" w:lineRule="exact"/>
        <w:ind w:firstLineChars="200" w:firstLine="560"/>
        <w:jc w:val="left"/>
        <w:rPr>
          <w:rFonts w:ascii="宋体" w:hAnsi="宋体" w:cs="宋体" w:hint="eastAsia"/>
          <w:sz w:val="28"/>
          <w:szCs w:val="28"/>
        </w:rPr>
      </w:pPr>
      <w:r w:rsidRPr="00123108">
        <w:rPr>
          <w:rFonts w:ascii="宋体" w:hint="eastAsia"/>
          <w:sz w:val="28"/>
          <w:szCs w:val="28"/>
        </w:rPr>
        <w:t>评价项目组在对工程技术资料进行分析、研究的基础</w:t>
      </w:r>
      <w:r w:rsidRPr="00123108">
        <w:rPr>
          <w:rFonts w:ascii="宋体" w:hAnsi="宋体" w:hint="eastAsia"/>
          <w:sz w:val="28"/>
          <w:szCs w:val="28"/>
        </w:rPr>
        <w:t>上，通过对本项目的现场考察，依照国家有关法律、法规、标准及规范，经过定性、定量分析，对其危险危害程度进行评价，提出消除、预防或降低系统危险性，提高安全运行等级的对策措施，编制完成了本评价报告</w:t>
      </w:r>
      <w:r w:rsidR="00D67F4D" w:rsidRPr="00123108">
        <w:rPr>
          <w:rFonts w:ascii="宋体" w:hAnsi="宋体" w:hint="eastAsia"/>
          <w:sz w:val="28"/>
          <w:szCs w:val="28"/>
        </w:rPr>
        <w:t>（</w:t>
      </w:r>
      <w:r w:rsidR="00D67F4D" w:rsidRPr="00123108">
        <w:rPr>
          <w:rFonts w:ascii="宋体" w:hAnsi="宋体" w:cs="宋体" w:hint="eastAsia"/>
          <w:sz w:val="28"/>
          <w:szCs w:val="28"/>
        </w:rPr>
        <w:t>本报告在换证审查会后根据专家组意见进行修改）。</w:t>
      </w:r>
    </w:p>
    <w:p w:rsidR="004F34D9" w:rsidRPr="00123108" w:rsidRDefault="004F34D9" w:rsidP="00D67F4D">
      <w:pPr>
        <w:spacing w:line="500" w:lineRule="exact"/>
        <w:ind w:firstLineChars="200" w:firstLine="560"/>
        <w:rPr>
          <w:rFonts w:ascii="宋体" w:hAnsi="宋体" w:hint="eastAsia"/>
          <w:sz w:val="28"/>
        </w:rPr>
      </w:pPr>
      <w:r w:rsidRPr="00123108">
        <w:rPr>
          <w:rFonts w:ascii="宋体" w:hAnsi="宋体" w:hint="eastAsia"/>
          <w:sz w:val="28"/>
        </w:rPr>
        <w:t>在评价的过程中得到了各级应急管理部门、</w:t>
      </w:r>
      <w:r w:rsidRPr="00123108">
        <w:rPr>
          <w:rFonts w:hint="eastAsia"/>
          <w:sz w:val="28"/>
          <w:szCs w:val="28"/>
        </w:rPr>
        <w:t>新桥化工</w:t>
      </w:r>
      <w:r w:rsidRPr="00123108">
        <w:rPr>
          <w:rFonts w:ascii="宋体" w:hAnsi="宋体" w:hint="eastAsia"/>
          <w:sz w:val="28"/>
        </w:rPr>
        <w:t>等有关单位的大力支持，在此谨表示衷心的感谢！</w:t>
      </w:r>
    </w:p>
    <w:p w:rsidR="00D67F4D" w:rsidRPr="00123108" w:rsidRDefault="00D67F4D" w:rsidP="00561580">
      <w:pPr>
        <w:spacing w:line="500" w:lineRule="exact"/>
        <w:ind w:firstLineChars="200" w:firstLine="560"/>
        <w:rPr>
          <w:rFonts w:ascii="宋体" w:hAnsi="宋体" w:hint="eastAsia"/>
          <w:sz w:val="28"/>
        </w:rPr>
      </w:pPr>
    </w:p>
    <w:p w:rsidR="00D67F4D" w:rsidRPr="00123108" w:rsidRDefault="00D67F4D" w:rsidP="00D67F4D">
      <w:pPr>
        <w:spacing w:line="500" w:lineRule="exact"/>
        <w:rPr>
          <w:rFonts w:ascii="宋体" w:hAnsi="宋体" w:cs="宋体" w:hint="eastAsia"/>
          <w:sz w:val="28"/>
          <w:szCs w:val="28"/>
        </w:rPr>
        <w:sectPr w:rsidR="00D67F4D" w:rsidRPr="00123108">
          <w:headerReference w:type="default" r:id="rId10"/>
          <w:footerReference w:type="default" r:id="rId11"/>
          <w:type w:val="nextColumn"/>
          <w:pgSz w:w="11907" w:h="16840"/>
          <w:pgMar w:top="1418" w:right="1134" w:bottom="1134" w:left="1588" w:header="851" w:footer="992" w:gutter="0"/>
          <w:paperSrc w:first="7" w:other="7"/>
          <w:pgNumType w:fmt="upperRoman" w:start="1"/>
          <w:cols w:space="720"/>
          <w:docGrid w:linePitch="437" w:charSpace="4301"/>
        </w:sectPr>
      </w:pPr>
    </w:p>
    <w:p w:rsidR="00176D77" w:rsidRPr="00123108" w:rsidRDefault="004F34D9" w:rsidP="00176D77">
      <w:pPr>
        <w:pStyle w:val="10"/>
        <w:tabs>
          <w:tab w:val="right" w:leader="dot" w:pos="9175"/>
        </w:tabs>
        <w:spacing w:before="0" w:after="0" w:line="360" w:lineRule="auto"/>
        <w:jc w:val="center"/>
        <w:rPr>
          <w:rFonts w:ascii="宋体" w:hAnsi="宋体"/>
          <w:b w:val="0"/>
          <w:bCs w:val="0"/>
          <w:caps w:val="0"/>
          <w:noProof/>
          <w:sz w:val="24"/>
          <w:szCs w:val="24"/>
          <w:lang w:val="en-US" w:eastAsia="zh-CN"/>
        </w:rPr>
      </w:pPr>
      <w:r w:rsidRPr="00123108">
        <w:rPr>
          <w:rFonts w:ascii="宋体" w:hAnsi="宋体" w:cs="宋体" w:hint="eastAsia"/>
          <w:b w:val="0"/>
          <w:sz w:val="24"/>
          <w:szCs w:val="24"/>
        </w:rPr>
        <w:lastRenderedPageBreak/>
        <w:t>目</w:t>
      </w:r>
      <w:r w:rsidR="00176D77" w:rsidRPr="00123108">
        <w:rPr>
          <w:rFonts w:ascii="宋体" w:hAnsi="宋体" w:cs="宋体" w:hint="eastAsia"/>
          <w:b w:val="0"/>
          <w:sz w:val="24"/>
          <w:szCs w:val="24"/>
          <w:lang w:eastAsia="zh-CN"/>
        </w:rPr>
        <w:t xml:space="preserve">    </w:t>
      </w:r>
      <w:r w:rsidRPr="00123108">
        <w:rPr>
          <w:rFonts w:ascii="宋体" w:hAnsi="宋体" w:cs="宋体" w:hint="eastAsia"/>
          <w:b w:val="0"/>
          <w:sz w:val="24"/>
          <w:szCs w:val="24"/>
        </w:rPr>
        <w:t xml:space="preserve">  录</w:t>
      </w:r>
      <w:r w:rsidRPr="00123108">
        <w:rPr>
          <w:rFonts w:ascii="宋体" w:hAnsi="宋体" w:cs="宋体" w:hint="eastAsia"/>
          <w:b w:val="0"/>
          <w:bCs w:val="0"/>
          <w:caps w:val="0"/>
          <w:kern w:val="0"/>
          <w:sz w:val="24"/>
          <w:szCs w:val="24"/>
        </w:rPr>
        <w:fldChar w:fldCharType="begin"/>
      </w:r>
      <w:r w:rsidRPr="00123108">
        <w:rPr>
          <w:rFonts w:ascii="宋体" w:hAnsi="宋体" w:cs="宋体" w:hint="eastAsia"/>
          <w:b w:val="0"/>
          <w:caps w:val="0"/>
          <w:kern w:val="0"/>
          <w:sz w:val="24"/>
          <w:szCs w:val="24"/>
        </w:rPr>
        <w:instrText xml:space="preserve"> TOC \o "1-3" \h \z \u </w:instrText>
      </w:r>
      <w:r w:rsidRPr="00123108">
        <w:rPr>
          <w:rFonts w:ascii="宋体" w:hAnsi="宋体" w:cs="宋体" w:hint="eastAsia"/>
          <w:b w:val="0"/>
          <w:bCs w:val="0"/>
          <w:caps w:val="0"/>
          <w:kern w:val="0"/>
          <w:sz w:val="24"/>
          <w:szCs w:val="24"/>
        </w:rPr>
        <w:fldChar w:fldCharType="separate"/>
      </w:r>
    </w:p>
    <w:p w:rsidR="00176D77" w:rsidRPr="00123108" w:rsidRDefault="00176D77" w:rsidP="00176D77">
      <w:pPr>
        <w:pStyle w:val="10"/>
        <w:tabs>
          <w:tab w:val="right" w:leader="dot" w:pos="9175"/>
        </w:tabs>
        <w:spacing w:before="0" w:after="0" w:line="360" w:lineRule="auto"/>
        <w:rPr>
          <w:rFonts w:ascii="宋体" w:hAnsi="宋体"/>
          <w:b w:val="0"/>
          <w:bCs w:val="0"/>
          <w:caps w:val="0"/>
          <w:noProof/>
          <w:sz w:val="24"/>
          <w:szCs w:val="24"/>
          <w:lang w:val="en-US" w:eastAsia="zh-CN"/>
        </w:rPr>
      </w:pPr>
      <w:hyperlink w:anchor="_Toc190935717" w:history="1">
        <w:r w:rsidRPr="00123108">
          <w:rPr>
            <w:rStyle w:val="afff2"/>
            <w:rFonts w:ascii="宋体" w:hAnsi="宋体" w:cs="宋体" w:hint="eastAsia"/>
            <w:b w:val="0"/>
            <w:noProof/>
            <w:sz w:val="24"/>
            <w:szCs w:val="24"/>
          </w:rPr>
          <w:t>前</w:t>
        </w:r>
        <w:r w:rsidRPr="00123108">
          <w:rPr>
            <w:rStyle w:val="afff2"/>
            <w:rFonts w:ascii="宋体" w:hAnsi="宋体" w:cs="宋体"/>
            <w:b w:val="0"/>
            <w:noProof/>
            <w:sz w:val="24"/>
            <w:szCs w:val="24"/>
          </w:rPr>
          <w:t xml:space="preserve">   </w:t>
        </w:r>
        <w:r w:rsidRPr="00123108">
          <w:rPr>
            <w:rStyle w:val="afff2"/>
            <w:rFonts w:ascii="宋体" w:hAnsi="宋体" w:cs="宋体" w:hint="eastAsia"/>
            <w:b w:val="0"/>
            <w:noProof/>
            <w:sz w:val="24"/>
            <w:szCs w:val="24"/>
          </w:rPr>
          <w:t>言</w:t>
        </w:r>
        <w:r w:rsidRPr="00123108">
          <w:rPr>
            <w:rFonts w:ascii="宋体" w:hAnsi="宋体"/>
            <w:b w:val="0"/>
            <w:noProof/>
            <w:webHidden/>
            <w:sz w:val="24"/>
            <w:szCs w:val="24"/>
          </w:rPr>
          <w:tab/>
        </w:r>
        <w:r w:rsidRPr="00123108">
          <w:rPr>
            <w:rFonts w:ascii="宋体" w:hAnsi="宋体"/>
            <w:b w:val="0"/>
            <w:noProof/>
            <w:webHidden/>
            <w:sz w:val="24"/>
            <w:szCs w:val="24"/>
          </w:rPr>
          <w:fldChar w:fldCharType="begin"/>
        </w:r>
        <w:r w:rsidRPr="00123108">
          <w:rPr>
            <w:rFonts w:ascii="宋体" w:hAnsi="宋体"/>
            <w:b w:val="0"/>
            <w:noProof/>
            <w:webHidden/>
            <w:sz w:val="24"/>
            <w:szCs w:val="24"/>
          </w:rPr>
          <w:instrText xml:space="preserve"> PAGEREF _Toc190935717 \h </w:instrText>
        </w:r>
        <w:r w:rsidRPr="00123108">
          <w:rPr>
            <w:rFonts w:ascii="宋体" w:hAnsi="宋体"/>
            <w:b w:val="0"/>
            <w:noProof/>
            <w:webHidden/>
            <w:sz w:val="24"/>
            <w:szCs w:val="24"/>
          </w:rPr>
        </w:r>
        <w:r w:rsidRPr="00123108">
          <w:rPr>
            <w:rFonts w:ascii="宋体" w:hAnsi="宋体"/>
            <w:b w:val="0"/>
            <w:noProof/>
            <w:webHidden/>
            <w:sz w:val="24"/>
            <w:szCs w:val="24"/>
          </w:rPr>
          <w:fldChar w:fldCharType="separate"/>
        </w:r>
        <w:r w:rsidR="005711FB">
          <w:rPr>
            <w:rFonts w:ascii="宋体" w:hAnsi="宋体"/>
            <w:b w:val="0"/>
            <w:noProof/>
            <w:webHidden/>
            <w:sz w:val="24"/>
            <w:szCs w:val="24"/>
          </w:rPr>
          <w:t>I</w:t>
        </w:r>
        <w:r w:rsidRPr="00123108">
          <w:rPr>
            <w:rFonts w:ascii="宋体" w:hAnsi="宋体"/>
            <w:b w:val="0"/>
            <w:noProof/>
            <w:webHidden/>
            <w:sz w:val="24"/>
            <w:szCs w:val="24"/>
          </w:rPr>
          <w:fldChar w:fldCharType="end"/>
        </w:r>
      </w:hyperlink>
    </w:p>
    <w:p w:rsidR="00176D77" w:rsidRPr="00123108" w:rsidRDefault="00176D77" w:rsidP="00176D77">
      <w:pPr>
        <w:pStyle w:val="10"/>
        <w:tabs>
          <w:tab w:val="right" w:leader="dot" w:pos="9175"/>
        </w:tabs>
        <w:spacing w:before="0" w:after="0" w:line="360" w:lineRule="auto"/>
        <w:rPr>
          <w:rFonts w:ascii="宋体" w:hAnsi="宋体"/>
          <w:b w:val="0"/>
          <w:bCs w:val="0"/>
          <w:caps w:val="0"/>
          <w:noProof/>
          <w:sz w:val="24"/>
          <w:szCs w:val="24"/>
          <w:lang w:val="en-US" w:eastAsia="zh-CN"/>
        </w:rPr>
      </w:pPr>
      <w:hyperlink w:anchor="_Toc190935718" w:history="1">
        <w:r w:rsidRPr="00123108">
          <w:rPr>
            <w:rStyle w:val="afff2"/>
            <w:rFonts w:ascii="宋体" w:hAnsi="宋体" w:cs="宋体"/>
            <w:b w:val="0"/>
            <w:noProof/>
            <w:sz w:val="24"/>
            <w:szCs w:val="24"/>
          </w:rPr>
          <w:t xml:space="preserve">1  </w:t>
        </w:r>
        <w:r w:rsidRPr="00123108">
          <w:rPr>
            <w:rStyle w:val="afff2"/>
            <w:rFonts w:ascii="宋体" w:hAnsi="宋体" w:cs="宋体" w:hint="eastAsia"/>
            <w:b w:val="0"/>
            <w:noProof/>
            <w:sz w:val="24"/>
            <w:szCs w:val="24"/>
          </w:rPr>
          <w:t>编制说明</w:t>
        </w:r>
        <w:r w:rsidRPr="00123108">
          <w:rPr>
            <w:rFonts w:ascii="宋体" w:hAnsi="宋体"/>
            <w:b w:val="0"/>
            <w:noProof/>
            <w:webHidden/>
            <w:sz w:val="24"/>
            <w:szCs w:val="24"/>
          </w:rPr>
          <w:tab/>
        </w:r>
        <w:r w:rsidRPr="00123108">
          <w:rPr>
            <w:rFonts w:ascii="宋体" w:hAnsi="宋体"/>
            <w:b w:val="0"/>
            <w:noProof/>
            <w:webHidden/>
            <w:sz w:val="24"/>
            <w:szCs w:val="24"/>
          </w:rPr>
          <w:fldChar w:fldCharType="begin"/>
        </w:r>
        <w:r w:rsidRPr="00123108">
          <w:rPr>
            <w:rFonts w:ascii="宋体" w:hAnsi="宋体"/>
            <w:b w:val="0"/>
            <w:noProof/>
            <w:webHidden/>
            <w:sz w:val="24"/>
            <w:szCs w:val="24"/>
          </w:rPr>
          <w:instrText xml:space="preserve"> PAGEREF _Toc190935718 \h </w:instrText>
        </w:r>
        <w:r w:rsidRPr="00123108">
          <w:rPr>
            <w:rFonts w:ascii="宋体" w:hAnsi="宋体"/>
            <w:b w:val="0"/>
            <w:noProof/>
            <w:webHidden/>
            <w:sz w:val="24"/>
            <w:szCs w:val="24"/>
          </w:rPr>
        </w:r>
        <w:r w:rsidRPr="00123108">
          <w:rPr>
            <w:rFonts w:ascii="宋体" w:hAnsi="宋体"/>
            <w:b w:val="0"/>
            <w:noProof/>
            <w:webHidden/>
            <w:sz w:val="24"/>
            <w:szCs w:val="24"/>
          </w:rPr>
          <w:fldChar w:fldCharType="separate"/>
        </w:r>
        <w:r w:rsidR="005711FB">
          <w:rPr>
            <w:rFonts w:ascii="宋体" w:hAnsi="宋体"/>
            <w:b w:val="0"/>
            <w:noProof/>
            <w:webHidden/>
            <w:sz w:val="24"/>
            <w:szCs w:val="24"/>
          </w:rPr>
          <w:t>1</w:t>
        </w:r>
        <w:r w:rsidRPr="00123108">
          <w:rPr>
            <w:rFonts w:ascii="宋体" w:hAnsi="宋体"/>
            <w:b w:val="0"/>
            <w:noProof/>
            <w:webHidden/>
            <w:sz w:val="24"/>
            <w:szCs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719" w:history="1">
        <w:r w:rsidRPr="00123108">
          <w:rPr>
            <w:rStyle w:val="afff2"/>
            <w:rFonts w:ascii="宋体" w:hAnsi="宋体" w:cs="宋体"/>
            <w:noProof/>
            <w:sz w:val="24"/>
          </w:rPr>
          <w:t xml:space="preserve">1.1  </w:t>
        </w:r>
        <w:r w:rsidRPr="00123108">
          <w:rPr>
            <w:rStyle w:val="afff2"/>
            <w:rFonts w:ascii="宋体" w:hAnsi="宋体" w:cs="宋体" w:hint="eastAsia"/>
            <w:noProof/>
            <w:sz w:val="24"/>
          </w:rPr>
          <w:t>安全现状评价目的</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_Toc190935719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720" w:history="1">
        <w:r w:rsidRPr="00123108">
          <w:rPr>
            <w:rStyle w:val="afff2"/>
            <w:rFonts w:ascii="宋体" w:hAnsi="宋体" w:cs="宋体"/>
            <w:noProof/>
            <w:sz w:val="24"/>
          </w:rPr>
          <w:t xml:space="preserve">1.2  </w:t>
        </w:r>
        <w:r w:rsidRPr="00123108">
          <w:rPr>
            <w:rStyle w:val="afff2"/>
            <w:rFonts w:ascii="宋体" w:hAnsi="宋体" w:cs="宋体" w:hint="eastAsia"/>
            <w:noProof/>
            <w:sz w:val="24"/>
          </w:rPr>
          <w:t>安全现状评价依据</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_Toc190935720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21" w:history="1">
        <w:r w:rsidRPr="00123108">
          <w:rPr>
            <w:rStyle w:val="afff2"/>
            <w:rFonts w:ascii="宋体" w:hAnsi="宋体" w:cs="宋体"/>
            <w:noProof/>
            <w:sz w:val="24"/>
          </w:rPr>
          <w:t xml:space="preserve">1.2.1  </w:t>
        </w:r>
        <w:r w:rsidRPr="00123108">
          <w:rPr>
            <w:rStyle w:val="afff2"/>
            <w:rFonts w:ascii="宋体" w:hAnsi="宋体" w:cs="宋体" w:hint="eastAsia"/>
            <w:noProof/>
            <w:sz w:val="24"/>
          </w:rPr>
          <w:t>主要法律、法规和规范性文件</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_Toc190935721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22" w:history="1">
        <w:r w:rsidRPr="00123108">
          <w:rPr>
            <w:rStyle w:val="afff2"/>
            <w:rFonts w:ascii="宋体" w:hAnsi="宋体" w:cs="宋体"/>
            <w:noProof/>
            <w:sz w:val="24"/>
          </w:rPr>
          <w:t xml:space="preserve">1.2.2  </w:t>
        </w:r>
        <w:r w:rsidRPr="00123108">
          <w:rPr>
            <w:rStyle w:val="afff2"/>
            <w:rFonts w:ascii="宋体" w:hAnsi="宋体" w:cs="宋体" w:hint="eastAsia"/>
            <w:noProof/>
            <w:sz w:val="24"/>
          </w:rPr>
          <w:t>主要国家标准和行业标准</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_Toc190935722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5</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23" w:history="1">
        <w:r w:rsidRPr="00123108">
          <w:rPr>
            <w:rStyle w:val="afff2"/>
            <w:rFonts w:ascii="宋体" w:hAnsi="宋体" w:cs="宋体"/>
            <w:noProof/>
            <w:sz w:val="24"/>
          </w:rPr>
          <w:t xml:space="preserve">1.2.3  </w:t>
        </w:r>
        <w:r w:rsidRPr="00123108">
          <w:rPr>
            <w:rStyle w:val="afff2"/>
            <w:rFonts w:ascii="宋体" w:hAnsi="宋体" w:cs="宋体" w:hint="eastAsia"/>
            <w:noProof/>
            <w:sz w:val="24"/>
          </w:rPr>
          <w:t>有关技术文件、资料</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_Toc190935723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8</w:t>
        </w:r>
        <w:r w:rsidRPr="00123108">
          <w:rPr>
            <w:rFonts w:ascii="宋体" w:hAnsi="宋体"/>
            <w:noProof/>
            <w:webHidden/>
            <w:sz w:val="24"/>
          </w:rPr>
          <w:fldChar w:fldCharType="end"/>
        </w:r>
      </w:hyperlink>
    </w:p>
    <w:p w:rsidR="00176D77" w:rsidRPr="00123108" w:rsidRDefault="00176D77" w:rsidP="00176D77">
      <w:pPr>
        <w:pStyle w:val="10"/>
        <w:tabs>
          <w:tab w:val="right" w:leader="dot" w:pos="9175"/>
        </w:tabs>
        <w:spacing w:before="0" w:after="0" w:line="360" w:lineRule="auto"/>
        <w:rPr>
          <w:rFonts w:ascii="宋体" w:hAnsi="宋体"/>
          <w:b w:val="0"/>
          <w:bCs w:val="0"/>
          <w:caps w:val="0"/>
          <w:noProof/>
          <w:sz w:val="24"/>
          <w:szCs w:val="24"/>
          <w:lang w:val="en-US" w:eastAsia="zh-CN"/>
        </w:rPr>
      </w:pPr>
      <w:hyperlink w:anchor="_Toc190935724" w:history="1">
        <w:r w:rsidRPr="00123108">
          <w:rPr>
            <w:rStyle w:val="afff2"/>
            <w:rFonts w:ascii="宋体" w:hAnsi="宋体" w:cs="宋体"/>
            <w:b w:val="0"/>
            <w:noProof/>
            <w:spacing w:val="-4"/>
            <w:sz w:val="24"/>
            <w:szCs w:val="24"/>
          </w:rPr>
          <w:t xml:space="preserve">2  </w:t>
        </w:r>
        <w:r w:rsidRPr="00123108">
          <w:rPr>
            <w:rStyle w:val="afff2"/>
            <w:rFonts w:ascii="宋体" w:hAnsi="宋体" w:cs="宋体" w:hint="eastAsia"/>
            <w:b w:val="0"/>
            <w:noProof/>
            <w:spacing w:val="-4"/>
            <w:sz w:val="24"/>
            <w:szCs w:val="24"/>
          </w:rPr>
          <w:t>项目</w:t>
        </w:r>
        <w:r w:rsidRPr="00123108">
          <w:rPr>
            <w:rStyle w:val="afff2"/>
            <w:rFonts w:ascii="宋体" w:hAnsi="宋体" w:cs="宋体" w:hint="eastAsia"/>
            <w:b w:val="0"/>
            <w:noProof/>
            <w:sz w:val="24"/>
            <w:szCs w:val="24"/>
          </w:rPr>
          <w:t>概况</w:t>
        </w:r>
        <w:r w:rsidRPr="00123108">
          <w:rPr>
            <w:rFonts w:ascii="宋体" w:hAnsi="宋体"/>
            <w:b w:val="0"/>
            <w:noProof/>
            <w:webHidden/>
            <w:sz w:val="24"/>
            <w:szCs w:val="24"/>
          </w:rPr>
          <w:tab/>
        </w:r>
        <w:r w:rsidRPr="00123108">
          <w:rPr>
            <w:rFonts w:ascii="宋体" w:hAnsi="宋体"/>
            <w:b w:val="0"/>
            <w:noProof/>
            <w:webHidden/>
            <w:sz w:val="24"/>
            <w:szCs w:val="24"/>
          </w:rPr>
          <w:fldChar w:fldCharType="begin"/>
        </w:r>
        <w:r w:rsidRPr="00123108">
          <w:rPr>
            <w:rFonts w:ascii="宋体" w:hAnsi="宋体"/>
            <w:b w:val="0"/>
            <w:noProof/>
            <w:webHidden/>
            <w:sz w:val="24"/>
            <w:szCs w:val="24"/>
          </w:rPr>
          <w:instrText xml:space="preserve"> PAGEREF _Toc190935724 \h </w:instrText>
        </w:r>
        <w:r w:rsidRPr="00123108">
          <w:rPr>
            <w:rFonts w:ascii="宋体" w:hAnsi="宋体"/>
            <w:b w:val="0"/>
            <w:noProof/>
            <w:webHidden/>
            <w:sz w:val="24"/>
            <w:szCs w:val="24"/>
          </w:rPr>
        </w:r>
        <w:r w:rsidRPr="00123108">
          <w:rPr>
            <w:rFonts w:ascii="宋体" w:hAnsi="宋体"/>
            <w:b w:val="0"/>
            <w:noProof/>
            <w:webHidden/>
            <w:sz w:val="24"/>
            <w:szCs w:val="24"/>
          </w:rPr>
          <w:fldChar w:fldCharType="separate"/>
        </w:r>
        <w:r w:rsidR="005711FB">
          <w:rPr>
            <w:rFonts w:ascii="宋体" w:hAnsi="宋体"/>
            <w:b w:val="0"/>
            <w:noProof/>
            <w:webHidden/>
            <w:sz w:val="24"/>
            <w:szCs w:val="24"/>
          </w:rPr>
          <w:t>9</w:t>
        </w:r>
        <w:r w:rsidRPr="00123108">
          <w:rPr>
            <w:rFonts w:ascii="宋体" w:hAnsi="宋体"/>
            <w:b w:val="0"/>
            <w:noProof/>
            <w:webHidden/>
            <w:sz w:val="24"/>
            <w:szCs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725" w:history="1">
        <w:r w:rsidRPr="00123108">
          <w:rPr>
            <w:rStyle w:val="afff2"/>
            <w:rFonts w:ascii="宋体" w:hAnsi="宋体" w:cs="宋体"/>
            <w:noProof/>
            <w:sz w:val="24"/>
          </w:rPr>
          <w:t xml:space="preserve">2.1  </w:t>
        </w:r>
        <w:r w:rsidRPr="00123108">
          <w:rPr>
            <w:rStyle w:val="afff2"/>
            <w:rFonts w:ascii="宋体" w:hAnsi="宋体" w:cs="宋体" w:hint="eastAsia"/>
            <w:noProof/>
            <w:sz w:val="24"/>
          </w:rPr>
          <w:t>企业简介</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_Toc190935725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9</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726" w:history="1">
        <w:r w:rsidRPr="00123108">
          <w:rPr>
            <w:rStyle w:val="afff2"/>
            <w:rFonts w:ascii="宋体" w:hAnsi="宋体" w:cs="宋体"/>
            <w:noProof/>
            <w:sz w:val="24"/>
          </w:rPr>
          <w:t xml:space="preserve">2.2  </w:t>
        </w:r>
        <w:r w:rsidRPr="00123108">
          <w:rPr>
            <w:rStyle w:val="afff2"/>
            <w:rFonts w:ascii="宋体" w:hAnsi="宋体" w:cs="宋体" w:hint="eastAsia"/>
            <w:noProof/>
            <w:sz w:val="24"/>
          </w:rPr>
          <w:t>地理位置及自然条件</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_Toc190935726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10</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27" w:history="1">
        <w:r w:rsidRPr="00123108">
          <w:rPr>
            <w:rStyle w:val="afff2"/>
            <w:rFonts w:ascii="宋体" w:hAnsi="宋体" w:cs="宋体"/>
            <w:noProof/>
            <w:sz w:val="24"/>
          </w:rPr>
          <w:t xml:space="preserve">2.2.1  </w:t>
        </w:r>
        <w:r w:rsidRPr="00123108">
          <w:rPr>
            <w:rStyle w:val="afff2"/>
            <w:rFonts w:ascii="宋体" w:hAnsi="宋体" w:cs="宋体" w:hint="eastAsia"/>
            <w:noProof/>
            <w:sz w:val="24"/>
          </w:rPr>
          <w:t>地理位置</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_Toc190935727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10</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28" w:history="1">
        <w:r w:rsidRPr="00123108">
          <w:rPr>
            <w:rStyle w:val="afff2"/>
            <w:rFonts w:ascii="宋体" w:hAnsi="宋体" w:cs="宋体"/>
            <w:bCs/>
            <w:noProof/>
            <w:sz w:val="24"/>
          </w:rPr>
          <w:t xml:space="preserve">2.2.2  </w:t>
        </w:r>
        <w:r w:rsidRPr="00123108">
          <w:rPr>
            <w:rStyle w:val="afff2"/>
            <w:rFonts w:ascii="宋体" w:hAnsi="宋体" w:cs="宋体" w:hint="eastAsia"/>
            <w:bCs/>
            <w:noProof/>
            <w:sz w:val="24"/>
          </w:rPr>
          <w:t>周边环境</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_Toc190935728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29" w:history="1">
        <w:r w:rsidRPr="00123108">
          <w:rPr>
            <w:rStyle w:val="afff2"/>
            <w:rFonts w:ascii="宋体" w:hAnsi="宋体" w:cs="宋体"/>
            <w:noProof/>
            <w:sz w:val="24"/>
          </w:rPr>
          <w:t xml:space="preserve">2.2.3  </w:t>
        </w:r>
        <w:r w:rsidRPr="00123108">
          <w:rPr>
            <w:rStyle w:val="afff2"/>
            <w:rFonts w:ascii="宋体" w:hAnsi="宋体" w:cs="宋体" w:hint="eastAsia"/>
            <w:noProof/>
            <w:sz w:val="24"/>
          </w:rPr>
          <w:t>自然条件</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_Toc190935729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14</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730" w:history="1">
        <w:r w:rsidRPr="00123108">
          <w:rPr>
            <w:rStyle w:val="afff2"/>
            <w:rFonts w:ascii="宋体" w:hAnsi="宋体" w:cs="宋体"/>
            <w:noProof/>
            <w:sz w:val="24"/>
          </w:rPr>
          <w:t xml:space="preserve">2.3  </w:t>
        </w:r>
        <w:r w:rsidRPr="00123108">
          <w:rPr>
            <w:rStyle w:val="afff2"/>
            <w:rFonts w:ascii="宋体" w:hAnsi="宋体" w:cs="宋体" w:hint="eastAsia"/>
            <w:noProof/>
            <w:sz w:val="24"/>
          </w:rPr>
          <w:t>总平面布置及建构筑物</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_Toc190935730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15</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31" w:history="1">
        <w:r w:rsidRPr="00123108">
          <w:rPr>
            <w:rStyle w:val="afff2"/>
            <w:rFonts w:ascii="宋体" w:hAnsi="宋体" w:cs="宋体"/>
            <w:noProof/>
            <w:sz w:val="24"/>
          </w:rPr>
          <w:t xml:space="preserve">2.3.1 </w:t>
        </w:r>
        <w:r w:rsidRPr="00123108">
          <w:rPr>
            <w:rStyle w:val="afff2"/>
            <w:rFonts w:ascii="宋体" w:hAnsi="宋体" w:cs="宋体" w:hint="eastAsia"/>
            <w:noProof/>
            <w:sz w:val="24"/>
          </w:rPr>
          <w:t>总平面布置</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_Toc190935731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15</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32" w:history="1">
        <w:r w:rsidRPr="00123108">
          <w:rPr>
            <w:rStyle w:val="afff2"/>
            <w:rFonts w:ascii="宋体" w:hAnsi="宋体"/>
            <w:noProof/>
            <w:sz w:val="24"/>
          </w:rPr>
          <w:t xml:space="preserve">2.3.2 </w:t>
        </w:r>
        <w:r w:rsidRPr="00123108">
          <w:rPr>
            <w:rStyle w:val="afff2"/>
            <w:rFonts w:ascii="宋体" w:hAnsi="宋体" w:hint="eastAsia"/>
            <w:noProof/>
            <w:sz w:val="24"/>
          </w:rPr>
          <w:t>竖向布置</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_Toc190935732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17</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33" w:history="1">
        <w:r w:rsidRPr="00123108">
          <w:rPr>
            <w:rStyle w:val="afff2"/>
            <w:rFonts w:ascii="宋体" w:hAnsi="宋体"/>
            <w:noProof/>
            <w:sz w:val="24"/>
          </w:rPr>
          <w:t xml:space="preserve">2.3.3 </w:t>
        </w:r>
        <w:r w:rsidRPr="00123108">
          <w:rPr>
            <w:rStyle w:val="afff2"/>
            <w:rFonts w:ascii="宋体" w:hAnsi="宋体" w:hint="eastAsia"/>
            <w:noProof/>
            <w:sz w:val="24"/>
          </w:rPr>
          <w:t>厂内道路</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_Toc190935733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17</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34" w:history="1">
        <w:r w:rsidRPr="00123108">
          <w:rPr>
            <w:rStyle w:val="afff2"/>
            <w:rFonts w:ascii="宋体" w:hAnsi="宋体" w:cs="宋体"/>
            <w:noProof/>
            <w:sz w:val="24"/>
          </w:rPr>
          <w:t xml:space="preserve">2.3.4 </w:t>
        </w:r>
        <w:r w:rsidRPr="00123108">
          <w:rPr>
            <w:rStyle w:val="afff2"/>
            <w:rFonts w:ascii="宋体" w:hAnsi="宋体" w:cs="宋体" w:hint="eastAsia"/>
            <w:noProof/>
            <w:sz w:val="24"/>
          </w:rPr>
          <w:t>建构筑物</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_Toc190935734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17</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735" w:history="1">
        <w:r w:rsidRPr="00123108">
          <w:rPr>
            <w:rStyle w:val="afff2"/>
            <w:rFonts w:ascii="宋体" w:hAnsi="宋体" w:cs="宋体"/>
            <w:noProof/>
            <w:sz w:val="24"/>
          </w:rPr>
          <w:t xml:space="preserve">2.4  </w:t>
        </w:r>
        <w:r w:rsidRPr="00123108">
          <w:rPr>
            <w:rStyle w:val="afff2"/>
            <w:rFonts w:ascii="宋体" w:hAnsi="宋体" w:cs="宋体" w:hint="eastAsia"/>
            <w:noProof/>
            <w:sz w:val="24"/>
          </w:rPr>
          <w:t>生产概况</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_Toc190935735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18</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36" w:history="1">
        <w:r w:rsidRPr="00123108">
          <w:rPr>
            <w:rStyle w:val="afff2"/>
            <w:rFonts w:ascii="宋体" w:hAnsi="宋体" w:cs="宋体"/>
            <w:noProof/>
            <w:sz w:val="24"/>
          </w:rPr>
          <w:t xml:space="preserve">2.4.1  </w:t>
        </w:r>
        <w:r w:rsidRPr="00123108">
          <w:rPr>
            <w:rStyle w:val="afff2"/>
            <w:rFonts w:ascii="宋体" w:hAnsi="宋体" w:cs="宋体" w:hint="eastAsia"/>
            <w:noProof/>
            <w:sz w:val="24"/>
          </w:rPr>
          <w:t>产品、副产品生产及原料使用规模</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_Toc190935736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18</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37" w:history="1">
        <w:r w:rsidRPr="00123108">
          <w:rPr>
            <w:rStyle w:val="afff2"/>
            <w:rFonts w:ascii="宋体" w:hAnsi="宋体" w:cs="宋体"/>
            <w:noProof/>
            <w:sz w:val="24"/>
          </w:rPr>
          <w:t xml:space="preserve">2.4.2  </w:t>
        </w:r>
        <w:r w:rsidRPr="00123108">
          <w:rPr>
            <w:rStyle w:val="afff2"/>
            <w:rFonts w:ascii="宋体" w:hAnsi="宋体" w:cs="宋体" w:hint="eastAsia"/>
            <w:noProof/>
            <w:sz w:val="24"/>
          </w:rPr>
          <w:t>本次安全生产许可证换证后取证品种和规模</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_Toc190935737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21</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738" w:history="1">
        <w:r w:rsidRPr="00123108">
          <w:rPr>
            <w:rStyle w:val="afff2"/>
            <w:rFonts w:ascii="宋体" w:hAnsi="宋体" w:cs="宋体"/>
            <w:noProof/>
            <w:sz w:val="24"/>
          </w:rPr>
          <w:t xml:space="preserve">2.5 </w:t>
        </w:r>
        <w:r w:rsidRPr="00123108">
          <w:rPr>
            <w:rStyle w:val="afff2"/>
            <w:rFonts w:ascii="宋体" w:hAnsi="宋体" w:cs="宋体" w:hint="eastAsia"/>
            <w:noProof/>
            <w:sz w:val="24"/>
          </w:rPr>
          <w:t>生产工艺流程</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_Toc190935738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21</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39" w:history="1">
        <w:r w:rsidRPr="00123108">
          <w:rPr>
            <w:rStyle w:val="afff2"/>
            <w:rFonts w:ascii="宋体" w:hAnsi="宋体"/>
            <w:noProof/>
            <w:sz w:val="24"/>
          </w:rPr>
          <w:t xml:space="preserve">2.5.1  </w:t>
        </w:r>
        <w:r w:rsidRPr="00123108">
          <w:rPr>
            <w:rStyle w:val="afff2"/>
            <w:rFonts w:ascii="宋体" w:hAnsi="宋体" w:hint="eastAsia"/>
            <w:noProof/>
            <w:sz w:val="24"/>
          </w:rPr>
          <w:t>反应方程式</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_Toc190935739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21</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40" w:history="1">
        <w:r w:rsidRPr="00123108">
          <w:rPr>
            <w:rStyle w:val="afff2"/>
            <w:rFonts w:ascii="宋体" w:hAnsi="宋体"/>
            <w:noProof/>
            <w:sz w:val="24"/>
          </w:rPr>
          <w:t xml:space="preserve">2.5.2  </w:t>
        </w:r>
        <w:r w:rsidRPr="00123108">
          <w:rPr>
            <w:rStyle w:val="afff2"/>
            <w:rFonts w:ascii="宋体" w:hAnsi="宋体" w:hint="eastAsia"/>
            <w:noProof/>
            <w:sz w:val="24"/>
          </w:rPr>
          <w:t>生产工艺流程简述</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_Toc190935740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21</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41" w:history="1">
        <w:r w:rsidRPr="00123108">
          <w:rPr>
            <w:rStyle w:val="afff2"/>
            <w:rFonts w:ascii="宋体" w:hAnsi="宋体"/>
            <w:noProof/>
            <w:sz w:val="24"/>
          </w:rPr>
          <w:t xml:space="preserve">2.5.3  </w:t>
        </w:r>
        <w:r w:rsidRPr="00123108">
          <w:rPr>
            <w:rStyle w:val="afff2"/>
            <w:rFonts w:ascii="宋体" w:hAnsi="宋体" w:hint="eastAsia"/>
            <w:noProof/>
            <w:sz w:val="24"/>
          </w:rPr>
          <w:t>生产工艺流程图</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_Toc190935741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24</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742" w:history="1">
        <w:r w:rsidRPr="00123108">
          <w:rPr>
            <w:rStyle w:val="afff2"/>
            <w:rFonts w:ascii="宋体" w:hAnsi="宋体" w:cs="宋体"/>
            <w:noProof/>
            <w:sz w:val="24"/>
          </w:rPr>
          <w:t xml:space="preserve">2.6 </w:t>
        </w:r>
        <w:r w:rsidRPr="00123108">
          <w:rPr>
            <w:rStyle w:val="afff2"/>
            <w:rFonts w:ascii="宋体" w:hAnsi="宋体" w:cs="宋体" w:hint="eastAsia"/>
            <w:noProof/>
            <w:sz w:val="24"/>
          </w:rPr>
          <w:t>主要设备设施</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_Toc190935742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25</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43" w:history="1">
        <w:r w:rsidRPr="00123108">
          <w:rPr>
            <w:rStyle w:val="afff2"/>
            <w:rFonts w:ascii="宋体" w:hAnsi="宋体" w:cs="宋体"/>
            <w:bCs/>
            <w:noProof/>
            <w:sz w:val="24"/>
          </w:rPr>
          <w:t xml:space="preserve">2.6.1 </w:t>
        </w:r>
        <w:r w:rsidRPr="00123108">
          <w:rPr>
            <w:rStyle w:val="afff2"/>
            <w:rFonts w:ascii="宋体" w:hAnsi="宋体" w:cs="宋体" w:hint="eastAsia"/>
            <w:bCs/>
            <w:noProof/>
            <w:sz w:val="24"/>
          </w:rPr>
          <w:t>主要设备设施</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_Toc190935743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25</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44" w:history="1">
        <w:r w:rsidRPr="00123108">
          <w:rPr>
            <w:rStyle w:val="afff2"/>
            <w:rFonts w:ascii="宋体" w:hAnsi="宋体" w:cs="宋体"/>
            <w:bCs/>
            <w:noProof/>
            <w:sz w:val="24"/>
          </w:rPr>
          <w:t xml:space="preserve">2.6.2 </w:t>
        </w:r>
        <w:r w:rsidRPr="00123108">
          <w:rPr>
            <w:rStyle w:val="afff2"/>
            <w:rFonts w:ascii="宋体" w:hAnsi="宋体" w:cs="宋体" w:hint="eastAsia"/>
            <w:bCs/>
            <w:noProof/>
            <w:sz w:val="24"/>
          </w:rPr>
          <w:t>特种设备</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_Toc190935744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34</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745" w:history="1">
        <w:r w:rsidRPr="00123108">
          <w:rPr>
            <w:rStyle w:val="afff2"/>
            <w:rFonts w:ascii="宋体" w:hAnsi="宋体" w:cs="宋体"/>
            <w:noProof/>
            <w:sz w:val="24"/>
          </w:rPr>
          <w:t xml:space="preserve">2.7 </w:t>
        </w:r>
        <w:r w:rsidRPr="00123108">
          <w:rPr>
            <w:rStyle w:val="afff2"/>
            <w:rFonts w:ascii="宋体" w:hAnsi="宋体" w:cs="宋体" w:hint="eastAsia"/>
            <w:noProof/>
            <w:sz w:val="24"/>
          </w:rPr>
          <w:t>储运系统</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_Toc190935745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34</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46" w:history="1">
        <w:r w:rsidRPr="00123108">
          <w:rPr>
            <w:rStyle w:val="afff2"/>
            <w:rFonts w:ascii="宋体" w:hAnsi="宋体"/>
            <w:noProof/>
            <w:sz w:val="24"/>
          </w:rPr>
          <w:t xml:space="preserve">2.7.1 </w:t>
        </w:r>
        <w:r w:rsidRPr="00123108">
          <w:rPr>
            <w:rStyle w:val="afff2"/>
            <w:rFonts w:ascii="宋体" w:hAnsi="宋体" w:hint="eastAsia"/>
            <w:noProof/>
            <w:sz w:val="24"/>
          </w:rPr>
          <w:t>物料运输</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_Toc190935746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34</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47" w:history="1">
        <w:r w:rsidRPr="00123108">
          <w:rPr>
            <w:rStyle w:val="afff2"/>
            <w:rFonts w:ascii="宋体" w:hAnsi="宋体"/>
            <w:noProof/>
            <w:sz w:val="24"/>
          </w:rPr>
          <w:t xml:space="preserve">2.7.2 </w:t>
        </w:r>
        <w:r w:rsidRPr="00123108">
          <w:rPr>
            <w:rStyle w:val="afff2"/>
            <w:rFonts w:ascii="宋体" w:hAnsi="宋体" w:hint="eastAsia"/>
            <w:noProof/>
            <w:sz w:val="24"/>
          </w:rPr>
          <w:t>储罐相关信息</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_Toc190935747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34</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48" w:history="1">
        <w:r w:rsidRPr="00123108">
          <w:rPr>
            <w:rStyle w:val="afff2"/>
            <w:rFonts w:ascii="宋体" w:hAnsi="宋体"/>
            <w:noProof/>
            <w:sz w:val="24"/>
          </w:rPr>
          <w:t xml:space="preserve">2.7.3 </w:t>
        </w:r>
        <w:r w:rsidRPr="00123108">
          <w:rPr>
            <w:rStyle w:val="afff2"/>
            <w:rFonts w:ascii="宋体" w:hAnsi="宋体" w:hint="eastAsia"/>
            <w:noProof/>
            <w:sz w:val="24"/>
          </w:rPr>
          <w:t>仓库储存情况</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_Toc190935748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38</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749" w:history="1">
        <w:r w:rsidRPr="00123108">
          <w:rPr>
            <w:rStyle w:val="afff2"/>
            <w:rFonts w:ascii="宋体" w:hAnsi="宋体" w:cs="宋体"/>
            <w:noProof/>
            <w:sz w:val="24"/>
          </w:rPr>
          <w:t xml:space="preserve">2.8  </w:t>
        </w:r>
        <w:r w:rsidRPr="00123108">
          <w:rPr>
            <w:rStyle w:val="afff2"/>
            <w:rFonts w:ascii="宋体" w:hAnsi="宋体" w:cs="宋体" w:hint="eastAsia"/>
            <w:noProof/>
            <w:sz w:val="24"/>
          </w:rPr>
          <w:t>自动控制及仪表</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_Toc190935749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39</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50" w:history="1">
        <w:r w:rsidRPr="00123108">
          <w:rPr>
            <w:rStyle w:val="afff2"/>
            <w:rFonts w:ascii="宋体" w:hAnsi="宋体"/>
            <w:noProof/>
            <w:sz w:val="24"/>
          </w:rPr>
          <w:t xml:space="preserve">2.8.1 </w:t>
        </w:r>
        <w:r w:rsidRPr="00123108">
          <w:rPr>
            <w:rStyle w:val="afff2"/>
            <w:rFonts w:ascii="宋体" w:hAnsi="宋体" w:hint="eastAsia"/>
            <w:noProof/>
            <w:sz w:val="24"/>
          </w:rPr>
          <w:t>控制室与机柜间</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_Toc190935750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39</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51" w:history="1">
        <w:r w:rsidRPr="00123108">
          <w:rPr>
            <w:rStyle w:val="afff2"/>
            <w:rFonts w:ascii="宋体" w:hAnsi="宋体"/>
            <w:noProof/>
            <w:sz w:val="24"/>
          </w:rPr>
          <w:t>2.8.2 DCS</w:t>
        </w:r>
        <w:r w:rsidRPr="00123108">
          <w:rPr>
            <w:rStyle w:val="afff2"/>
            <w:rFonts w:ascii="宋体" w:hAnsi="宋体" w:hint="eastAsia"/>
            <w:noProof/>
            <w:sz w:val="24"/>
          </w:rPr>
          <w:t>控制系统</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_Toc190935751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39</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52" w:history="1">
        <w:r w:rsidRPr="00123108">
          <w:rPr>
            <w:rStyle w:val="afff2"/>
            <w:rFonts w:ascii="宋体" w:hAnsi="宋体"/>
            <w:noProof/>
            <w:sz w:val="24"/>
          </w:rPr>
          <w:t>2.8.3 SIS</w:t>
        </w:r>
        <w:r w:rsidRPr="00123108">
          <w:rPr>
            <w:rStyle w:val="afff2"/>
            <w:rFonts w:ascii="宋体" w:hAnsi="宋体" w:hint="eastAsia"/>
            <w:noProof/>
            <w:sz w:val="24"/>
          </w:rPr>
          <w:t>系统</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_Toc190935752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43</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53" w:history="1">
        <w:r w:rsidRPr="00123108">
          <w:rPr>
            <w:rStyle w:val="afff2"/>
            <w:rFonts w:ascii="宋体" w:hAnsi="宋体"/>
            <w:bCs/>
            <w:noProof/>
            <w:sz w:val="24"/>
          </w:rPr>
          <w:t>2.8.4 GDS</w:t>
        </w:r>
        <w:r w:rsidRPr="00123108">
          <w:rPr>
            <w:rStyle w:val="afff2"/>
            <w:rFonts w:ascii="宋体" w:hAnsi="宋体" w:hint="eastAsia"/>
            <w:bCs/>
            <w:noProof/>
            <w:sz w:val="24"/>
          </w:rPr>
          <w:t>系统</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_Toc190935753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45</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54" w:history="1">
        <w:r w:rsidRPr="00123108">
          <w:rPr>
            <w:rStyle w:val="afff2"/>
            <w:rFonts w:ascii="宋体" w:hAnsi="宋体"/>
            <w:bCs/>
            <w:noProof/>
            <w:sz w:val="24"/>
          </w:rPr>
          <w:t>2.8.5</w:t>
        </w:r>
        <w:r w:rsidRPr="00123108">
          <w:rPr>
            <w:rStyle w:val="afff2"/>
            <w:rFonts w:ascii="宋体" w:hAnsi="宋体" w:hint="eastAsia"/>
            <w:bCs/>
            <w:noProof/>
            <w:sz w:val="24"/>
          </w:rPr>
          <w:t>仪表选型</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_Toc190935754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46</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755" w:history="1">
        <w:r w:rsidRPr="00123108">
          <w:rPr>
            <w:rStyle w:val="afff2"/>
            <w:rFonts w:ascii="宋体" w:hAnsi="宋体" w:cs="宋体"/>
            <w:noProof/>
            <w:sz w:val="24"/>
          </w:rPr>
          <w:t xml:space="preserve">2.9  </w:t>
        </w:r>
        <w:r w:rsidRPr="00123108">
          <w:rPr>
            <w:rStyle w:val="afff2"/>
            <w:rFonts w:ascii="宋体" w:hAnsi="宋体" w:cs="宋体" w:hint="eastAsia"/>
            <w:noProof/>
            <w:sz w:val="24"/>
          </w:rPr>
          <w:t>检测、检验情况</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_Toc190935755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46</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56" w:history="1">
        <w:r w:rsidRPr="00123108">
          <w:rPr>
            <w:rStyle w:val="afff2"/>
            <w:rFonts w:ascii="宋体" w:hAnsi="宋体" w:cs="宋体"/>
            <w:bCs/>
            <w:noProof/>
            <w:sz w:val="24"/>
          </w:rPr>
          <w:t xml:space="preserve">2.9.1 </w:t>
        </w:r>
        <w:r w:rsidRPr="00123108">
          <w:rPr>
            <w:rStyle w:val="afff2"/>
            <w:rFonts w:ascii="宋体" w:hAnsi="宋体" w:cs="宋体" w:hint="eastAsia"/>
            <w:bCs/>
            <w:noProof/>
            <w:sz w:val="24"/>
          </w:rPr>
          <w:t>特种设备及强制检测的安全设施</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_Toc190935756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46</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57" w:history="1">
        <w:r w:rsidRPr="00123108">
          <w:rPr>
            <w:rStyle w:val="afff2"/>
            <w:rFonts w:ascii="宋体" w:hAnsi="宋体" w:cs="宋体"/>
            <w:bCs/>
            <w:noProof/>
            <w:sz w:val="24"/>
          </w:rPr>
          <w:t xml:space="preserve">2.9.2 </w:t>
        </w:r>
        <w:r w:rsidRPr="00123108">
          <w:rPr>
            <w:rStyle w:val="afff2"/>
            <w:rFonts w:ascii="宋体" w:hAnsi="宋体" w:cs="宋体" w:hint="eastAsia"/>
            <w:bCs/>
            <w:noProof/>
            <w:sz w:val="24"/>
          </w:rPr>
          <w:t>防雷（防静电接地）装置检测情况</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_Toc190935757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47</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58" w:history="1">
        <w:r w:rsidRPr="00123108">
          <w:rPr>
            <w:rStyle w:val="afff2"/>
            <w:rFonts w:ascii="宋体" w:hAnsi="宋体" w:cs="宋体"/>
            <w:bCs/>
            <w:noProof/>
            <w:sz w:val="24"/>
          </w:rPr>
          <w:t xml:space="preserve">2.9.3 </w:t>
        </w:r>
        <w:r w:rsidRPr="00123108">
          <w:rPr>
            <w:rStyle w:val="afff2"/>
            <w:rFonts w:ascii="宋体" w:hAnsi="宋体" w:cs="宋体" w:hint="eastAsia"/>
            <w:bCs/>
            <w:noProof/>
            <w:sz w:val="24"/>
          </w:rPr>
          <w:t>防爆电气检测情况</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_Toc190935758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48</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759" w:history="1">
        <w:r w:rsidRPr="00123108">
          <w:rPr>
            <w:rStyle w:val="afff2"/>
            <w:rFonts w:ascii="宋体" w:hAnsi="宋体" w:cs="宋体"/>
            <w:noProof/>
            <w:sz w:val="24"/>
          </w:rPr>
          <w:t xml:space="preserve">2.10  </w:t>
        </w:r>
        <w:r w:rsidRPr="00123108">
          <w:rPr>
            <w:rStyle w:val="afff2"/>
            <w:rFonts w:ascii="宋体" w:hAnsi="宋体" w:cs="宋体" w:hint="eastAsia"/>
            <w:noProof/>
            <w:sz w:val="24"/>
          </w:rPr>
          <w:t>公用工程及辅助设施</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_Toc190935759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48</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60" w:history="1">
        <w:r w:rsidRPr="00123108">
          <w:rPr>
            <w:rStyle w:val="afff2"/>
            <w:rFonts w:ascii="宋体" w:hAnsi="宋体"/>
            <w:noProof/>
            <w:sz w:val="24"/>
          </w:rPr>
          <w:t xml:space="preserve">2.10.1  </w:t>
        </w:r>
        <w:r w:rsidRPr="00123108">
          <w:rPr>
            <w:rStyle w:val="afff2"/>
            <w:rFonts w:ascii="宋体" w:hAnsi="宋体" w:hint="eastAsia"/>
            <w:noProof/>
            <w:sz w:val="24"/>
          </w:rPr>
          <w:t>给排水</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_Toc190935760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48</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61" w:history="1">
        <w:r w:rsidRPr="00123108">
          <w:rPr>
            <w:rStyle w:val="afff2"/>
            <w:rFonts w:ascii="宋体" w:hAnsi="宋体"/>
            <w:noProof/>
            <w:sz w:val="24"/>
          </w:rPr>
          <w:t xml:space="preserve">2.10.2  </w:t>
        </w:r>
        <w:r w:rsidRPr="00123108">
          <w:rPr>
            <w:rStyle w:val="afff2"/>
            <w:rFonts w:ascii="宋体" w:hAnsi="宋体" w:hint="eastAsia"/>
            <w:noProof/>
            <w:sz w:val="24"/>
          </w:rPr>
          <w:t>供电</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_Toc190935761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49</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62" w:history="1">
        <w:r w:rsidRPr="00123108">
          <w:rPr>
            <w:rStyle w:val="afff2"/>
            <w:rFonts w:ascii="宋体" w:hAnsi="宋体"/>
            <w:noProof/>
            <w:sz w:val="24"/>
          </w:rPr>
          <w:t xml:space="preserve">2.10.3  </w:t>
        </w:r>
        <w:r w:rsidRPr="00123108">
          <w:rPr>
            <w:rStyle w:val="afff2"/>
            <w:rFonts w:ascii="宋体" w:hAnsi="宋体" w:hint="eastAsia"/>
            <w:noProof/>
            <w:sz w:val="24"/>
          </w:rPr>
          <w:t>供汽</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_Toc190935762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50</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63" w:history="1">
        <w:r w:rsidRPr="00123108">
          <w:rPr>
            <w:rStyle w:val="afff2"/>
            <w:rFonts w:ascii="宋体" w:hAnsi="宋体"/>
            <w:noProof/>
            <w:sz w:val="24"/>
          </w:rPr>
          <w:t xml:space="preserve">2.10.4  </w:t>
        </w:r>
        <w:r w:rsidRPr="00123108">
          <w:rPr>
            <w:rStyle w:val="afff2"/>
            <w:rFonts w:ascii="宋体" w:hAnsi="宋体" w:hint="eastAsia"/>
            <w:noProof/>
            <w:sz w:val="24"/>
          </w:rPr>
          <w:t>供气</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_Toc190935763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50</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64" w:history="1">
        <w:r w:rsidRPr="00123108">
          <w:rPr>
            <w:rStyle w:val="afff2"/>
            <w:rFonts w:ascii="宋体" w:hAnsi="宋体"/>
            <w:noProof/>
            <w:sz w:val="24"/>
          </w:rPr>
          <w:t xml:space="preserve">2.10.5  </w:t>
        </w:r>
        <w:r w:rsidRPr="00123108">
          <w:rPr>
            <w:rStyle w:val="afff2"/>
            <w:rFonts w:ascii="宋体" w:hAnsi="宋体" w:hint="eastAsia"/>
            <w:noProof/>
            <w:sz w:val="24"/>
          </w:rPr>
          <w:t>循环冷却系统</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_Toc190935764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50</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65" w:history="1">
        <w:r w:rsidRPr="00123108">
          <w:rPr>
            <w:rStyle w:val="afff2"/>
            <w:rFonts w:ascii="宋体" w:hAnsi="宋体"/>
            <w:noProof/>
            <w:sz w:val="24"/>
          </w:rPr>
          <w:t xml:space="preserve">2.10.6  </w:t>
        </w:r>
        <w:r w:rsidRPr="00123108">
          <w:rPr>
            <w:rStyle w:val="afff2"/>
            <w:rFonts w:ascii="宋体" w:hAnsi="宋体" w:hint="eastAsia"/>
            <w:noProof/>
            <w:sz w:val="24"/>
          </w:rPr>
          <w:t>通讯</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_Toc190935765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51</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66" w:history="1">
        <w:r w:rsidRPr="00123108">
          <w:rPr>
            <w:rStyle w:val="afff2"/>
            <w:rFonts w:ascii="宋体" w:hAnsi="宋体"/>
            <w:noProof/>
            <w:sz w:val="24"/>
          </w:rPr>
          <w:t xml:space="preserve">2.10.7  </w:t>
        </w:r>
        <w:r w:rsidRPr="00123108">
          <w:rPr>
            <w:rStyle w:val="afff2"/>
            <w:rFonts w:ascii="宋体" w:hAnsi="宋体" w:hint="eastAsia"/>
            <w:noProof/>
            <w:sz w:val="24"/>
          </w:rPr>
          <w:t>消防</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_Toc190935766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53</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67" w:history="1">
        <w:r w:rsidRPr="00123108">
          <w:rPr>
            <w:rStyle w:val="afff2"/>
            <w:rFonts w:ascii="宋体" w:hAnsi="宋体" w:cs="宋体"/>
            <w:bCs/>
            <w:noProof/>
            <w:sz w:val="24"/>
          </w:rPr>
          <w:t xml:space="preserve">2.10.8  </w:t>
        </w:r>
        <w:r w:rsidRPr="00123108">
          <w:rPr>
            <w:rStyle w:val="afff2"/>
            <w:rFonts w:ascii="宋体" w:hAnsi="宋体" w:cs="宋体" w:hint="eastAsia"/>
            <w:bCs/>
            <w:noProof/>
            <w:sz w:val="24"/>
          </w:rPr>
          <w:t>消防设施检测情况</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_Toc190935767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55</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68" w:history="1">
        <w:r w:rsidRPr="00123108">
          <w:rPr>
            <w:rStyle w:val="afff2"/>
            <w:rFonts w:ascii="宋体" w:hAnsi="宋体" w:cs="宋体"/>
            <w:bCs/>
            <w:noProof/>
            <w:sz w:val="24"/>
          </w:rPr>
          <w:t xml:space="preserve">2.10.9  </w:t>
        </w:r>
        <w:r w:rsidRPr="00123108">
          <w:rPr>
            <w:rStyle w:val="afff2"/>
            <w:rFonts w:ascii="宋体" w:hAnsi="宋体" w:cs="宋体" w:hint="eastAsia"/>
            <w:bCs/>
            <w:noProof/>
            <w:sz w:val="24"/>
          </w:rPr>
          <w:t>外部消防</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_Toc190935768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55</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69" w:history="1">
        <w:r w:rsidRPr="00123108">
          <w:rPr>
            <w:rStyle w:val="afff2"/>
            <w:rFonts w:ascii="宋体" w:hAnsi="宋体" w:cs="宋体"/>
            <w:bCs/>
            <w:noProof/>
            <w:sz w:val="24"/>
          </w:rPr>
          <w:t xml:space="preserve">2.10.10 </w:t>
        </w:r>
        <w:r w:rsidRPr="00123108">
          <w:rPr>
            <w:rStyle w:val="afff2"/>
            <w:rFonts w:ascii="宋体" w:hAnsi="宋体" w:cs="宋体" w:hint="eastAsia"/>
            <w:bCs/>
            <w:noProof/>
            <w:sz w:val="24"/>
          </w:rPr>
          <w:t>三废处理情况</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_Toc190935769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55</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771" w:history="1">
        <w:r w:rsidRPr="00123108">
          <w:rPr>
            <w:rStyle w:val="afff2"/>
            <w:rFonts w:ascii="宋体" w:hAnsi="宋体" w:cs="宋体"/>
            <w:noProof/>
            <w:sz w:val="24"/>
          </w:rPr>
          <w:t xml:space="preserve">2.11  </w:t>
        </w:r>
        <w:r w:rsidRPr="00123108">
          <w:rPr>
            <w:rStyle w:val="afff2"/>
            <w:rFonts w:ascii="宋体" w:hAnsi="宋体" w:cs="宋体" w:hint="eastAsia"/>
            <w:noProof/>
            <w:sz w:val="24"/>
          </w:rPr>
          <w:t>安全设施</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_Toc190935771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62</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772" w:history="1">
        <w:r w:rsidRPr="00123108">
          <w:rPr>
            <w:rStyle w:val="afff2"/>
            <w:rFonts w:ascii="宋体" w:hAnsi="宋体" w:cs="宋体"/>
            <w:noProof/>
            <w:sz w:val="24"/>
          </w:rPr>
          <w:t xml:space="preserve">2.12  </w:t>
        </w:r>
        <w:r w:rsidRPr="00123108">
          <w:rPr>
            <w:rStyle w:val="afff2"/>
            <w:rFonts w:ascii="宋体" w:hAnsi="宋体" w:cs="宋体" w:hint="eastAsia"/>
            <w:noProof/>
            <w:sz w:val="24"/>
          </w:rPr>
          <w:t>安全管理情况</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_Toc190935772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66</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73" w:history="1">
        <w:r w:rsidRPr="00123108">
          <w:rPr>
            <w:rStyle w:val="afff2"/>
            <w:rFonts w:ascii="宋体" w:hAnsi="宋体" w:cs="宋体"/>
            <w:noProof/>
            <w:sz w:val="24"/>
          </w:rPr>
          <w:t xml:space="preserve">2.12.1  </w:t>
        </w:r>
        <w:r w:rsidRPr="00123108">
          <w:rPr>
            <w:rStyle w:val="afff2"/>
            <w:rFonts w:ascii="宋体" w:hAnsi="宋体" w:cs="宋体" w:hint="eastAsia"/>
            <w:noProof/>
            <w:sz w:val="24"/>
          </w:rPr>
          <w:t>安全管理机构</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_Toc190935773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66</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74" w:history="1">
        <w:r w:rsidRPr="00123108">
          <w:rPr>
            <w:rStyle w:val="afff2"/>
            <w:rFonts w:ascii="宋体" w:hAnsi="宋体" w:cs="宋体"/>
            <w:noProof/>
            <w:sz w:val="24"/>
          </w:rPr>
          <w:t xml:space="preserve">2.12.3  </w:t>
        </w:r>
        <w:r w:rsidRPr="00123108">
          <w:rPr>
            <w:rStyle w:val="afff2"/>
            <w:rFonts w:ascii="宋体" w:hAnsi="宋体" w:cs="宋体" w:hint="eastAsia"/>
            <w:noProof/>
            <w:sz w:val="24"/>
          </w:rPr>
          <w:t>安全管理制度</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_Toc190935774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74</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75" w:history="1">
        <w:r w:rsidRPr="00123108">
          <w:rPr>
            <w:rStyle w:val="afff2"/>
            <w:rFonts w:ascii="宋体" w:hAnsi="宋体" w:cs="宋体"/>
            <w:noProof/>
            <w:sz w:val="24"/>
          </w:rPr>
          <w:t xml:space="preserve">2.12.4  </w:t>
        </w:r>
        <w:r w:rsidRPr="00123108">
          <w:rPr>
            <w:rStyle w:val="afff2"/>
            <w:rFonts w:ascii="宋体" w:hAnsi="宋体" w:cs="宋体" w:hint="eastAsia"/>
            <w:noProof/>
            <w:sz w:val="24"/>
          </w:rPr>
          <w:t>应急管理</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_Toc190935775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75</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76" w:history="1">
        <w:r w:rsidRPr="00123108">
          <w:rPr>
            <w:rStyle w:val="afff2"/>
            <w:rFonts w:ascii="宋体" w:hAnsi="宋体" w:cs="宋体"/>
            <w:noProof/>
            <w:sz w:val="24"/>
          </w:rPr>
          <w:t xml:space="preserve">2.12.5  </w:t>
        </w:r>
        <w:r w:rsidRPr="00123108">
          <w:rPr>
            <w:rStyle w:val="afff2"/>
            <w:rFonts w:ascii="宋体" w:hAnsi="宋体" w:cs="宋体" w:hint="eastAsia"/>
            <w:noProof/>
            <w:sz w:val="24"/>
          </w:rPr>
          <w:t>个体防护设施</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_Toc190935776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81</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77" w:history="1">
        <w:r w:rsidRPr="00123108">
          <w:rPr>
            <w:rStyle w:val="afff2"/>
            <w:rFonts w:ascii="宋体" w:hAnsi="宋体" w:cs="宋体"/>
            <w:bCs/>
            <w:noProof/>
            <w:sz w:val="24"/>
          </w:rPr>
          <w:t xml:space="preserve">2.12.6  </w:t>
        </w:r>
        <w:r w:rsidRPr="00123108">
          <w:rPr>
            <w:rStyle w:val="afff2"/>
            <w:rFonts w:ascii="宋体" w:hAnsi="宋体" w:cs="宋体" w:hint="eastAsia"/>
            <w:bCs/>
            <w:noProof/>
            <w:sz w:val="24"/>
          </w:rPr>
          <w:t>安全投入</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_Toc190935777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82</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78" w:history="1">
        <w:r w:rsidRPr="00123108">
          <w:rPr>
            <w:rStyle w:val="afff2"/>
            <w:rFonts w:ascii="宋体" w:hAnsi="宋体" w:cs="宋体"/>
            <w:noProof/>
            <w:sz w:val="24"/>
          </w:rPr>
          <w:t xml:space="preserve">2.12.7  </w:t>
        </w:r>
        <w:r w:rsidRPr="00123108">
          <w:rPr>
            <w:rStyle w:val="afff2"/>
            <w:rFonts w:ascii="宋体" w:hAnsi="宋体" w:cs="宋体" w:hint="eastAsia"/>
            <w:noProof/>
            <w:sz w:val="24"/>
          </w:rPr>
          <w:t>安全检查情况</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_Toc190935778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82</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79" w:history="1">
        <w:r w:rsidRPr="00123108">
          <w:rPr>
            <w:rStyle w:val="afff2"/>
            <w:rFonts w:ascii="宋体" w:hAnsi="宋体" w:cs="宋体"/>
            <w:noProof/>
            <w:sz w:val="24"/>
          </w:rPr>
          <w:t xml:space="preserve">2.12.8  </w:t>
        </w:r>
        <w:r w:rsidRPr="00123108">
          <w:rPr>
            <w:rStyle w:val="afff2"/>
            <w:rFonts w:ascii="宋体" w:hAnsi="宋体" w:cs="宋体" w:hint="eastAsia"/>
            <w:noProof/>
            <w:sz w:val="24"/>
          </w:rPr>
          <w:t>安全培训情况</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_Toc190935779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84</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80" w:history="1">
        <w:r w:rsidRPr="00123108">
          <w:rPr>
            <w:rStyle w:val="afff2"/>
            <w:rFonts w:ascii="宋体" w:hAnsi="宋体" w:cs="宋体"/>
            <w:noProof/>
            <w:sz w:val="24"/>
          </w:rPr>
          <w:t xml:space="preserve">2.12.9  </w:t>
        </w:r>
        <w:r w:rsidRPr="00123108">
          <w:rPr>
            <w:rStyle w:val="afff2"/>
            <w:rFonts w:ascii="宋体" w:hAnsi="宋体" w:cs="宋体" w:hint="eastAsia"/>
            <w:noProof/>
            <w:sz w:val="24"/>
          </w:rPr>
          <w:t>数字化平台</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_Toc190935780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85</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81" w:history="1">
        <w:r w:rsidRPr="00123108">
          <w:rPr>
            <w:rStyle w:val="afff2"/>
            <w:rFonts w:ascii="宋体" w:hAnsi="宋体" w:cs="宋体"/>
            <w:noProof/>
            <w:sz w:val="24"/>
          </w:rPr>
          <w:t>2.12.10 HAZOP</w:t>
        </w:r>
        <w:r w:rsidRPr="00123108">
          <w:rPr>
            <w:rStyle w:val="afff2"/>
            <w:rFonts w:ascii="宋体" w:hAnsi="宋体" w:cs="宋体" w:hint="eastAsia"/>
            <w:noProof/>
            <w:sz w:val="24"/>
          </w:rPr>
          <w:t>分析、</w:t>
        </w:r>
        <w:r w:rsidRPr="00123108">
          <w:rPr>
            <w:rStyle w:val="afff2"/>
            <w:rFonts w:ascii="宋体" w:hAnsi="宋体" w:cs="宋体"/>
            <w:noProof/>
            <w:sz w:val="24"/>
          </w:rPr>
          <w:t>SIL</w:t>
        </w:r>
        <w:r w:rsidRPr="00123108">
          <w:rPr>
            <w:rStyle w:val="afff2"/>
            <w:rFonts w:ascii="宋体" w:hAnsi="宋体" w:cs="宋体" w:hint="eastAsia"/>
            <w:noProof/>
            <w:sz w:val="24"/>
          </w:rPr>
          <w:t>定级及验算开展情况</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_Toc190935781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91</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82" w:history="1">
        <w:r w:rsidRPr="00123108">
          <w:rPr>
            <w:rStyle w:val="afff2"/>
            <w:rFonts w:ascii="宋体" w:hAnsi="宋体" w:cs="宋体"/>
            <w:noProof/>
            <w:sz w:val="24"/>
          </w:rPr>
          <w:t xml:space="preserve">2.12.11 </w:t>
        </w:r>
        <w:r w:rsidRPr="00123108">
          <w:rPr>
            <w:rStyle w:val="afff2"/>
            <w:rFonts w:ascii="宋体" w:hAnsi="宋体" w:cs="宋体" w:hint="eastAsia"/>
            <w:noProof/>
            <w:sz w:val="24"/>
          </w:rPr>
          <w:t>反应热风险评估情况</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_Toc190935782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100</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783" w:history="1">
        <w:r w:rsidRPr="00123108">
          <w:rPr>
            <w:rStyle w:val="afff2"/>
            <w:rFonts w:ascii="宋体" w:hAnsi="宋体" w:cs="宋体"/>
            <w:noProof/>
            <w:sz w:val="24"/>
          </w:rPr>
          <w:t xml:space="preserve">2.13  </w:t>
        </w:r>
        <w:r w:rsidRPr="00123108">
          <w:rPr>
            <w:rStyle w:val="afff2"/>
            <w:rFonts w:ascii="宋体" w:hAnsi="宋体" w:cs="宋体" w:hint="eastAsia"/>
            <w:noProof/>
            <w:sz w:val="24"/>
          </w:rPr>
          <w:t>上次评价到本次评价之间主要生产现状变化情况</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_Toc190935783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100</w:t>
        </w:r>
        <w:r w:rsidRPr="00123108">
          <w:rPr>
            <w:rFonts w:ascii="宋体" w:hAnsi="宋体"/>
            <w:noProof/>
            <w:webHidden/>
            <w:sz w:val="24"/>
          </w:rPr>
          <w:fldChar w:fldCharType="end"/>
        </w:r>
      </w:hyperlink>
    </w:p>
    <w:p w:rsidR="00176D77" w:rsidRPr="00123108" w:rsidRDefault="00176D77" w:rsidP="00176D77">
      <w:pPr>
        <w:pStyle w:val="10"/>
        <w:tabs>
          <w:tab w:val="right" w:leader="dot" w:pos="9175"/>
        </w:tabs>
        <w:spacing w:before="0" w:after="0" w:line="360" w:lineRule="auto"/>
        <w:rPr>
          <w:rFonts w:ascii="宋体" w:hAnsi="宋体"/>
          <w:b w:val="0"/>
          <w:bCs w:val="0"/>
          <w:caps w:val="0"/>
          <w:noProof/>
          <w:sz w:val="24"/>
          <w:szCs w:val="24"/>
          <w:lang w:val="en-US" w:eastAsia="zh-CN"/>
        </w:rPr>
      </w:pPr>
      <w:hyperlink w:anchor="_Toc190935784" w:history="1">
        <w:r w:rsidRPr="00123108">
          <w:rPr>
            <w:rStyle w:val="afff2"/>
            <w:rFonts w:ascii="宋体" w:hAnsi="宋体" w:cs="宋体"/>
            <w:b w:val="0"/>
            <w:noProof/>
            <w:spacing w:val="-4"/>
            <w:sz w:val="24"/>
            <w:szCs w:val="24"/>
          </w:rPr>
          <w:t xml:space="preserve">3  </w:t>
        </w:r>
        <w:r w:rsidRPr="00123108">
          <w:rPr>
            <w:rStyle w:val="afff2"/>
            <w:rFonts w:ascii="宋体" w:hAnsi="宋体" w:cs="宋体" w:hint="eastAsia"/>
            <w:b w:val="0"/>
            <w:noProof/>
            <w:spacing w:val="-4"/>
            <w:sz w:val="24"/>
            <w:szCs w:val="24"/>
          </w:rPr>
          <w:t>安全现状评价范围</w:t>
        </w:r>
        <w:r w:rsidRPr="00123108">
          <w:rPr>
            <w:rFonts w:ascii="宋体" w:hAnsi="宋体"/>
            <w:b w:val="0"/>
            <w:noProof/>
            <w:webHidden/>
            <w:sz w:val="24"/>
            <w:szCs w:val="24"/>
          </w:rPr>
          <w:tab/>
        </w:r>
        <w:r w:rsidRPr="00123108">
          <w:rPr>
            <w:rFonts w:ascii="宋体" w:hAnsi="宋体"/>
            <w:b w:val="0"/>
            <w:noProof/>
            <w:webHidden/>
            <w:sz w:val="24"/>
            <w:szCs w:val="24"/>
          </w:rPr>
          <w:fldChar w:fldCharType="begin"/>
        </w:r>
        <w:r w:rsidRPr="00123108">
          <w:rPr>
            <w:rFonts w:ascii="宋体" w:hAnsi="宋体"/>
            <w:b w:val="0"/>
            <w:noProof/>
            <w:webHidden/>
            <w:sz w:val="24"/>
            <w:szCs w:val="24"/>
          </w:rPr>
          <w:instrText xml:space="preserve"> PAGEREF _Toc190935784 \h </w:instrText>
        </w:r>
        <w:r w:rsidRPr="00123108">
          <w:rPr>
            <w:rFonts w:ascii="宋体" w:hAnsi="宋体"/>
            <w:b w:val="0"/>
            <w:noProof/>
            <w:webHidden/>
            <w:sz w:val="24"/>
            <w:szCs w:val="24"/>
          </w:rPr>
        </w:r>
        <w:r w:rsidRPr="00123108">
          <w:rPr>
            <w:rFonts w:ascii="宋体" w:hAnsi="宋体"/>
            <w:b w:val="0"/>
            <w:noProof/>
            <w:webHidden/>
            <w:sz w:val="24"/>
            <w:szCs w:val="24"/>
          </w:rPr>
          <w:fldChar w:fldCharType="separate"/>
        </w:r>
        <w:r w:rsidR="005711FB">
          <w:rPr>
            <w:rFonts w:ascii="宋体" w:hAnsi="宋体"/>
            <w:b w:val="0"/>
            <w:noProof/>
            <w:webHidden/>
            <w:sz w:val="24"/>
            <w:szCs w:val="24"/>
          </w:rPr>
          <w:t>102</w:t>
        </w:r>
        <w:r w:rsidRPr="00123108">
          <w:rPr>
            <w:rFonts w:ascii="宋体" w:hAnsi="宋体"/>
            <w:b w:val="0"/>
            <w:noProof/>
            <w:webHidden/>
            <w:sz w:val="24"/>
            <w:szCs w:val="24"/>
          </w:rPr>
          <w:fldChar w:fldCharType="end"/>
        </w:r>
      </w:hyperlink>
    </w:p>
    <w:p w:rsidR="00176D77" w:rsidRPr="00123108" w:rsidRDefault="00176D77" w:rsidP="00176D77">
      <w:pPr>
        <w:pStyle w:val="10"/>
        <w:tabs>
          <w:tab w:val="right" w:leader="dot" w:pos="9175"/>
        </w:tabs>
        <w:spacing w:before="0" w:after="0" w:line="360" w:lineRule="auto"/>
        <w:rPr>
          <w:rFonts w:ascii="宋体" w:hAnsi="宋体"/>
          <w:b w:val="0"/>
          <w:bCs w:val="0"/>
          <w:caps w:val="0"/>
          <w:noProof/>
          <w:sz w:val="24"/>
          <w:szCs w:val="24"/>
          <w:lang w:val="en-US" w:eastAsia="zh-CN"/>
        </w:rPr>
      </w:pPr>
      <w:hyperlink w:anchor="_Toc190935785" w:history="1">
        <w:r w:rsidRPr="00123108">
          <w:rPr>
            <w:rStyle w:val="afff2"/>
            <w:rFonts w:ascii="宋体" w:hAnsi="宋体" w:cs="宋体"/>
            <w:b w:val="0"/>
            <w:noProof/>
            <w:spacing w:val="-4"/>
            <w:sz w:val="24"/>
            <w:szCs w:val="24"/>
          </w:rPr>
          <w:t xml:space="preserve">4  </w:t>
        </w:r>
        <w:r w:rsidRPr="00123108">
          <w:rPr>
            <w:rStyle w:val="afff2"/>
            <w:rFonts w:ascii="宋体" w:hAnsi="宋体" w:cs="宋体" w:hint="eastAsia"/>
            <w:b w:val="0"/>
            <w:noProof/>
            <w:spacing w:val="-4"/>
            <w:sz w:val="24"/>
            <w:szCs w:val="24"/>
          </w:rPr>
          <w:t>安全现状评价原则、内容和程序</w:t>
        </w:r>
        <w:r w:rsidRPr="00123108">
          <w:rPr>
            <w:rFonts w:ascii="宋体" w:hAnsi="宋体"/>
            <w:b w:val="0"/>
            <w:noProof/>
            <w:webHidden/>
            <w:sz w:val="24"/>
            <w:szCs w:val="24"/>
          </w:rPr>
          <w:tab/>
        </w:r>
        <w:r w:rsidRPr="00123108">
          <w:rPr>
            <w:rFonts w:ascii="宋体" w:hAnsi="宋体"/>
            <w:b w:val="0"/>
            <w:noProof/>
            <w:webHidden/>
            <w:sz w:val="24"/>
            <w:szCs w:val="24"/>
          </w:rPr>
          <w:fldChar w:fldCharType="begin"/>
        </w:r>
        <w:r w:rsidRPr="00123108">
          <w:rPr>
            <w:rFonts w:ascii="宋体" w:hAnsi="宋体"/>
            <w:b w:val="0"/>
            <w:noProof/>
            <w:webHidden/>
            <w:sz w:val="24"/>
            <w:szCs w:val="24"/>
          </w:rPr>
          <w:instrText xml:space="preserve"> PAGEREF _Toc190935785 \h </w:instrText>
        </w:r>
        <w:r w:rsidRPr="00123108">
          <w:rPr>
            <w:rFonts w:ascii="宋体" w:hAnsi="宋体"/>
            <w:b w:val="0"/>
            <w:noProof/>
            <w:webHidden/>
            <w:sz w:val="24"/>
            <w:szCs w:val="24"/>
          </w:rPr>
        </w:r>
        <w:r w:rsidRPr="00123108">
          <w:rPr>
            <w:rFonts w:ascii="宋体" w:hAnsi="宋体"/>
            <w:b w:val="0"/>
            <w:noProof/>
            <w:webHidden/>
            <w:sz w:val="24"/>
            <w:szCs w:val="24"/>
          </w:rPr>
          <w:fldChar w:fldCharType="separate"/>
        </w:r>
        <w:r w:rsidR="005711FB">
          <w:rPr>
            <w:rFonts w:ascii="宋体" w:hAnsi="宋体"/>
            <w:b w:val="0"/>
            <w:noProof/>
            <w:webHidden/>
            <w:sz w:val="24"/>
            <w:szCs w:val="24"/>
          </w:rPr>
          <w:t>104</w:t>
        </w:r>
        <w:r w:rsidRPr="00123108">
          <w:rPr>
            <w:rFonts w:ascii="宋体" w:hAnsi="宋体"/>
            <w:b w:val="0"/>
            <w:noProof/>
            <w:webHidden/>
            <w:sz w:val="24"/>
            <w:szCs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786" w:history="1">
        <w:r w:rsidRPr="00123108">
          <w:rPr>
            <w:rStyle w:val="afff2"/>
            <w:rFonts w:ascii="宋体" w:hAnsi="宋体" w:cs="宋体"/>
            <w:noProof/>
            <w:sz w:val="24"/>
          </w:rPr>
          <w:t xml:space="preserve">4.1  </w:t>
        </w:r>
        <w:r w:rsidRPr="00123108">
          <w:rPr>
            <w:rStyle w:val="afff2"/>
            <w:rFonts w:ascii="宋体" w:hAnsi="宋体" w:cs="宋体" w:hint="eastAsia"/>
            <w:noProof/>
            <w:sz w:val="24"/>
          </w:rPr>
          <w:t>安全现状评价原则</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_Toc190935786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104</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787" w:history="1">
        <w:r w:rsidRPr="00123108">
          <w:rPr>
            <w:rStyle w:val="afff2"/>
            <w:rFonts w:ascii="宋体" w:hAnsi="宋体" w:cs="宋体"/>
            <w:noProof/>
            <w:sz w:val="24"/>
          </w:rPr>
          <w:t xml:space="preserve">4.2  </w:t>
        </w:r>
        <w:r w:rsidRPr="00123108">
          <w:rPr>
            <w:rStyle w:val="afff2"/>
            <w:rFonts w:ascii="宋体" w:hAnsi="宋体" w:cs="宋体" w:hint="eastAsia"/>
            <w:noProof/>
            <w:sz w:val="24"/>
          </w:rPr>
          <w:t>安全现状评价内容</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_Toc190935787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104</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788" w:history="1">
        <w:r w:rsidRPr="00123108">
          <w:rPr>
            <w:rStyle w:val="afff2"/>
            <w:rFonts w:ascii="宋体" w:hAnsi="宋体" w:cs="宋体"/>
            <w:noProof/>
            <w:sz w:val="24"/>
          </w:rPr>
          <w:t xml:space="preserve">4.3  </w:t>
        </w:r>
        <w:r w:rsidRPr="00123108">
          <w:rPr>
            <w:rStyle w:val="afff2"/>
            <w:rFonts w:ascii="宋体" w:hAnsi="宋体" w:cs="宋体" w:hint="eastAsia"/>
            <w:noProof/>
            <w:sz w:val="24"/>
          </w:rPr>
          <w:t>评价程序</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_Toc190935788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104</w:t>
        </w:r>
        <w:r w:rsidRPr="00123108">
          <w:rPr>
            <w:rFonts w:ascii="宋体" w:hAnsi="宋体"/>
            <w:noProof/>
            <w:webHidden/>
            <w:sz w:val="24"/>
          </w:rPr>
          <w:fldChar w:fldCharType="end"/>
        </w:r>
      </w:hyperlink>
    </w:p>
    <w:p w:rsidR="00176D77" w:rsidRPr="00123108" w:rsidRDefault="00176D77" w:rsidP="00176D77">
      <w:pPr>
        <w:pStyle w:val="10"/>
        <w:tabs>
          <w:tab w:val="right" w:leader="dot" w:pos="9175"/>
        </w:tabs>
        <w:spacing w:before="0" w:after="0" w:line="360" w:lineRule="auto"/>
        <w:rPr>
          <w:rFonts w:ascii="宋体" w:hAnsi="宋体"/>
          <w:b w:val="0"/>
          <w:bCs w:val="0"/>
          <w:caps w:val="0"/>
          <w:noProof/>
          <w:sz w:val="24"/>
          <w:szCs w:val="24"/>
          <w:lang w:val="en-US" w:eastAsia="zh-CN"/>
        </w:rPr>
      </w:pPr>
      <w:hyperlink w:anchor="_Toc190935789" w:history="1">
        <w:r w:rsidRPr="00123108">
          <w:rPr>
            <w:rStyle w:val="afff2"/>
            <w:rFonts w:ascii="宋体" w:hAnsi="宋体" w:cs="宋体"/>
            <w:b w:val="0"/>
            <w:noProof/>
            <w:spacing w:val="-4"/>
            <w:sz w:val="24"/>
            <w:szCs w:val="24"/>
          </w:rPr>
          <w:t xml:space="preserve">5  </w:t>
        </w:r>
        <w:r w:rsidRPr="00123108">
          <w:rPr>
            <w:rStyle w:val="afff2"/>
            <w:rFonts w:ascii="宋体" w:hAnsi="宋体" w:cs="宋体" w:hint="eastAsia"/>
            <w:b w:val="0"/>
            <w:noProof/>
            <w:spacing w:val="-4"/>
            <w:sz w:val="24"/>
            <w:szCs w:val="24"/>
          </w:rPr>
          <w:t>评价方法和评价单元</w:t>
        </w:r>
        <w:r w:rsidRPr="00123108">
          <w:rPr>
            <w:rFonts w:ascii="宋体" w:hAnsi="宋体"/>
            <w:b w:val="0"/>
            <w:noProof/>
            <w:webHidden/>
            <w:sz w:val="24"/>
            <w:szCs w:val="24"/>
          </w:rPr>
          <w:tab/>
        </w:r>
        <w:r w:rsidRPr="00123108">
          <w:rPr>
            <w:rFonts w:ascii="宋体" w:hAnsi="宋体"/>
            <w:b w:val="0"/>
            <w:noProof/>
            <w:webHidden/>
            <w:sz w:val="24"/>
            <w:szCs w:val="24"/>
          </w:rPr>
          <w:fldChar w:fldCharType="begin"/>
        </w:r>
        <w:r w:rsidRPr="00123108">
          <w:rPr>
            <w:rFonts w:ascii="宋体" w:hAnsi="宋体"/>
            <w:b w:val="0"/>
            <w:noProof/>
            <w:webHidden/>
            <w:sz w:val="24"/>
            <w:szCs w:val="24"/>
          </w:rPr>
          <w:instrText xml:space="preserve"> PAGEREF _Toc190935789 \h </w:instrText>
        </w:r>
        <w:r w:rsidRPr="00123108">
          <w:rPr>
            <w:rFonts w:ascii="宋体" w:hAnsi="宋体"/>
            <w:b w:val="0"/>
            <w:noProof/>
            <w:webHidden/>
            <w:sz w:val="24"/>
            <w:szCs w:val="24"/>
          </w:rPr>
        </w:r>
        <w:r w:rsidRPr="00123108">
          <w:rPr>
            <w:rFonts w:ascii="宋体" w:hAnsi="宋体"/>
            <w:b w:val="0"/>
            <w:noProof/>
            <w:webHidden/>
            <w:sz w:val="24"/>
            <w:szCs w:val="24"/>
          </w:rPr>
          <w:fldChar w:fldCharType="separate"/>
        </w:r>
        <w:r w:rsidR="005711FB">
          <w:rPr>
            <w:rFonts w:ascii="宋体" w:hAnsi="宋体"/>
            <w:b w:val="0"/>
            <w:noProof/>
            <w:webHidden/>
            <w:sz w:val="24"/>
            <w:szCs w:val="24"/>
          </w:rPr>
          <w:t>106</w:t>
        </w:r>
        <w:r w:rsidRPr="00123108">
          <w:rPr>
            <w:rFonts w:ascii="宋体" w:hAnsi="宋体"/>
            <w:b w:val="0"/>
            <w:noProof/>
            <w:webHidden/>
            <w:sz w:val="24"/>
            <w:szCs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790" w:history="1">
        <w:r w:rsidRPr="00123108">
          <w:rPr>
            <w:rStyle w:val="afff2"/>
            <w:rFonts w:ascii="宋体" w:hAnsi="宋体" w:cs="宋体"/>
            <w:noProof/>
            <w:sz w:val="24"/>
          </w:rPr>
          <w:t xml:space="preserve">5.1  </w:t>
        </w:r>
        <w:r w:rsidRPr="00123108">
          <w:rPr>
            <w:rStyle w:val="afff2"/>
            <w:rFonts w:ascii="宋体" w:hAnsi="宋体" w:cs="宋体" w:hint="eastAsia"/>
            <w:noProof/>
            <w:sz w:val="24"/>
          </w:rPr>
          <w:t>评价单元的划分</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_Toc190935790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106</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791" w:history="1">
        <w:r w:rsidRPr="00123108">
          <w:rPr>
            <w:rStyle w:val="afff2"/>
            <w:rFonts w:ascii="宋体" w:hAnsi="宋体" w:cs="宋体"/>
            <w:noProof/>
            <w:sz w:val="24"/>
          </w:rPr>
          <w:t xml:space="preserve">5.2  </w:t>
        </w:r>
        <w:r w:rsidRPr="00123108">
          <w:rPr>
            <w:rStyle w:val="afff2"/>
            <w:rFonts w:ascii="宋体" w:hAnsi="宋体" w:cs="宋体" w:hint="eastAsia"/>
            <w:noProof/>
            <w:sz w:val="24"/>
          </w:rPr>
          <w:t>评价方法</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_Toc190935791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106</w:t>
        </w:r>
        <w:r w:rsidRPr="00123108">
          <w:rPr>
            <w:rFonts w:ascii="宋体" w:hAnsi="宋体"/>
            <w:noProof/>
            <w:webHidden/>
            <w:sz w:val="24"/>
          </w:rPr>
          <w:fldChar w:fldCharType="end"/>
        </w:r>
      </w:hyperlink>
    </w:p>
    <w:p w:rsidR="00176D77" w:rsidRPr="00123108" w:rsidRDefault="00176D77" w:rsidP="00176D77">
      <w:pPr>
        <w:pStyle w:val="10"/>
        <w:tabs>
          <w:tab w:val="right" w:leader="dot" w:pos="9175"/>
        </w:tabs>
        <w:spacing w:before="0" w:after="0" w:line="360" w:lineRule="auto"/>
        <w:rPr>
          <w:rFonts w:ascii="宋体" w:hAnsi="宋体"/>
          <w:b w:val="0"/>
          <w:bCs w:val="0"/>
          <w:caps w:val="0"/>
          <w:noProof/>
          <w:sz w:val="24"/>
          <w:szCs w:val="24"/>
          <w:lang w:val="en-US" w:eastAsia="zh-CN"/>
        </w:rPr>
      </w:pPr>
      <w:hyperlink w:anchor="_Toc190935792" w:history="1">
        <w:r w:rsidRPr="00123108">
          <w:rPr>
            <w:rStyle w:val="afff2"/>
            <w:rFonts w:ascii="宋体" w:hAnsi="宋体" w:cs="宋体"/>
            <w:b w:val="0"/>
            <w:noProof/>
            <w:spacing w:val="-4"/>
            <w:sz w:val="24"/>
            <w:szCs w:val="24"/>
          </w:rPr>
          <w:t xml:space="preserve">6  </w:t>
        </w:r>
        <w:r w:rsidRPr="00123108">
          <w:rPr>
            <w:rStyle w:val="afff2"/>
            <w:rFonts w:ascii="宋体" w:hAnsi="宋体" w:cs="宋体" w:hint="eastAsia"/>
            <w:b w:val="0"/>
            <w:noProof/>
            <w:spacing w:val="-4"/>
            <w:sz w:val="24"/>
            <w:szCs w:val="24"/>
          </w:rPr>
          <w:t>危险、有害因素分析结果</w:t>
        </w:r>
        <w:r w:rsidRPr="00123108">
          <w:rPr>
            <w:rFonts w:ascii="宋体" w:hAnsi="宋体"/>
            <w:b w:val="0"/>
            <w:noProof/>
            <w:webHidden/>
            <w:sz w:val="24"/>
            <w:szCs w:val="24"/>
          </w:rPr>
          <w:tab/>
        </w:r>
        <w:r w:rsidRPr="00123108">
          <w:rPr>
            <w:rFonts w:ascii="宋体" w:hAnsi="宋体"/>
            <w:b w:val="0"/>
            <w:noProof/>
            <w:webHidden/>
            <w:sz w:val="24"/>
            <w:szCs w:val="24"/>
          </w:rPr>
          <w:fldChar w:fldCharType="begin"/>
        </w:r>
        <w:r w:rsidRPr="00123108">
          <w:rPr>
            <w:rFonts w:ascii="宋体" w:hAnsi="宋体"/>
            <w:b w:val="0"/>
            <w:noProof/>
            <w:webHidden/>
            <w:sz w:val="24"/>
            <w:szCs w:val="24"/>
          </w:rPr>
          <w:instrText xml:space="preserve"> PAGEREF _Toc190935792 \h </w:instrText>
        </w:r>
        <w:r w:rsidRPr="00123108">
          <w:rPr>
            <w:rFonts w:ascii="宋体" w:hAnsi="宋体"/>
            <w:b w:val="0"/>
            <w:noProof/>
            <w:webHidden/>
            <w:sz w:val="24"/>
            <w:szCs w:val="24"/>
          </w:rPr>
        </w:r>
        <w:r w:rsidRPr="00123108">
          <w:rPr>
            <w:rFonts w:ascii="宋体" w:hAnsi="宋体"/>
            <w:b w:val="0"/>
            <w:noProof/>
            <w:webHidden/>
            <w:sz w:val="24"/>
            <w:szCs w:val="24"/>
          </w:rPr>
          <w:fldChar w:fldCharType="separate"/>
        </w:r>
        <w:r w:rsidR="005711FB">
          <w:rPr>
            <w:rFonts w:ascii="宋体" w:hAnsi="宋体"/>
            <w:b w:val="0"/>
            <w:noProof/>
            <w:webHidden/>
            <w:sz w:val="24"/>
            <w:szCs w:val="24"/>
          </w:rPr>
          <w:t>109</w:t>
        </w:r>
        <w:r w:rsidRPr="00123108">
          <w:rPr>
            <w:rFonts w:ascii="宋体" w:hAnsi="宋体"/>
            <w:b w:val="0"/>
            <w:noProof/>
            <w:webHidden/>
            <w:sz w:val="24"/>
            <w:szCs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793" w:history="1">
        <w:r w:rsidRPr="00123108">
          <w:rPr>
            <w:rStyle w:val="afff2"/>
            <w:rFonts w:ascii="宋体" w:hAnsi="宋体" w:cs="宋体"/>
            <w:noProof/>
            <w:sz w:val="24"/>
          </w:rPr>
          <w:t xml:space="preserve">6.1  </w:t>
        </w:r>
        <w:r w:rsidRPr="00123108">
          <w:rPr>
            <w:rStyle w:val="afff2"/>
            <w:rFonts w:ascii="宋体" w:hAnsi="宋体" w:cs="宋体" w:hint="eastAsia"/>
            <w:noProof/>
            <w:sz w:val="24"/>
          </w:rPr>
          <w:t>化学品辨识结果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_Toc190935793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109</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794" w:history="1">
        <w:r w:rsidRPr="00123108">
          <w:rPr>
            <w:rStyle w:val="afff2"/>
            <w:rFonts w:ascii="宋体" w:hAnsi="宋体" w:cs="宋体"/>
            <w:noProof/>
            <w:sz w:val="24"/>
          </w:rPr>
          <w:t xml:space="preserve">6.2  </w:t>
        </w:r>
        <w:r w:rsidRPr="00123108">
          <w:rPr>
            <w:rStyle w:val="afff2"/>
            <w:rFonts w:ascii="宋体" w:hAnsi="宋体" w:cs="宋体" w:hint="eastAsia"/>
            <w:noProof/>
            <w:sz w:val="24"/>
          </w:rPr>
          <w:t>重点监管的危险化工工艺辨识结果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_Toc190935794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109</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795" w:history="1">
        <w:r w:rsidRPr="00123108">
          <w:rPr>
            <w:rStyle w:val="afff2"/>
            <w:rFonts w:ascii="宋体" w:hAnsi="宋体" w:cs="宋体"/>
            <w:noProof/>
            <w:sz w:val="24"/>
          </w:rPr>
          <w:t xml:space="preserve">6.3  </w:t>
        </w:r>
        <w:r w:rsidRPr="00123108">
          <w:rPr>
            <w:rStyle w:val="afff2"/>
            <w:rFonts w:ascii="宋体" w:hAnsi="宋体" w:cs="宋体" w:hint="eastAsia"/>
            <w:noProof/>
            <w:sz w:val="24"/>
          </w:rPr>
          <w:t>危险化学品重大危险源辨识结果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_Toc190935795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110</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796" w:history="1">
        <w:r w:rsidRPr="00123108">
          <w:rPr>
            <w:rStyle w:val="afff2"/>
            <w:rFonts w:ascii="宋体" w:hAnsi="宋体" w:cs="宋体"/>
            <w:noProof/>
            <w:sz w:val="24"/>
          </w:rPr>
          <w:t xml:space="preserve">6.4  </w:t>
        </w:r>
        <w:r w:rsidRPr="00123108">
          <w:rPr>
            <w:rStyle w:val="afff2"/>
            <w:rFonts w:ascii="宋体" w:hAnsi="宋体" w:cs="宋体" w:hint="eastAsia"/>
            <w:noProof/>
            <w:sz w:val="24"/>
          </w:rPr>
          <w:t>生产过程危险、有害因素分析结果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_Toc190935796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110</w:t>
        </w:r>
        <w:r w:rsidRPr="00123108">
          <w:rPr>
            <w:rFonts w:ascii="宋体" w:hAnsi="宋体"/>
            <w:noProof/>
            <w:webHidden/>
            <w:sz w:val="24"/>
          </w:rPr>
          <w:fldChar w:fldCharType="end"/>
        </w:r>
      </w:hyperlink>
    </w:p>
    <w:p w:rsidR="00176D77" w:rsidRPr="00123108" w:rsidRDefault="00176D77" w:rsidP="00176D77">
      <w:pPr>
        <w:pStyle w:val="10"/>
        <w:tabs>
          <w:tab w:val="right" w:leader="dot" w:pos="9175"/>
        </w:tabs>
        <w:spacing w:before="0" w:after="0" w:line="360" w:lineRule="auto"/>
        <w:rPr>
          <w:rFonts w:ascii="宋体" w:hAnsi="宋体"/>
          <w:b w:val="0"/>
          <w:bCs w:val="0"/>
          <w:caps w:val="0"/>
          <w:noProof/>
          <w:sz w:val="24"/>
          <w:szCs w:val="24"/>
          <w:lang w:val="en-US" w:eastAsia="zh-CN"/>
        </w:rPr>
      </w:pPr>
      <w:hyperlink w:anchor="_Toc190935797" w:history="1">
        <w:r w:rsidRPr="00123108">
          <w:rPr>
            <w:rStyle w:val="afff2"/>
            <w:rFonts w:ascii="宋体" w:hAnsi="宋体" w:cs="宋体"/>
            <w:b w:val="0"/>
            <w:noProof/>
            <w:spacing w:val="-4"/>
            <w:sz w:val="24"/>
            <w:szCs w:val="24"/>
          </w:rPr>
          <w:t xml:space="preserve">7  </w:t>
        </w:r>
        <w:r w:rsidRPr="00123108">
          <w:rPr>
            <w:rStyle w:val="afff2"/>
            <w:rFonts w:ascii="宋体" w:hAnsi="宋体" w:cs="宋体" w:hint="eastAsia"/>
            <w:b w:val="0"/>
            <w:noProof/>
            <w:spacing w:val="-4"/>
            <w:sz w:val="24"/>
            <w:szCs w:val="24"/>
          </w:rPr>
          <w:t>定性、定量评价结果</w:t>
        </w:r>
        <w:r w:rsidRPr="00123108">
          <w:rPr>
            <w:rFonts w:ascii="宋体" w:hAnsi="宋体"/>
            <w:b w:val="0"/>
            <w:noProof/>
            <w:webHidden/>
            <w:sz w:val="24"/>
            <w:szCs w:val="24"/>
          </w:rPr>
          <w:tab/>
        </w:r>
        <w:r w:rsidRPr="00123108">
          <w:rPr>
            <w:rFonts w:ascii="宋体" w:hAnsi="宋体"/>
            <w:b w:val="0"/>
            <w:noProof/>
            <w:webHidden/>
            <w:sz w:val="24"/>
            <w:szCs w:val="24"/>
          </w:rPr>
          <w:fldChar w:fldCharType="begin"/>
        </w:r>
        <w:r w:rsidRPr="00123108">
          <w:rPr>
            <w:rFonts w:ascii="宋体" w:hAnsi="宋体"/>
            <w:b w:val="0"/>
            <w:noProof/>
            <w:webHidden/>
            <w:sz w:val="24"/>
            <w:szCs w:val="24"/>
          </w:rPr>
          <w:instrText xml:space="preserve"> PAGEREF _Toc190935797 \h </w:instrText>
        </w:r>
        <w:r w:rsidRPr="00123108">
          <w:rPr>
            <w:rFonts w:ascii="宋体" w:hAnsi="宋体"/>
            <w:b w:val="0"/>
            <w:noProof/>
            <w:webHidden/>
            <w:sz w:val="24"/>
            <w:szCs w:val="24"/>
          </w:rPr>
        </w:r>
        <w:r w:rsidRPr="00123108">
          <w:rPr>
            <w:rFonts w:ascii="宋体" w:hAnsi="宋体"/>
            <w:b w:val="0"/>
            <w:noProof/>
            <w:webHidden/>
            <w:sz w:val="24"/>
            <w:szCs w:val="24"/>
          </w:rPr>
          <w:fldChar w:fldCharType="separate"/>
        </w:r>
        <w:r w:rsidR="005711FB">
          <w:rPr>
            <w:rFonts w:ascii="宋体" w:hAnsi="宋体"/>
            <w:b w:val="0"/>
            <w:noProof/>
            <w:webHidden/>
            <w:sz w:val="24"/>
            <w:szCs w:val="24"/>
          </w:rPr>
          <w:t>112</w:t>
        </w:r>
        <w:r w:rsidRPr="00123108">
          <w:rPr>
            <w:rFonts w:ascii="宋体" w:hAnsi="宋体"/>
            <w:b w:val="0"/>
            <w:noProof/>
            <w:webHidden/>
            <w:sz w:val="24"/>
            <w:szCs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798" w:history="1">
        <w:r w:rsidRPr="00123108">
          <w:rPr>
            <w:rStyle w:val="afff2"/>
            <w:rFonts w:ascii="宋体" w:hAnsi="宋体" w:cs="宋体"/>
            <w:noProof/>
            <w:sz w:val="24"/>
          </w:rPr>
          <w:t xml:space="preserve">7.1  </w:t>
        </w:r>
        <w:r w:rsidRPr="00123108">
          <w:rPr>
            <w:rStyle w:val="afff2"/>
            <w:rFonts w:ascii="宋体" w:hAnsi="宋体" w:cs="宋体" w:hint="eastAsia"/>
            <w:noProof/>
            <w:sz w:val="24"/>
          </w:rPr>
          <w:t>固有危险程度分析结果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_Toc190935798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112</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799" w:history="1">
        <w:r w:rsidRPr="00123108">
          <w:rPr>
            <w:rStyle w:val="afff2"/>
            <w:rFonts w:ascii="宋体" w:hAnsi="宋体" w:cs="宋体"/>
            <w:bCs/>
            <w:noProof/>
            <w:sz w:val="24"/>
          </w:rPr>
          <w:t xml:space="preserve">7.1.1  </w:t>
        </w:r>
        <w:r w:rsidRPr="00123108">
          <w:rPr>
            <w:rStyle w:val="afff2"/>
            <w:rFonts w:ascii="宋体" w:hAnsi="宋体" w:cs="宋体" w:hint="eastAsia"/>
            <w:bCs/>
            <w:noProof/>
            <w:sz w:val="24"/>
          </w:rPr>
          <w:t>危险化学品数量、状态、部位及其状况分析结果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_Toc190935799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112</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00" w:history="1">
        <w:r w:rsidRPr="00123108">
          <w:rPr>
            <w:rStyle w:val="afff2"/>
            <w:rFonts w:ascii="宋体" w:hAnsi="宋体" w:cs="宋体"/>
            <w:bCs/>
            <w:noProof/>
            <w:sz w:val="24"/>
          </w:rPr>
          <w:t xml:space="preserve">7.1.2  </w:t>
        </w:r>
        <w:r w:rsidRPr="00123108">
          <w:rPr>
            <w:rStyle w:val="afff2"/>
            <w:rFonts w:ascii="宋体" w:hAnsi="宋体" w:cs="宋体" w:hint="eastAsia"/>
            <w:bCs/>
            <w:noProof/>
            <w:sz w:val="24"/>
          </w:rPr>
          <w:t>定量分析建设项目各个评价单元的固有危险程度结果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_Toc190935800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112</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801" w:history="1">
        <w:r w:rsidRPr="00123108">
          <w:rPr>
            <w:rStyle w:val="afff2"/>
            <w:rFonts w:ascii="宋体" w:hAnsi="宋体" w:cs="宋体"/>
            <w:noProof/>
            <w:sz w:val="24"/>
          </w:rPr>
          <w:t xml:space="preserve">7.2  </w:t>
        </w:r>
        <w:r w:rsidRPr="00123108">
          <w:rPr>
            <w:rStyle w:val="afff2"/>
            <w:rFonts w:ascii="宋体" w:hAnsi="宋体" w:cs="宋体" w:hint="eastAsia"/>
            <w:noProof/>
            <w:sz w:val="24"/>
          </w:rPr>
          <w:t>风险程度分析结果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_Toc190935801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112</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02" w:history="1">
        <w:r w:rsidRPr="00123108">
          <w:rPr>
            <w:rStyle w:val="afff2"/>
            <w:rFonts w:ascii="宋体" w:hAnsi="宋体" w:cs="宋体"/>
            <w:noProof/>
            <w:sz w:val="24"/>
            <w:lang w:val="zh-CN"/>
          </w:rPr>
          <w:t>7.</w:t>
        </w:r>
        <w:r w:rsidRPr="00123108">
          <w:rPr>
            <w:rStyle w:val="afff2"/>
            <w:rFonts w:ascii="宋体" w:hAnsi="宋体" w:cs="宋体"/>
            <w:noProof/>
            <w:sz w:val="24"/>
          </w:rPr>
          <w:t>2</w:t>
        </w:r>
        <w:r w:rsidRPr="00123108">
          <w:rPr>
            <w:rStyle w:val="afff2"/>
            <w:rFonts w:ascii="宋体" w:hAnsi="宋体" w:cs="宋体"/>
            <w:noProof/>
            <w:sz w:val="24"/>
            <w:lang w:val="zh-CN"/>
          </w:rPr>
          <w:t>.</w:t>
        </w:r>
        <w:r w:rsidRPr="00123108">
          <w:rPr>
            <w:rStyle w:val="afff2"/>
            <w:rFonts w:ascii="宋体" w:hAnsi="宋体" w:cs="宋体"/>
            <w:noProof/>
            <w:sz w:val="24"/>
          </w:rPr>
          <w:t>1</w:t>
        </w:r>
        <w:r w:rsidRPr="00123108">
          <w:rPr>
            <w:rStyle w:val="afff2"/>
            <w:rFonts w:ascii="宋体" w:hAnsi="宋体" w:cs="宋体"/>
            <w:noProof/>
            <w:sz w:val="24"/>
            <w:lang w:val="zh-CN"/>
          </w:rPr>
          <w:t xml:space="preserve">  </w:t>
        </w:r>
        <w:r w:rsidRPr="00123108">
          <w:rPr>
            <w:rStyle w:val="afff2"/>
            <w:rFonts w:ascii="宋体" w:hAnsi="宋体" w:cs="宋体" w:hint="eastAsia"/>
            <w:noProof/>
            <w:sz w:val="24"/>
            <w:lang w:val="zh-CN"/>
          </w:rPr>
          <w:t>个人风险值和社会风险值计算</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_Toc190935802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112</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03" w:history="1">
        <w:r w:rsidRPr="00123108">
          <w:rPr>
            <w:rStyle w:val="afff2"/>
            <w:rFonts w:ascii="宋体" w:hAnsi="宋体" w:cs="宋体"/>
            <w:bCs/>
            <w:noProof/>
            <w:sz w:val="24"/>
          </w:rPr>
          <w:t xml:space="preserve">7.2.2  </w:t>
        </w:r>
        <w:r w:rsidRPr="00123108">
          <w:rPr>
            <w:rStyle w:val="afff2"/>
            <w:rFonts w:ascii="宋体" w:hAnsi="宋体" w:cs="宋体" w:hint="eastAsia"/>
            <w:bCs/>
            <w:noProof/>
            <w:sz w:val="24"/>
          </w:rPr>
          <w:t>事故后果模拟结果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_Toc190935803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112</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04" w:history="1">
        <w:r w:rsidRPr="00123108">
          <w:rPr>
            <w:rStyle w:val="afff2"/>
            <w:rFonts w:ascii="宋体" w:hAnsi="宋体" w:cs="宋体"/>
            <w:bCs/>
            <w:noProof/>
            <w:sz w:val="24"/>
          </w:rPr>
          <w:t xml:space="preserve">7.2.3  </w:t>
        </w:r>
        <w:r w:rsidRPr="00123108">
          <w:rPr>
            <w:rStyle w:val="afff2"/>
            <w:rFonts w:ascii="宋体" w:hAnsi="宋体" w:cs="宋体" w:hint="eastAsia"/>
            <w:bCs/>
            <w:noProof/>
            <w:sz w:val="24"/>
          </w:rPr>
          <w:t>外部安全防护距离计算分析结果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_Toc190935804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113</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05" w:history="1">
        <w:r w:rsidRPr="00123108">
          <w:rPr>
            <w:rStyle w:val="afff2"/>
            <w:rFonts w:ascii="宋体" w:hAnsi="宋体" w:cs="宋体"/>
            <w:bCs/>
            <w:noProof/>
            <w:sz w:val="24"/>
          </w:rPr>
          <w:t xml:space="preserve">7.2.4  </w:t>
        </w:r>
        <w:r w:rsidRPr="00123108">
          <w:rPr>
            <w:rStyle w:val="afff2"/>
            <w:rFonts w:ascii="宋体" w:hAnsi="宋体" w:cs="宋体" w:hint="eastAsia"/>
            <w:bCs/>
            <w:noProof/>
            <w:sz w:val="24"/>
          </w:rPr>
          <w:t>多米诺效应分析结果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_Toc190935805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113</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806" w:history="1">
        <w:r w:rsidRPr="00123108">
          <w:rPr>
            <w:rStyle w:val="afff2"/>
            <w:rFonts w:ascii="宋体" w:hAnsi="宋体" w:cs="宋体"/>
            <w:noProof/>
            <w:sz w:val="24"/>
          </w:rPr>
          <w:t xml:space="preserve">7.3  </w:t>
        </w:r>
        <w:r w:rsidRPr="00123108">
          <w:rPr>
            <w:rStyle w:val="afff2"/>
            <w:rFonts w:ascii="宋体" w:hAnsi="宋体" w:cs="宋体" w:hint="eastAsia"/>
            <w:noProof/>
            <w:sz w:val="24"/>
          </w:rPr>
          <w:t>安全条件分析结果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_Toc190935806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114</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07" w:history="1">
        <w:r w:rsidRPr="00123108">
          <w:rPr>
            <w:rStyle w:val="afff2"/>
            <w:rFonts w:ascii="宋体" w:hAnsi="宋体" w:cs="宋体"/>
            <w:noProof/>
            <w:sz w:val="24"/>
            <w:lang w:val="zh-CN"/>
          </w:rPr>
          <w:t>7.</w:t>
        </w:r>
        <w:r w:rsidRPr="00123108">
          <w:rPr>
            <w:rStyle w:val="afff2"/>
            <w:rFonts w:ascii="宋体" w:hAnsi="宋体" w:cs="宋体"/>
            <w:noProof/>
            <w:sz w:val="24"/>
          </w:rPr>
          <w:t>3</w:t>
        </w:r>
        <w:r w:rsidRPr="00123108">
          <w:rPr>
            <w:rStyle w:val="afff2"/>
            <w:rFonts w:ascii="宋体" w:hAnsi="宋体" w:cs="宋体"/>
            <w:noProof/>
            <w:sz w:val="24"/>
            <w:lang w:val="zh-CN"/>
          </w:rPr>
          <w:t xml:space="preserve">.1  </w:t>
        </w:r>
        <w:r w:rsidRPr="00123108">
          <w:rPr>
            <w:rStyle w:val="afff2"/>
            <w:rFonts w:ascii="宋体" w:hAnsi="宋体" w:cs="宋体" w:hint="eastAsia"/>
            <w:noProof/>
            <w:sz w:val="24"/>
            <w:lang w:val="zh-CN"/>
          </w:rPr>
          <w:t>选址及周边环境</w:t>
        </w:r>
        <w:r w:rsidRPr="00123108">
          <w:rPr>
            <w:rStyle w:val="afff2"/>
            <w:rFonts w:ascii="宋体" w:hAnsi="宋体" w:cs="宋体" w:hint="eastAsia"/>
            <w:noProof/>
            <w:sz w:val="24"/>
          </w:rPr>
          <w:t>分析结果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_Toc190935807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114</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08" w:history="1">
        <w:r w:rsidRPr="00123108">
          <w:rPr>
            <w:rStyle w:val="afff2"/>
            <w:rFonts w:ascii="宋体" w:hAnsi="宋体" w:cs="宋体"/>
            <w:noProof/>
            <w:sz w:val="24"/>
            <w:lang w:val="zh-CN"/>
          </w:rPr>
          <w:t>7.</w:t>
        </w:r>
        <w:r w:rsidRPr="00123108">
          <w:rPr>
            <w:rStyle w:val="afff2"/>
            <w:rFonts w:ascii="宋体" w:hAnsi="宋体" w:cs="宋体"/>
            <w:noProof/>
            <w:sz w:val="24"/>
          </w:rPr>
          <w:t>3</w:t>
        </w:r>
        <w:r w:rsidRPr="00123108">
          <w:rPr>
            <w:rStyle w:val="afff2"/>
            <w:rFonts w:ascii="宋体" w:hAnsi="宋体" w:cs="宋体"/>
            <w:noProof/>
            <w:sz w:val="24"/>
            <w:lang w:val="zh-CN"/>
          </w:rPr>
          <w:t xml:space="preserve">.2  </w:t>
        </w:r>
        <w:r w:rsidRPr="00123108">
          <w:rPr>
            <w:rStyle w:val="afff2"/>
            <w:rFonts w:ascii="宋体" w:hAnsi="宋体" w:cs="宋体" w:hint="eastAsia"/>
            <w:noProof/>
            <w:sz w:val="24"/>
            <w:lang w:val="zh-CN"/>
          </w:rPr>
          <w:t>与周边环境的相互影响</w:t>
        </w:r>
        <w:r w:rsidRPr="00123108">
          <w:rPr>
            <w:rStyle w:val="afff2"/>
            <w:rFonts w:ascii="宋体" w:hAnsi="宋体" w:cs="宋体" w:hint="eastAsia"/>
            <w:noProof/>
            <w:sz w:val="24"/>
          </w:rPr>
          <w:t>分析结果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_Toc190935808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114</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09" w:history="1">
        <w:r w:rsidRPr="00123108">
          <w:rPr>
            <w:rStyle w:val="afff2"/>
            <w:rFonts w:ascii="宋体" w:hAnsi="宋体" w:cs="宋体"/>
            <w:noProof/>
            <w:sz w:val="24"/>
            <w:lang w:val="zh-CN"/>
          </w:rPr>
          <w:t>7.</w:t>
        </w:r>
        <w:r w:rsidRPr="00123108">
          <w:rPr>
            <w:rStyle w:val="afff2"/>
            <w:rFonts w:ascii="宋体" w:hAnsi="宋体" w:cs="宋体"/>
            <w:noProof/>
            <w:sz w:val="24"/>
          </w:rPr>
          <w:t>3</w:t>
        </w:r>
        <w:r w:rsidRPr="00123108">
          <w:rPr>
            <w:rStyle w:val="afff2"/>
            <w:rFonts w:ascii="宋体" w:hAnsi="宋体" w:cs="宋体"/>
            <w:noProof/>
            <w:sz w:val="24"/>
            <w:lang w:val="zh-CN"/>
          </w:rPr>
          <w:t xml:space="preserve">.3  </w:t>
        </w:r>
        <w:r w:rsidRPr="00123108">
          <w:rPr>
            <w:rStyle w:val="afff2"/>
            <w:rFonts w:ascii="宋体" w:hAnsi="宋体" w:cs="宋体" w:hint="eastAsia"/>
            <w:noProof/>
            <w:sz w:val="24"/>
            <w:lang w:val="zh-CN"/>
          </w:rPr>
          <w:t>自然条件的影响</w:t>
        </w:r>
        <w:r w:rsidRPr="00123108">
          <w:rPr>
            <w:rStyle w:val="afff2"/>
            <w:rFonts w:ascii="宋体" w:hAnsi="宋体" w:cs="宋体" w:hint="eastAsia"/>
            <w:noProof/>
            <w:sz w:val="24"/>
          </w:rPr>
          <w:t>分析</w:t>
        </w:r>
        <w:r w:rsidRPr="00123108">
          <w:rPr>
            <w:rStyle w:val="afff2"/>
            <w:rFonts w:ascii="宋体" w:hAnsi="宋体" w:cs="宋体" w:hint="eastAsia"/>
            <w:noProof/>
            <w:sz w:val="24"/>
            <w:lang w:val="zh-CN"/>
          </w:rPr>
          <w:t>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_Toc190935809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114</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810" w:history="1">
        <w:r w:rsidRPr="00123108">
          <w:rPr>
            <w:rStyle w:val="afff2"/>
            <w:rFonts w:ascii="宋体" w:hAnsi="宋体" w:cs="宋体"/>
            <w:noProof/>
            <w:sz w:val="24"/>
          </w:rPr>
          <w:t xml:space="preserve">7.4  </w:t>
        </w:r>
        <w:r w:rsidRPr="00123108">
          <w:rPr>
            <w:rStyle w:val="afff2"/>
            <w:rFonts w:ascii="宋体" w:hAnsi="宋体" w:cs="宋体" w:hint="eastAsia"/>
            <w:noProof/>
            <w:sz w:val="24"/>
          </w:rPr>
          <w:t>安全生产条件的分析结果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_Toc190935810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114</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11" w:history="1">
        <w:r w:rsidRPr="00123108">
          <w:rPr>
            <w:rStyle w:val="afff2"/>
            <w:rFonts w:ascii="宋体" w:hAnsi="宋体" w:cs="宋体"/>
            <w:noProof/>
            <w:sz w:val="24"/>
            <w:lang w:val="zh-CN"/>
          </w:rPr>
          <w:t>7.</w:t>
        </w:r>
        <w:r w:rsidRPr="00123108">
          <w:rPr>
            <w:rStyle w:val="afff2"/>
            <w:rFonts w:ascii="宋体" w:hAnsi="宋体" w:cs="宋体"/>
            <w:noProof/>
            <w:sz w:val="24"/>
          </w:rPr>
          <w:t>4</w:t>
        </w:r>
        <w:r w:rsidRPr="00123108">
          <w:rPr>
            <w:rStyle w:val="afff2"/>
            <w:rFonts w:ascii="宋体" w:hAnsi="宋体" w:cs="宋体"/>
            <w:noProof/>
            <w:sz w:val="24"/>
            <w:lang w:val="zh-CN"/>
          </w:rPr>
          <w:t xml:space="preserve">.1  </w:t>
        </w:r>
        <w:r w:rsidRPr="00123108">
          <w:rPr>
            <w:rStyle w:val="afff2"/>
            <w:rFonts w:ascii="宋体" w:hAnsi="宋体" w:cs="宋体" w:hint="eastAsia"/>
            <w:noProof/>
            <w:sz w:val="24"/>
          </w:rPr>
          <w:t>总平面布置评价结果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_Toc190935811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114</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12" w:history="1">
        <w:r w:rsidRPr="00123108">
          <w:rPr>
            <w:rStyle w:val="afff2"/>
            <w:rFonts w:ascii="宋体" w:hAnsi="宋体" w:cs="宋体"/>
            <w:noProof/>
            <w:sz w:val="24"/>
            <w:lang w:val="zh-CN"/>
          </w:rPr>
          <w:t>7.</w:t>
        </w:r>
        <w:r w:rsidRPr="00123108">
          <w:rPr>
            <w:rStyle w:val="afff2"/>
            <w:rFonts w:ascii="宋体" w:hAnsi="宋体" w:cs="宋体"/>
            <w:noProof/>
            <w:sz w:val="24"/>
          </w:rPr>
          <w:t>4</w:t>
        </w:r>
        <w:r w:rsidRPr="00123108">
          <w:rPr>
            <w:rStyle w:val="afff2"/>
            <w:rFonts w:ascii="宋体" w:hAnsi="宋体" w:cs="宋体"/>
            <w:noProof/>
            <w:sz w:val="24"/>
            <w:lang w:val="zh-CN"/>
          </w:rPr>
          <w:t xml:space="preserve">.2  </w:t>
        </w:r>
        <w:r w:rsidRPr="00123108">
          <w:rPr>
            <w:rStyle w:val="afff2"/>
            <w:rFonts w:ascii="宋体" w:hAnsi="宋体" w:cs="宋体" w:hint="eastAsia"/>
            <w:noProof/>
            <w:sz w:val="24"/>
            <w:lang w:val="zh-CN"/>
          </w:rPr>
          <w:t>建构筑物布置评价结果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_Toc190935812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115</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13" w:history="1">
        <w:r w:rsidRPr="00123108">
          <w:rPr>
            <w:rStyle w:val="afff2"/>
            <w:rFonts w:ascii="宋体" w:hAnsi="宋体" w:cs="宋体"/>
            <w:noProof/>
            <w:sz w:val="24"/>
            <w:lang w:val="zh-CN"/>
          </w:rPr>
          <w:t>7.</w:t>
        </w:r>
        <w:r w:rsidRPr="00123108">
          <w:rPr>
            <w:rStyle w:val="afff2"/>
            <w:rFonts w:ascii="宋体" w:hAnsi="宋体" w:cs="宋体"/>
            <w:noProof/>
            <w:sz w:val="24"/>
          </w:rPr>
          <w:t>4</w:t>
        </w:r>
        <w:r w:rsidRPr="00123108">
          <w:rPr>
            <w:rStyle w:val="afff2"/>
            <w:rFonts w:ascii="宋体" w:hAnsi="宋体" w:cs="宋体"/>
            <w:noProof/>
            <w:sz w:val="24"/>
            <w:lang w:val="zh-CN"/>
          </w:rPr>
          <w:t xml:space="preserve">.3 </w:t>
        </w:r>
        <w:r w:rsidRPr="00123108">
          <w:rPr>
            <w:rStyle w:val="afff2"/>
            <w:rFonts w:ascii="宋体" w:hAnsi="宋体" w:cs="宋体" w:hint="eastAsia"/>
            <w:noProof/>
            <w:sz w:val="24"/>
          </w:rPr>
          <w:t>生产工艺、设备设施评价结果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_Toc190935813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115</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14" w:history="1">
        <w:r w:rsidRPr="00123108">
          <w:rPr>
            <w:rStyle w:val="afff2"/>
            <w:rFonts w:ascii="宋体" w:hAnsi="宋体" w:cs="宋体"/>
            <w:noProof/>
            <w:sz w:val="24"/>
          </w:rPr>
          <w:t xml:space="preserve">7.4.4 </w:t>
        </w:r>
        <w:r w:rsidRPr="00123108">
          <w:rPr>
            <w:rStyle w:val="afff2"/>
            <w:rFonts w:ascii="宋体" w:hAnsi="宋体" w:cs="宋体" w:hint="eastAsia"/>
            <w:noProof/>
            <w:sz w:val="24"/>
            <w:lang w:val="zh-CN"/>
          </w:rPr>
          <w:t>防火防爆措施评价</w:t>
        </w:r>
        <w:r w:rsidRPr="00123108">
          <w:rPr>
            <w:rStyle w:val="afff2"/>
            <w:rFonts w:ascii="宋体" w:hAnsi="宋体" w:cs="宋体" w:hint="eastAsia"/>
            <w:noProof/>
            <w:sz w:val="24"/>
          </w:rPr>
          <w:t>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_Toc190935814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115</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15" w:history="1">
        <w:r w:rsidRPr="00123108">
          <w:rPr>
            <w:rStyle w:val="afff2"/>
            <w:rFonts w:ascii="宋体" w:hAnsi="宋体" w:cs="宋体"/>
            <w:noProof/>
            <w:sz w:val="24"/>
          </w:rPr>
          <w:t xml:space="preserve">7.4.5 </w:t>
        </w:r>
        <w:r w:rsidRPr="00123108">
          <w:rPr>
            <w:rStyle w:val="afff2"/>
            <w:rFonts w:ascii="宋体" w:hAnsi="宋体" w:cs="宋体" w:hint="eastAsia"/>
            <w:noProof/>
            <w:sz w:val="24"/>
            <w:lang w:val="zh-CN"/>
          </w:rPr>
          <w:t>防雷防静电评价</w:t>
        </w:r>
        <w:r w:rsidRPr="00123108">
          <w:rPr>
            <w:rStyle w:val="afff2"/>
            <w:rFonts w:ascii="宋体" w:hAnsi="宋体" w:cs="宋体" w:hint="eastAsia"/>
            <w:noProof/>
            <w:sz w:val="24"/>
          </w:rPr>
          <w:t>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_Toc190935815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116</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16" w:history="1">
        <w:r w:rsidRPr="00123108">
          <w:rPr>
            <w:rStyle w:val="afff2"/>
            <w:rFonts w:ascii="宋体" w:hAnsi="宋体" w:cs="宋体"/>
            <w:noProof/>
            <w:sz w:val="24"/>
          </w:rPr>
          <w:t xml:space="preserve">7.4.6 </w:t>
        </w:r>
        <w:r w:rsidRPr="00123108">
          <w:rPr>
            <w:rStyle w:val="afff2"/>
            <w:rFonts w:ascii="宋体" w:hAnsi="宋体" w:cs="宋体" w:hint="eastAsia"/>
            <w:noProof/>
            <w:sz w:val="24"/>
          </w:rPr>
          <w:t>消防设施评价结果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_Toc190935816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116</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17" w:history="1">
        <w:r w:rsidRPr="00123108">
          <w:rPr>
            <w:rStyle w:val="afff2"/>
            <w:rFonts w:ascii="宋体" w:hAnsi="宋体" w:cs="宋体"/>
            <w:noProof/>
            <w:sz w:val="24"/>
          </w:rPr>
          <w:t xml:space="preserve">7.4.7 </w:t>
        </w:r>
        <w:r w:rsidRPr="00123108">
          <w:rPr>
            <w:rStyle w:val="afff2"/>
            <w:rFonts w:ascii="宋体" w:hAnsi="宋体" w:cs="宋体" w:hint="eastAsia"/>
            <w:noProof/>
            <w:sz w:val="24"/>
          </w:rPr>
          <w:t>电气、照明设施评价结果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_Toc190935817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116</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18" w:history="1">
        <w:r w:rsidRPr="00123108">
          <w:rPr>
            <w:rStyle w:val="afff2"/>
            <w:rFonts w:ascii="宋体" w:hAnsi="宋体" w:cs="宋体"/>
            <w:bCs/>
            <w:noProof/>
            <w:sz w:val="24"/>
          </w:rPr>
          <w:t xml:space="preserve">7.4.8  </w:t>
        </w:r>
        <w:r w:rsidRPr="00123108">
          <w:rPr>
            <w:rStyle w:val="afff2"/>
            <w:rFonts w:ascii="宋体" w:hAnsi="宋体" w:cs="宋体" w:hint="eastAsia"/>
            <w:bCs/>
            <w:noProof/>
            <w:sz w:val="24"/>
          </w:rPr>
          <w:t>常规防护设施和措施评价结果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_Toc190935818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116</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19" w:history="1">
        <w:r w:rsidRPr="00123108">
          <w:rPr>
            <w:rStyle w:val="afff2"/>
            <w:rFonts w:ascii="宋体" w:hAnsi="宋体" w:cs="宋体"/>
            <w:bCs/>
            <w:noProof/>
            <w:sz w:val="24"/>
          </w:rPr>
          <w:t xml:space="preserve">7.4.9  </w:t>
        </w:r>
        <w:r w:rsidRPr="00123108">
          <w:rPr>
            <w:rStyle w:val="afff2"/>
            <w:rFonts w:ascii="宋体" w:hAnsi="宋体" w:cs="宋体" w:hint="eastAsia"/>
            <w:bCs/>
            <w:noProof/>
            <w:sz w:val="24"/>
          </w:rPr>
          <w:t>自动化控制系统评价结果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_Toc190935819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116</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20" w:history="1">
        <w:r w:rsidRPr="00123108">
          <w:rPr>
            <w:rStyle w:val="afff2"/>
            <w:rFonts w:ascii="宋体" w:hAnsi="宋体" w:cs="宋体"/>
            <w:bCs/>
            <w:noProof/>
            <w:sz w:val="24"/>
          </w:rPr>
          <w:t xml:space="preserve">7.4.10 </w:t>
        </w:r>
        <w:r w:rsidRPr="00123108">
          <w:rPr>
            <w:rStyle w:val="afff2"/>
            <w:rFonts w:ascii="宋体" w:hAnsi="宋体" w:cs="宋体" w:hint="eastAsia"/>
            <w:bCs/>
            <w:noProof/>
            <w:sz w:val="24"/>
            <w:lang w:val="zh-CN"/>
          </w:rPr>
          <w:t>职业危害评价结果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_Toc190935820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117</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21" w:history="1">
        <w:r w:rsidRPr="00123108">
          <w:rPr>
            <w:rStyle w:val="afff2"/>
            <w:rFonts w:ascii="宋体" w:hAnsi="宋体" w:cs="宋体"/>
            <w:bCs/>
            <w:noProof/>
            <w:sz w:val="24"/>
          </w:rPr>
          <w:t xml:space="preserve">7.4.11 </w:t>
        </w:r>
        <w:r w:rsidRPr="00123108">
          <w:rPr>
            <w:rStyle w:val="afff2"/>
            <w:rFonts w:ascii="宋体" w:hAnsi="宋体" w:cs="宋体" w:hint="eastAsia"/>
            <w:bCs/>
            <w:noProof/>
            <w:sz w:val="24"/>
            <w:lang w:val="zh-CN"/>
          </w:rPr>
          <w:t>劳动防护用品评价结果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_Toc190935821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117</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22" w:history="1">
        <w:r w:rsidRPr="00123108">
          <w:rPr>
            <w:rStyle w:val="afff2"/>
            <w:rFonts w:ascii="宋体" w:hAnsi="宋体" w:cs="宋体"/>
            <w:bCs/>
            <w:noProof/>
            <w:sz w:val="24"/>
          </w:rPr>
          <w:t xml:space="preserve">7.4.12 </w:t>
        </w:r>
        <w:r w:rsidRPr="00123108">
          <w:rPr>
            <w:rStyle w:val="afff2"/>
            <w:rFonts w:ascii="宋体" w:hAnsi="宋体" w:cs="宋体" w:hint="eastAsia"/>
            <w:bCs/>
            <w:noProof/>
            <w:sz w:val="24"/>
          </w:rPr>
          <w:t>《化工企业安全检查重点指导目录》符合性检查结果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_Toc190935822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117</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23" w:history="1">
        <w:r w:rsidRPr="00123108">
          <w:rPr>
            <w:rStyle w:val="afff2"/>
            <w:rFonts w:ascii="宋体" w:hAnsi="宋体" w:cs="宋体"/>
            <w:bCs/>
            <w:noProof/>
            <w:sz w:val="24"/>
          </w:rPr>
          <w:t xml:space="preserve">7.4.13 </w:t>
        </w:r>
        <w:r w:rsidRPr="00123108">
          <w:rPr>
            <w:rStyle w:val="afff2"/>
            <w:rFonts w:ascii="宋体" w:hAnsi="宋体" w:cs="宋体" w:hint="eastAsia"/>
            <w:bCs/>
            <w:noProof/>
            <w:sz w:val="24"/>
          </w:rPr>
          <w:t>重大生产安全事故隐患判定结果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_Toc190935823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117</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24" w:history="1">
        <w:r w:rsidRPr="00123108">
          <w:rPr>
            <w:rStyle w:val="afff2"/>
            <w:rFonts w:ascii="宋体" w:hAnsi="宋体" w:cs="宋体"/>
            <w:bCs/>
            <w:noProof/>
            <w:sz w:val="24"/>
          </w:rPr>
          <w:t xml:space="preserve">7.4.14 </w:t>
        </w:r>
        <w:r w:rsidRPr="00123108">
          <w:rPr>
            <w:rStyle w:val="afff2"/>
            <w:rFonts w:ascii="宋体" w:hAnsi="宋体" w:cs="宋体" w:hint="eastAsia"/>
            <w:bCs/>
            <w:noProof/>
            <w:sz w:val="24"/>
          </w:rPr>
          <w:t>两重点一重大评价结果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_Toc190935824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118</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25" w:history="1">
        <w:r w:rsidRPr="00123108">
          <w:rPr>
            <w:rStyle w:val="afff2"/>
            <w:rFonts w:ascii="宋体" w:hAnsi="宋体" w:cs="宋体"/>
            <w:bCs/>
            <w:noProof/>
            <w:sz w:val="24"/>
          </w:rPr>
          <w:t xml:space="preserve">7.4.15 </w:t>
        </w:r>
        <w:r w:rsidRPr="00123108">
          <w:rPr>
            <w:rStyle w:val="afff2"/>
            <w:rFonts w:ascii="宋体" w:hAnsi="宋体" w:cs="宋体" w:hint="eastAsia"/>
            <w:bCs/>
            <w:noProof/>
            <w:sz w:val="24"/>
          </w:rPr>
          <w:t>安全生产管理评价结果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_Toc190935825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119</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26" w:history="1">
        <w:r w:rsidRPr="00123108">
          <w:rPr>
            <w:rStyle w:val="afff2"/>
            <w:rFonts w:ascii="宋体" w:hAnsi="宋体" w:cs="宋体"/>
            <w:bCs/>
            <w:noProof/>
            <w:sz w:val="24"/>
          </w:rPr>
          <w:t xml:space="preserve">7.4.16  </w:t>
        </w:r>
        <w:r w:rsidRPr="00123108">
          <w:rPr>
            <w:rStyle w:val="afff2"/>
            <w:rFonts w:ascii="宋体" w:hAnsi="宋体" w:cs="宋体" w:hint="eastAsia"/>
            <w:bCs/>
            <w:noProof/>
            <w:sz w:val="24"/>
            <w:lang w:val="zh-CN"/>
          </w:rPr>
          <w:t>特殊作业安全评价</w:t>
        </w:r>
        <w:r w:rsidRPr="00123108">
          <w:rPr>
            <w:rStyle w:val="afff2"/>
            <w:rFonts w:ascii="宋体" w:hAnsi="宋体" w:cs="宋体" w:hint="eastAsia"/>
            <w:bCs/>
            <w:noProof/>
            <w:sz w:val="24"/>
          </w:rPr>
          <w:t>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_Toc190935826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119</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27" w:history="1">
        <w:r w:rsidRPr="00123108">
          <w:rPr>
            <w:rStyle w:val="afff2"/>
            <w:rFonts w:ascii="宋体" w:hAnsi="宋体" w:cs="宋体"/>
            <w:bCs/>
            <w:noProof/>
            <w:sz w:val="24"/>
          </w:rPr>
          <w:t xml:space="preserve">7.4.17 </w:t>
        </w:r>
        <w:r w:rsidRPr="00123108">
          <w:rPr>
            <w:rStyle w:val="afff2"/>
            <w:rFonts w:ascii="宋体" w:hAnsi="宋体" w:cs="宋体" w:hint="eastAsia"/>
            <w:bCs/>
            <w:noProof/>
            <w:sz w:val="24"/>
          </w:rPr>
          <w:t>安全生产许可证取证情况符合性检查结果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_Toc190935827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119</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28" w:history="1">
        <w:r w:rsidRPr="00123108">
          <w:rPr>
            <w:rStyle w:val="afff2"/>
            <w:rFonts w:ascii="宋体" w:hAnsi="宋体" w:cs="宋体"/>
            <w:bCs/>
            <w:noProof/>
            <w:sz w:val="24"/>
          </w:rPr>
          <w:t>7.4.</w:t>
        </w:r>
        <w:r w:rsidRPr="00123108">
          <w:rPr>
            <w:rStyle w:val="afff2"/>
            <w:rFonts w:ascii="宋体" w:hAnsi="宋体" w:cs="宋体"/>
            <w:bCs/>
            <w:noProof/>
            <w:kern w:val="0"/>
            <w:sz w:val="24"/>
          </w:rPr>
          <w:t xml:space="preserve">18 </w:t>
        </w:r>
        <w:r w:rsidRPr="00123108">
          <w:rPr>
            <w:rStyle w:val="afff2"/>
            <w:rFonts w:ascii="宋体" w:hAnsi="宋体" w:cs="宋体" w:hint="eastAsia"/>
            <w:bCs/>
            <w:noProof/>
            <w:kern w:val="0"/>
            <w:sz w:val="24"/>
            <w:lang w:val="zh-CN"/>
          </w:rPr>
          <w:t>危险化学品企业安全风险隐患排查</w:t>
        </w:r>
        <w:r w:rsidRPr="00123108">
          <w:rPr>
            <w:rStyle w:val="afff2"/>
            <w:rFonts w:ascii="宋体" w:hAnsi="宋体" w:cs="宋体" w:hint="eastAsia"/>
            <w:bCs/>
            <w:noProof/>
            <w:sz w:val="24"/>
          </w:rPr>
          <w:t>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_Toc190935828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119</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29" w:history="1">
        <w:r w:rsidRPr="00123108">
          <w:rPr>
            <w:rStyle w:val="afff2"/>
            <w:rFonts w:ascii="宋体" w:hAnsi="宋体" w:cs="宋体"/>
            <w:bCs/>
            <w:noProof/>
            <w:sz w:val="24"/>
          </w:rPr>
          <w:t>7.4.</w:t>
        </w:r>
        <w:r w:rsidRPr="00123108">
          <w:rPr>
            <w:rStyle w:val="afff2"/>
            <w:rFonts w:ascii="宋体" w:hAnsi="宋体" w:cs="宋体"/>
            <w:bCs/>
            <w:noProof/>
            <w:kern w:val="0"/>
            <w:sz w:val="24"/>
          </w:rPr>
          <w:t xml:space="preserve">19 </w:t>
        </w:r>
        <w:r w:rsidRPr="00123108">
          <w:rPr>
            <w:rStyle w:val="afff2"/>
            <w:rFonts w:ascii="宋体" w:hAnsi="宋体" w:cs="宋体" w:hint="eastAsia"/>
            <w:bCs/>
            <w:noProof/>
            <w:kern w:val="0"/>
            <w:sz w:val="24"/>
            <w:lang w:val="zh-CN"/>
          </w:rPr>
          <w:t>安全生产专项提升整治检查</w:t>
        </w:r>
        <w:r w:rsidRPr="00123108">
          <w:rPr>
            <w:rStyle w:val="afff2"/>
            <w:rFonts w:ascii="宋体" w:hAnsi="宋体" w:cs="宋体" w:hint="eastAsia"/>
            <w:bCs/>
            <w:noProof/>
            <w:sz w:val="24"/>
          </w:rPr>
          <w:t>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_Toc190935829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119</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30" w:history="1">
        <w:r w:rsidRPr="00123108">
          <w:rPr>
            <w:rStyle w:val="afff2"/>
            <w:rFonts w:ascii="宋体" w:hAnsi="宋体" w:cs="宋体"/>
            <w:bCs/>
            <w:noProof/>
            <w:sz w:val="24"/>
          </w:rPr>
          <w:t>7.4.</w:t>
        </w:r>
        <w:r w:rsidRPr="00123108">
          <w:rPr>
            <w:rStyle w:val="afff2"/>
            <w:rFonts w:ascii="宋体" w:hAnsi="宋体" w:cs="宋体"/>
            <w:bCs/>
            <w:noProof/>
            <w:kern w:val="0"/>
            <w:sz w:val="24"/>
          </w:rPr>
          <w:t xml:space="preserve">20 </w:t>
        </w:r>
        <w:r w:rsidRPr="00123108">
          <w:rPr>
            <w:rStyle w:val="afff2"/>
            <w:rFonts w:ascii="宋体" w:hAnsi="宋体" w:cs="宋体" w:hint="eastAsia"/>
            <w:bCs/>
            <w:noProof/>
            <w:kern w:val="0"/>
            <w:sz w:val="24"/>
          </w:rPr>
          <w:t>环保设施安全风险评价</w:t>
        </w:r>
        <w:r w:rsidRPr="00123108">
          <w:rPr>
            <w:rStyle w:val="afff2"/>
            <w:rFonts w:ascii="宋体" w:hAnsi="宋体" w:cs="宋体" w:hint="eastAsia"/>
            <w:bCs/>
            <w:noProof/>
            <w:sz w:val="24"/>
          </w:rPr>
          <w:t>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_Toc190935830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119</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31" w:history="1">
        <w:r w:rsidRPr="00123108">
          <w:rPr>
            <w:rStyle w:val="afff2"/>
            <w:rFonts w:ascii="宋体" w:hAnsi="宋体" w:cs="宋体"/>
            <w:bCs/>
            <w:noProof/>
            <w:sz w:val="24"/>
          </w:rPr>
          <w:t xml:space="preserve">7.4.21 </w:t>
        </w:r>
        <w:r w:rsidRPr="00123108">
          <w:rPr>
            <w:rStyle w:val="afff2"/>
            <w:rFonts w:ascii="宋体" w:hAnsi="宋体" w:cs="宋体" w:hint="eastAsia"/>
            <w:bCs/>
            <w:noProof/>
            <w:sz w:val="24"/>
          </w:rPr>
          <w:t>易制爆危险化学品安全评价</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_Toc190935831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120</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32" w:history="1">
        <w:r w:rsidRPr="00123108">
          <w:rPr>
            <w:rStyle w:val="afff2"/>
            <w:rFonts w:ascii="宋体" w:hAnsi="宋体" w:cs="宋体"/>
            <w:bCs/>
            <w:noProof/>
            <w:sz w:val="24"/>
          </w:rPr>
          <w:t>7.4.</w:t>
        </w:r>
        <w:r w:rsidRPr="00123108">
          <w:rPr>
            <w:rStyle w:val="afff2"/>
            <w:rFonts w:ascii="宋体" w:hAnsi="宋体" w:cs="宋体"/>
            <w:bCs/>
            <w:noProof/>
            <w:kern w:val="0"/>
            <w:sz w:val="24"/>
          </w:rPr>
          <w:t xml:space="preserve">22 </w:t>
        </w:r>
        <w:r w:rsidRPr="00123108">
          <w:rPr>
            <w:rStyle w:val="afff2"/>
            <w:rFonts w:ascii="宋体" w:hAnsi="宋体" w:cs="宋体" w:hint="eastAsia"/>
            <w:bCs/>
            <w:noProof/>
            <w:kern w:val="0"/>
            <w:sz w:val="24"/>
          </w:rPr>
          <w:t>本次安全评价与上次安全评价之间的变化分析</w:t>
        </w:r>
        <w:r w:rsidRPr="00123108">
          <w:rPr>
            <w:rStyle w:val="afff2"/>
            <w:rFonts w:ascii="宋体" w:hAnsi="宋体" w:cs="宋体" w:hint="eastAsia"/>
            <w:bCs/>
            <w:noProof/>
            <w:sz w:val="24"/>
          </w:rPr>
          <w:t>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_Toc190935832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120</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33" w:history="1">
        <w:r w:rsidRPr="00123108">
          <w:rPr>
            <w:rStyle w:val="afff2"/>
            <w:rFonts w:ascii="宋体" w:hAnsi="宋体" w:cs="宋体"/>
            <w:bCs/>
            <w:noProof/>
            <w:sz w:val="24"/>
          </w:rPr>
          <w:t>7.4.</w:t>
        </w:r>
        <w:r w:rsidRPr="00123108">
          <w:rPr>
            <w:rStyle w:val="afff2"/>
            <w:rFonts w:ascii="宋体" w:hAnsi="宋体" w:cs="宋体"/>
            <w:bCs/>
            <w:noProof/>
            <w:kern w:val="0"/>
            <w:sz w:val="24"/>
          </w:rPr>
          <w:t>2</w:t>
        </w:r>
        <w:r w:rsidRPr="00123108">
          <w:rPr>
            <w:rStyle w:val="afff2"/>
            <w:rFonts w:ascii="宋体" w:hAnsi="宋体" w:cs="宋体" w:hint="eastAsia"/>
            <w:bCs/>
            <w:noProof/>
            <w:kern w:val="0"/>
            <w:sz w:val="24"/>
          </w:rPr>
          <w:t>3</w:t>
        </w:r>
        <w:r w:rsidRPr="00123108">
          <w:rPr>
            <w:rStyle w:val="afff2"/>
            <w:rFonts w:ascii="宋体" w:hAnsi="宋体" w:cs="宋体"/>
            <w:bCs/>
            <w:noProof/>
            <w:kern w:val="0"/>
            <w:sz w:val="24"/>
          </w:rPr>
          <w:t xml:space="preserve"> </w:t>
        </w:r>
        <w:r w:rsidRPr="00123108">
          <w:rPr>
            <w:rStyle w:val="afff2"/>
            <w:rFonts w:ascii="宋体" w:hAnsi="宋体" w:cs="宋体" w:hint="eastAsia"/>
            <w:bCs/>
            <w:noProof/>
            <w:kern w:val="0"/>
            <w:sz w:val="24"/>
          </w:rPr>
          <w:t>上次安全评价以来整改措施落实检查</w:t>
        </w:r>
        <w:r w:rsidRPr="00123108">
          <w:rPr>
            <w:rStyle w:val="afff2"/>
            <w:rFonts w:ascii="宋体" w:hAnsi="宋体" w:cs="宋体" w:hint="eastAsia"/>
            <w:bCs/>
            <w:noProof/>
            <w:sz w:val="24"/>
          </w:rPr>
          <w:t>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_Toc190935833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120</w:t>
        </w:r>
        <w:r w:rsidRPr="00123108">
          <w:rPr>
            <w:rFonts w:ascii="宋体" w:hAnsi="宋体"/>
            <w:noProof/>
            <w:webHidden/>
            <w:sz w:val="24"/>
          </w:rPr>
          <w:fldChar w:fldCharType="end"/>
        </w:r>
      </w:hyperlink>
    </w:p>
    <w:p w:rsidR="00176D77" w:rsidRPr="00123108" w:rsidRDefault="00176D77" w:rsidP="00176D77">
      <w:pPr>
        <w:pStyle w:val="10"/>
        <w:tabs>
          <w:tab w:val="right" w:leader="dot" w:pos="9175"/>
        </w:tabs>
        <w:spacing w:before="0" w:after="0" w:line="360" w:lineRule="auto"/>
        <w:rPr>
          <w:rFonts w:ascii="宋体" w:hAnsi="宋体"/>
          <w:b w:val="0"/>
          <w:bCs w:val="0"/>
          <w:caps w:val="0"/>
          <w:noProof/>
          <w:sz w:val="24"/>
          <w:szCs w:val="24"/>
          <w:lang w:val="en-US" w:eastAsia="zh-CN"/>
        </w:rPr>
      </w:pPr>
      <w:hyperlink w:anchor="_Toc190935834" w:history="1">
        <w:r w:rsidRPr="00123108">
          <w:rPr>
            <w:rStyle w:val="afff2"/>
            <w:rFonts w:ascii="宋体" w:hAnsi="宋体" w:cs="宋体"/>
            <w:b w:val="0"/>
            <w:noProof/>
            <w:spacing w:val="-4"/>
            <w:sz w:val="24"/>
            <w:szCs w:val="24"/>
          </w:rPr>
          <w:t xml:space="preserve">8  </w:t>
        </w:r>
        <w:r w:rsidRPr="00123108">
          <w:rPr>
            <w:rStyle w:val="afff2"/>
            <w:rFonts w:ascii="宋体" w:hAnsi="宋体" w:cs="宋体" w:hint="eastAsia"/>
            <w:b w:val="0"/>
            <w:noProof/>
            <w:spacing w:val="-4"/>
            <w:sz w:val="24"/>
            <w:szCs w:val="24"/>
          </w:rPr>
          <w:t>安全对策措施与建议</w:t>
        </w:r>
        <w:r w:rsidRPr="00123108">
          <w:rPr>
            <w:rFonts w:ascii="宋体" w:hAnsi="宋体"/>
            <w:b w:val="0"/>
            <w:noProof/>
            <w:webHidden/>
            <w:sz w:val="24"/>
            <w:szCs w:val="24"/>
          </w:rPr>
          <w:tab/>
        </w:r>
        <w:r w:rsidRPr="00123108">
          <w:rPr>
            <w:rFonts w:ascii="宋体" w:hAnsi="宋体"/>
            <w:b w:val="0"/>
            <w:noProof/>
            <w:webHidden/>
            <w:sz w:val="24"/>
            <w:szCs w:val="24"/>
          </w:rPr>
          <w:fldChar w:fldCharType="begin"/>
        </w:r>
        <w:r w:rsidRPr="00123108">
          <w:rPr>
            <w:rFonts w:ascii="宋体" w:hAnsi="宋体"/>
            <w:b w:val="0"/>
            <w:noProof/>
            <w:webHidden/>
            <w:sz w:val="24"/>
            <w:szCs w:val="24"/>
          </w:rPr>
          <w:instrText xml:space="preserve"> PAGEREF _Toc190935834 \h </w:instrText>
        </w:r>
        <w:r w:rsidRPr="00123108">
          <w:rPr>
            <w:rFonts w:ascii="宋体" w:hAnsi="宋体"/>
            <w:b w:val="0"/>
            <w:noProof/>
            <w:webHidden/>
            <w:sz w:val="24"/>
            <w:szCs w:val="24"/>
          </w:rPr>
        </w:r>
        <w:r w:rsidRPr="00123108">
          <w:rPr>
            <w:rFonts w:ascii="宋体" w:hAnsi="宋体"/>
            <w:b w:val="0"/>
            <w:noProof/>
            <w:webHidden/>
            <w:sz w:val="24"/>
            <w:szCs w:val="24"/>
          </w:rPr>
          <w:fldChar w:fldCharType="separate"/>
        </w:r>
        <w:r w:rsidR="005711FB">
          <w:rPr>
            <w:rFonts w:ascii="宋体" w:hAnsi="宋体"/>
            <w:b w:val="0"/>
            <w:noProof/>
            <w:webHidden/>
            <w:sz w:val="24"/>
            <w:szCs w:val="24"/>
          </w:rPr>
          <w:t>121</w:t>
        </w:r>
        <w:r w:rsidRPr="00123108">
          <w:rPr>
            <w:rFonts w:ascii="宋体" w:hAnsi="宋体"/>
            <w:b w:val="0"/>
            <w:noProof/>
            <w:webHidden/>
            <w:sz w:val="24"/>
            <w:szCs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835" w:history="1">
        <w:r w:rsidRPr="00123108">
          <w:rPr>
            <w:rStyle w:val="afff2"/>
            <w:rFonts w:ascii="宋体" w:hAnsi="宋体" w:cs="宋体"/>
            <w:noProof/>
            <w:sz w:val="24"/>
          </w:rPr>
          <w:t xml:space="preserve">8.1  </w:t>
        </w:r>
        <w:r w:rsidRPr="00123108">
          <w:rPr>
            <w:rStyle w:val="afff2"/>
            <w:rFonts w:ascii="宋体" w:hAnsi="宋体" w:cs="宋体" w:hint="eastAsia"/>
            <w:noProof/>
            <w:sz w:val="24"/>
          </w:rPr>
          <w:t>存在的主要问题及整改措施</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_Toc190935835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121</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836" w:history="1">
        <w:r w:rsidRPr="00123108">
          <w:rPr>
            <w:rStyle w:val="afff2"/>
            <w:rFonts w:ascii="宋体" w:hAnsi="宋体" w:cs="宋体"/>
            <w:noProof/>
            <w:sz w:val="24"/>
          </w:rPr>
          <w:t xml:space="preserve">8.2  </w:t>
        </w:r>
        <w:r w:rsidRPr="00123108">
          <w:rPr>
            <w:rStyle w:val="afff2"/>
            <w:rFonts w:ascii="宋体" w:hAnsi="宋体" w:cs="宋体" w:hint="eastAsia"/>
            <w:noProof/>
            <w:sz w:val="24"/>
          </w:rPr>
          <w:t>建议</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_Toc190935836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121</w:t>
        </w:r>
        <w:r w:rsidRPr="00123108">
          <w:rPr>
            <w:rFonts w:ascii="宋体" w:hAnsi="宋体"/>
            <w:noProof/>
            <w:webHidden/>
            <w:sz w:val="24"/>
          </w:rPr>
          <w:fldChar w:fldCharType="end"/>
        </w:r>
      </w:hyperlink>
    </w:p>
    <w:p w:rsidR="00176D77" w:rsidRPr="00123108" w:rsidRDefault="00176D77" w:rsidP="00176D77">
      <w:pPr>
        <w:pStyle w:val="10"/>
        <w:tabs>
          <w:tab w:val="right" w:leader="dot" w:pos="9175"/>
        </w:tabs>
        <w:spacing w:before="0" w:after="0" w:line="360" w:lineRule="auto"/>
        <w:rPr>
          <w:rFonts w:ascii="宋体" w:hAnsi="宋体"/>
          <w:b w:val="0"/>
          <w:bCs w:val="0"/>
          <w:caps w:val="0"/>
          <w:noProof/>
          <w:sz w:val="24"/>
          <w:szCs w:val="24"/>
          <w:lang w:val="en-US" w:eastAsia="zh-CN"/>
        </w:rPr>
      </w:pPr>
      <w:hyperlink w:anchor="_Toc190935837" w:history="1">
        <w:r w:rsidRPr="00123108">
          <w:rPr>
            <w:rStyle w:val="afff2"/>
            <w:rFonts w:ascii="宋体" w:hAnsi="宋体" w:cs="宋体"/>
            <w:b w:val="0"/>
            <w:noProof/>
            <w:spacing w:val="-4"/>
            <w:sz w:val="24"/>
            <w:szCs w:val="24"/>
          </w:rPr>
          <w:t xml:space="preserve">9  </w:t>
        </w:r>
        <w:r w:rsidRPr="00123108">
          <w:rPr>
            <w:rStyle w:val="afff2"/>
            <w:rFonts w:ascii="宋体" w:hAnsi="宋体" w:cs="宋体" w:hint="eastAsia"/>
            <w:b w:val="0"/>
            <w:noProof/>
            <w:spacing w:val="-4"/>
            <w:sz w:val="24"/>
            <w:szCs w:val="24"/>
          </w:rPr>
          <w:t>评价结论</w:t>
        </w:r>
        <w:r w:rsidRPr="00123108">
          <w:rPr>
            <w:rFonts w:ascii="宋体" w:hAnsi="宋体"/>
            <w:b w:val="0"/>
            <w:noProof/>
            <w:webHidden/>
            <w:sz w:val="24"/>
            <w:szCs w:val="24"/>
          </w:rPr>
          <w:tab/>
        </w:r>
        <w:r w:rsidRPr="00123108">
          <w:rPr>
            <w:rFonts w:ascii="宋体" w:hAnsi="宋体"/>
            <w:b w:val="0"/>
            <w:noProof/>
            <w:webHidden/>
            <w:sz w:val="24"/>
            <w:szCs w:val="24"/>
          </w:rPr>
          <w:fldChar w:fldCharType="begin"/>
        </w:r>
        <w:r w:rsidRPr="00123108">
          <w:rPr>
            <w:rFonts w:ascii="宋体" w:hAnsi="宋体"/>
            <w:b w:val="0"/>
            <w:noProof/>
            <w:webHidden/>
            <w:sz w:val="24"/>
            <w:szCs w:val="24"/>
          </w:rPr>
          <w:instrText xml:space="preserve"> PAGEREF _Toc190935837 \h </w:instrText>
        </w:r>
        <w:r w:rsidRPr="00123108">
          <w:rPr>
            <w:rFonts w:ascii="宋体" w:hAnsi="宋体"/>
            <w:b w:val="0"/>
            <w:noProof/>
            <w:webHidden/>
            <w:sz w:val="24"/>
            <w:szCs w:val="24"/>
          </w:rPr>
        </w:r>
        <w:r w:rsidRPr="00123108">
          <w:rPr>
            <w:rFonts w:ascii="宋体" w:hAnsi="宋体"/>
            <w:b w:val="0"/>
            <w:noProof/>
            <w:webHidden/>
            <w:sz w:val="24"/>
            <w:szCs w:val="24"/>
          </w:rPr>
          <w:fldChar w:fldCharType="separate"/>
        </w:r>
        <w:r w:rsidR="005711FB">
          <w:rPr>
            <w:rFonts w:ascii="宋体" w:hAnsi="宋体"/>
            <w:b w:val="0"/>
            <w:noProof/>
            <w:webHidden/>
            <w:sz w:val="24"/>
            <w:szCs w:val="24"/>
          </w:rPr>
          <w:t>123</w:t>
        </w:r>
        <w:r w:rsidRPr="00123108">
          <w:rPr>
            <w:rFonts w:ascii="宋体" w:hAnsi="宋体"/>
            <w:b w:val="0"/>
            <w:noProof/>
            <w:webHidden/>
            <w:sz w:val="24"/>
            <w:szCs w:val="24"/>
          </w:rPr>
          <w:fldChar w:fldCharType="end"/>
        </w:r>
      </w:hyperlink>
    </w:p>
    <w:p w:rsidR="00176D77" w:rsidRPr="00123108" w:rsidRDefault="00176D77" w:rsidP="00176D77">
      <w:pPr>
        <w:pStyle w:val="10"/>
        <w:tabs>
          <w:tab w:val="right" w:leader="dot" w:pos="9175"/>
        </w:tabs>
        <w:spacing w:before="0" w:after="0" w:line="360" w:lineRule="auto"/>
        <w:rPr>
          <w:rFonts w:ascii="宋体" w:hAnsi="宋体"/>
          <w:b w:val="0"/>
          <w:bCs w:val="0"/>
          <w:caps w:val="0"/>
          <w:noProof/>
          <w:sz w:val="24"/>
          <w:szCs w:val="24"/>
          <w:lang w:val="en-US" w:eastAsia="zh-CN"/>
        </w:rPr>
      </w:pPr>
      <w:hyperlink w:anchor="_Toc190935838" w:history="1">
        <w:r w:rsidRPr="00123108">
          <w:rPr>
            <w:rStyle w:val="afff2"/>
            <w:rFonts w:ascii="宋体" w:hAnsi="宋体" w:cs="宋体"/>
            <w:b w:val="0"/>
            <w:noProof/>
            <w:spacing w:val="-4"/>
            <w:sz w:val="24"/>
            <w:szCs w:val="24"/>
          </w:rPr>
          <w:t xml:space="preserve">10  </w:t>
        </w:r>
        <w:r w:rsidRPr="00123108">
          <w:rPr>
            <w:rStyle w:val="afff2"/>
            <w:rFonts w:ascii="宋体" w:hAnsi="宋体" w:cs="宋体" w:hint="eastAsia"/>
            <w:b w:val="0"/>
            <w:noProof/>
            <w:spacing w:val="-4"/>
            <w:sz w:val="24"/>
            <w:szCs w:val="24"/>
          </w:rPr>
          <w:t>评价单位与建设单位交换意见</w:t>
        </w:r>
        <w:r w:rsidRPr="00123108">
          <w:rPr>
            <w:rFonts w:ascii="宋体" w:hAnsi="宋体"/>
            <w:b w:val="0"/>
            <w:noProof/>
            <w:webHidden/>
            <w:sz w:val="24"/>
            <w:szCs w:val="24"/>
          </w:rPr>
          <w:tab/>
        </w:r>
        <w:r w:rsidRPr="00123108">
          <w:rPr>
            <w:rFonts w:ascii="宋体" w:hAnsi="宋体"/>
            <w:b w:val="0"/>
            <w:noProof/>
            <w:webHidden/>
            <w:sz w:val="24"/>
            <w:szCs w:val="24"/>
          </w:rPr>
          <w:fldChar w:fldCharType="begin"/>
        </w:r>
        <w:r w:rsidRPr="00123108">
          <w:rPr>
            <w:rFonts w:ascii="宋体" w:hAnsi="宋体"/>
            <w:b w:val="0"/>
            <w:noProof/>
            <w:webHidden/>
            <w:sz w:val="24"/>
            <w:szCs w:val="24"/>
          </w:rPr>
          <w:instrText xml:space="preserve"> PAGEREF _Toc190935838 \h </w:instrText>
        </w:r>
        <w:r w:rsidRPr="00123108">
          <w:rPr>
            <w:rFonts w:ascii="宋体" w:hAnsi="宋体"/>
            <w:b w:val="0"/>
            <w:noProof/>
            <w:webHidden/>
            <w:sz w:val="24"/>
            <w:szCs w:val="24"/>
          </w:rPr>
        </w:r>
        <w:r w:rsidRPr="00123108">
          <w:rPr>
            <w:rFonts w:ascii="宋体" w:hAnsi="宋体"/>
            <w:b w:val="0"/>
            <w:noProof/>
            <w:webHidden/>
            <w:sz w:val="24"/>
            <w:szCs w:val="24"/>
          </w:rPr>
          <w:fldChar w:fldCharType="separate"/>
        </w:r>
        <w:r w:rsidR="005711FB">
          <w:rPr>
            <w:rFonts w:ascii="宋体" w:hAnsi="宋体"/>
            <w:b w:val="0"/>
            <w:noProof/>
            <w:webHidden/>
            <w:sz w:val="24"/>
            <w:szCs w:val="24"/>
          </w:rPr>
          <w:t>125</w:t>
        </w:r>
        <w:r w:rsidRPr="00123108">
          <w:rPr>
            <w:rFonts w:ascii="宋体" w:hAnsi="宋体"/>
            <w:b w:val="0"/>
            <w:noProof/>
            <w:webHidden/>
            <w:sz w:val="24"/>
            <w:szCs w:val="24"/>
          </w:rPr>
          <w:fldChar w:fldCharType="end"/>
        </w:r>
      </w:hyperlink>
    </w:p>
    <w:p w:rsidR="00176D77" w:rsidRPr="00123108" w:rsidRDefault="00176D77" w:rsidP="00176D77">
      <w:pPr>
        <w:pStyle w:val="10"/>
        <w:tabs>
          <w:tab w:val="right" w:leader="dot" w:pos="9175"/>
        </w:tabs>
        <w:spacing w:before="0" w:after="0" w:line="360" w:lineRule="auto"/>
        <w:rPr>
          <w:rFonts w:ascii="宋体" w:hAnsi="宋体"/>
          <w:b w:val="0"/>
          <w:bCs w:val="0"/>
          <w:caps w:val="0"/>
          <w:noProof/>
          <w:sz w:val="24"/>
          <w:szCs w:val="24"/>
          <w:lang w:val="en-US" w:eastAsia="zh-CN"/>
        </w:rPr>
      </w:pPr>
      <w:hyperlink w:anchor="_Toc190935839" w:history="1">
        <w:r w:rsidRPr="00123108">
          <w:rPr>
            <w:rStyle w:val="afff2"/>
            <w:rFonts w:ascii="宋体" w:hAnsi="宋体" w:cs="宋体" w:hint="eastAsia"/>
            <w:b w:val="0"/>
            <w:noProof/>
            <w:spacing w:val="-4"/>
            <w:sz w:val="24"/>
            <w:szCs w:val="24"/>
          </w:rPr>
          <w:t>附件</w:t>
        </w:r>
        <w:r w:rsidRPr="00123108">
          <w:rPr>
            <w:rStyle w:val="afff2"/>
            <w:rFonts w:ascii="宋体" w:hAnsi="宋体" w:cs="宋体"/>
            <w:b w:val="0"/>
            <w:noProof/>
            <w:spacing w:val="-4"/>
            <w:sz w:val="24"/>
            <w:szCs w:val="24"/>
          </w:rPr>
          <w:t xml:space="preserve">1  </w:t>
        </w:r>
        <w:r w:rsidRPr="00123108">
          <w:rPr>
            <w:rStyle w:val="afff2"/>
            <w:rFonts w:ascii="宋体" w:hAnsi="宋体" w:cs="宋体" w:hint="eastAsia"/>
            <w:b w:val="0"/>
            <w:noProof/>
            <w:spacing w:val="-4"/>
            <w:sz w:val="24"/>
            <w:szCs w:val="24"/>
          </w:rPr>
          <w:t>危险、有害因素分析过程</w:t>
        </w:r>
        <w:r w:rsidRPr="00123108">
          <w:rPr>
            <w:rFonts w:ascii="宋体" w:hAnsi="宋体"/>
            <w:b w:val="0"/>
            <w:noProof/>
            <w:webHidden/>
            <w:sz w:val="24"/>
            <w:szCs w:val="24"/>
          </w:rPr>
          <w:tab/>
        </w:r>
        <w:r w:rsidRPr="00123108">
          <w:rPr>
            <w:rFonts w:ascii="宋体" w:hAnsi="宋体"/>
            <w:b w:val="0"/>
            <w:noProof/>
            <w:webHidden/>
            <w:sz w:val="24"/>
            <w:szCs w:val="24"/>
          </w:rPr>
          <w:fldChar w:fldCharType="begin"/>
        </w:r>
        <w:r w:rsidRPr="00123108">
          <w:rPr>
            <w:rFonts w:ascii="宋体" w:hAnsi="宋体"/>
            <w:b w:val="0"/>
            <w:noProof/>
            <w:webHidden/>
            <w:sz w:val="24"/>
            <w:szCs w:val="24"/>
          </w:rPr>
          <w:instrText xml:space="preserve"> PAGEREF _Toc190935839 \h </w:instrText>
        </w:r>
        <w:r w:rsidRPr="00123108">
          <w:rPr>
            <w:rFonts w:ascii="宋体" w:hAnsi="宋体"/>
            <w:b w:val="0"/>
            <w:noProof/>
            <w:webHidden/>
            <w:sz w:val="24"/>
            <w:szCs w:val="24"/>
          </w:rPr>
        </w:r>
        <w:r w:rsidRPr="00123108">
          <w:rPr>
            <w:rFonts w:ascii="宋体" w:hAnsi="宋体"/>
            <w:b w:val="0"/>
            <w:noProof/>
            <w:webHidden/>
            <w:sz w:val="24"/>
            <w:szCs w:val="24"/>
          </w:rPr>
          <w:fldChar w:fldCharType="separate"/>
        </w:r>
        <w:r w:rsidR="005711FB">
          <w:rPr>
            <w:rFonts w:ascii="宋体" w:hAnsi="宋体"/>
            <w:b w:val="0"/>
            <w:noProof/>
            <w:webHidden/>
            <w:sz w:val="24"/>
            <w:szCs w:val="24"/>
          </w:rPr>
          <w:t>126</w:t>
        </w:r>
        <w:r w:rsidRPr="00123108">
          <w:rPr>
            <w:rFonts w:ascii="宋体" w:hAnsi="宋体"/>
            <w:b w:val="0"/>
            <w:noProof/>
            <w:webHidden/>
            <w:sz w:val="24"/>
            <w:szCs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840"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1.1  </w:t>
        </w:r>
        <w:r w:rsidRPr="00123108">
          <w:rPr>
            <w:rStyle w:val="afff2"/>
            <w:rFonts w:ascii="宋体" w:hAnsi="宋体" w:cs="宋体" w:hint="eastAsia"/>
            <w:noProof/>
            <w:sz w:val="24"/>
          </w:rPr>
          <w:t>物料固有的危险、有害因素分析</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_Toc190935840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126</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841"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1.2  </w:t>
        </w:r>
        <w:r w:rsidRPr="00123108">
          <w:rPr>
            <w:rStyle w:val="afff2"/>
            <w:rFonts w:ascii="宋体" w:hAnsi="宋体" w:cs="宋体" w:hint="eastAsia"/>
            <w:noProof/>
            <w:sz w:val="24"/>
          </w:rPr>
          <w:t>工艺过程的危险、有害因素分析</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_Toc190935841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134</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42" w:history="1">
        <w:r w:rsidRPr="00123108">
          <w:rPr>
            <w:rStyle w:val="afff2"/>
            <w:rFonts w:ascii="宋体" w:hAnsi="宋体" w:cs="宋体" w:hint="eastAsia"/>
            <w:bCs/>
            <w:noProof/>
            <w:sz w:val="24"/>
          </w:rPr>
          <w:t>附件</w:t>
        </w:r>
        <w:r w:rsidRPr="00123108">
          <w:rPr>
            <w:rStyle w:val="afff2"/>
            <w:rFonts w:ascii="宋体" w:hAnsi="宋体" w:cs="宋体"/>
            <w:bCs/>
            <w:noProof/>
            <w:sz w:val="24"/>
          </w:rPr>
          <w:t xml:space="preserve">1.2.1 </w:t>
        </w:r>
        <w:r w:rsidRPr="00123108">
          <w:rPr>
            <w:rStyle w:val="afff2"/>
            <w:rFonts w:ascii="宋体" w:hAnsi="宋体" w:hint="eastAsia"/>
            <w:noProof/>
            <w:sz w:val="24"/>
          </w:rPr>
          <w:t>生产过程的危险性分析</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_Toc190935842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134</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43" w:history="1">
        <w:r w:rsidRPr="00123108">
          <w:rPr>
            <w:rStyle w:val="afff2"/>
            <w:rFonts w:ascii="宋体" w:hAnsi="宋体" w:cs="宋体" w:hint="eastAsia"/>
            <w:bCs/>
            <w:noProof/>
            <w:sz w:val="24"/>
          </w:rPr>
          <w:t>附件</w:t>
        </w:r>
        <w:r w:rsidRPr="00123108">
          <w:rPr>
            <w:rStyle w:val="afff2"/>
            <w:rFonts w:ascii="宋体" w:hAnsi="宋体" w:cs="宋体"/>
            <w:bCs/>
            <w:noProof/>
            <w:sz w:val="24"/>
          </w:rPr>
          <w:t xml:space="preserve">1.2.2 </w:t>
        </w:r>
        <w:r w:rsidRPr="00123108">
          <w:rPr>
            <w:rStyle w:val="afff2"/>
            <w:rFonts w:ascii="宋体" w:hAnsi="宋体" w:hint="eastAsia"/>
            <w:noProof/>
            <w:sz w:val="24"/>
          </w:rPr>
          <w:t>其他生产过程的危险性分析</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_Toc190935843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135</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844"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1.3  </w:t>
        </w:r>
        <w:r w:rsidRPr="00123108">
          <w:rPr>
            <w:rStyle w:val="afff2"/>
            <w:rFonts w:ascii="宋体" w:hAnsi="宋体" w:cs="宋体" w:hint="eastAsia"/>
            <w:noProof/>
            <w:sz w:val="24"/>
          </w:rPr>
          <w:t>设备、设施危险、有害因素分析</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_Toc190935844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138</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45" w:history="1">
        <w:r w:rsidRPr="00123108">
          <w:rPr>
            <w:rStyle w:val="afff2"/>
            <w:rFonts w:ascii="宋体" w:hAnsi="宋体" w:cs="宋体" w:hint="eastAsia"/>
            <w:bCs/>
            <w:noProof/>
            <w:sz w:val="24"/>
          </w:rPr>
          <w:t>附件</w:t>
        </w:r>
        <w:r w:rsidRPr="00123108">
          <w:rPr>
            <w:rStyle w:val="afff2"/>
            <w:rFonts w:ascii="宋体" w:hAnsi="宋体" w:cs="宋体"/>
            <w:bCs/>
            <w:noProof/>
            <w:sz w:val="24"/>
          </w:rPr>
          <w:t xml:space="preserve">1.3.1  </w:t>
        </w:r>
        <w:r w:rsidRPr="00123108">
          <w:rPr>
            <w:rStyle w:val="afff2"/>
            <w:rFonts w:ascii="宋体" w:hAnsi="宋体" w:cs="宋体" w:hint="eastAsia"/>
            <w:bCs/>
            <w:noProof/>
            <w:sz w:val="24"/>
          </w:rPr>
          <w:t>工艺装置、设备</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_Toc190935845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138</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46" w:history="1">
        <w:r w:rsidRPr="00123108">
          <w:rPr>
            <w:rStyle w:val="afff2"/>
            <w:rFonts w:ascii="宋体" w:hAnsi="宋体" w:cs="宋体" w:hint="eastAsia"/>
            <w:bCs/>
            <w:noProof/>
            <w:sz w:val="24"/>
          </w:rPr>
          <w:t>附件</w:t>
        </w:r>
        <w:r w:rsidRPr="00123108">
          <w:rPr>
            <w:rStyle w:val="afff2"/>
            <w:rFonts w:ascii="宋体" w:hAnsi="宋体" w:cs="宋体"/>
            <w:bCs/>
            <w:noProof/>
            <w:sz w:val="24"/>
          </w:rPr>
          <w:t xml:space="preserve">1.3.2  </w:t>
        </w:r>
        <w:r w:rsidRPr="00123108">
          <w:rPr>
            <w:rStyle w:val="afff2"/>
            <w:rFonts w:ascii="宋体" w:hAnsi="宋体" w:cs="宋体" w:hint="eastAsia"/>
            <w:bCs/>
            <w:noProof/>
            <w:sz w:val="24"/>
          </w:rPr>
          <w:t>特种设备</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_Toc190935846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139</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47" w:history="1">
        <w:r w:rsidRPr="00123108">
          <w:rPr>
            <w:rStyle w:val="afff2"/>
            <w:rFonts w:ascii="宋体" w:hAnsi="宋体" w:cs="宋体" w:hint="eastAsia"/>
            <w:bCs/>
            <w:noProof/>
            <w:sz w:val="24"/>
          </w:rPr>
          <w:t>附件</w:t>
        </w:r>
        <w:r w:rsidRPr="00123108">
          <w:rPr>
            <w:rStyle w:val="afff2"/>
            <w:rFonts w:ascii="宋体" w:hAnsi="宋体" w:cs="宋体"/>
            <w:bCs/>
            <w:noProof/>
            <w:sz w:val="24"/>
          </w:rPr>
          <w:t xml:space="preserve">1.3.3  </w:t>
        </w:r>
        <w:r w:rsidRPr="00123108">
          <w:rPr>
            <w:rStyle w:val="afff2"/>
            <w:rFonts w:ascii="宋体" w:hAnsi="宋体" w:cs="宋体" w:hint="eastAsia"/>
            <w:bCs/>
            <w:noProof/>
            <w:sz w:val="24"/>
          </w:rPr>
          <w:t>电气设施</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_Toc190935847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141</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48" w:history="1">
        <w:r w:rsidRPr="00123108">
          <w:rPr>
            <w:rStyle w:val="afff2"/>
            <w:rFonts w:ascii="宋体" w:hAnsi="宋体" w:cs="宋体" w:hint="eastAsia"/>
            <w:bCs/>
            <w:noProof/>
            <w:sz w:val="24"/>
          </w:rPr>
          <w:t>附件</w:t>
        </w:r>
        <w:r w:rsidRPr="00123108">
          <w:rPr>
            <w:rStyle w:val="afff2"/>
            <w:rFonts w:ascii="宋体" w:hAnsi="宋体" w:cs="宋体"/>
            <w:bCs/>
            <w:noProof/>
            <w:sz w:val="24"/>
          </w:rPr>
          <w:t xml:space="preserve">1.3.4  </w:t>
        </w:r>
        <w:r w:rsidRPr="00123108">
          <w:rPr>
            <w:rStyle w:val="afff2"/>
            <w:rFonts w:ascii="宋体" w:hAnsi="宋体" w:cs="宋体" w:hint="eastAsia"/>
            <w:bCs/>
            <w:noProof/>
            <w:sz w:val="24"/>
          </w:rPr>
          <w:t>安全设施</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_Toc190935848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142</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849"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1.4  </w:t>
        </w:r>
        <w:r w:rsidRPr="00123108">
          <w:rPr>
            <w:rStyle w:val="afff2"/>
            <w:rFonts w:ascii="宋体" w:hAnsi="宋体" w:cs="宋体" w:hint="eastAsia"/>
            <w:noProof/>
            <w:sz w:val="24"/>
          </w:rPr>
          <w:t>物料储运过程危险、有害因素分析</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_Toc190935849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143</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50" w:history="1">
        <w:r w:rsidRPr="00123108">
          <w:rPr>
            <w:rStyle w:val="afff2"/>
            <w:rFonts w:ascii="宋体" w:hAnsi="宋体" w:hint="eastAsia"/>
            <w:noProof/>
            <w:sz w:val="24"/>
          </w:rPr>
          <w:t>附件</w:t>
        </w:r>
        <w:r w:rsidRPr="00123108">
          <w:rPr>
            <w:rStyle w:val="afff2"/>
            <w:rFonts w:ascii="宋体" w:hAnsi="宋体"/>
            <w:noProof/>
            <w:sz w:val="24"/>
          </w:rPr>
          <w:t xml:space="preserve">1.4.1  </w:t>
        </w:r>
        <w:r w:rsidRPr="00123108">
          <w:rPr>
            <w:rStyle w:val="afff2"/>
            <w:rFonts w:ascii="宋体" w:hAnsi="宋体" w:hint="eastAsia"/>
            <w:noProof/>
            <w:sz w:val="24"/>
          </w:rPr>
          <w:t>罐区储存的危险、有害因素分析</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_Toc190935850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143</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51" w:history="1">
        <w:r w:rsidRPr="00123108">
          <w:rPr>
            <w:rStyle w:val="afff2"/>
            <w:rFonts w:ascii="宋体" w:hAnsi="宋体" w:hint="eastAsia"/>
            <w:noProof/>
            <w:sz w:val="24"/>
          </w:rPr>
          <w:t>附件</w:t>
        </w:r>
        <w:r w:rsidRPr="00123108">
          <w:rPr>
            <w:rStyle w:val="afff2"/>
            <w:rFonts w:ascii="宋体" w:hAnsi="宋体"/>
            <w:noProof/>
            <w:sz w:val="24"/>
          </w:rPr>
          <w:t xml:space="preserve">1.4.2 </w:t>
        </w:r>
        <w:r w:rsidRPr="00123108">
          <w:rPr>
            <w:rStyle w:val="afff2"/>
            <w:rFonts w:ascii="宋体" w:hAnsi="宋体" w:hint="eastAsia"/>
            <w:noProof/>
            <w:sz w:val="24"/>
          </w:rPr>
          <w:t>物料装卸作业危险有害因素分析</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_Toc190935851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144</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52" w:history="1">
        <w:r w:rsidRPr="00123108">
          <w:rPr>
            <w:rStyle w:val="afff2"/>
            <w:rFonts w:ascii="宋体" w:hAnsi="宋体" w:hint="eastAsia"/>
            <w:noProof/>
            <w:sz w:val="24"/>
          </w:rPr>
          <w:t>附件</w:t>
        </w:r>
        <w:r w:rsidRPr="00123108">
          <w:rPr>
            <w:rStyle w:val="afff2"/>
            <w:rFonts w:ascii="宋体" w:hAnsi="宋体"/>
            <w:noProof/>
            <w:sz w:val="24"/>
          </w:rPr>
          <w:t xml:space="preserve">1.4.3 </w:t>
        </w:r>
        <w:r w:rsidRPr="00123108">
          <w:rPr>
            <w:rStyle w:val="afff2"/>
            <w:rFonts w:ascii="宋体" w:hAnsi="宋体" w:hint="eastAsia"/>
            <w:noProof/>
            <w:sz w:val="24"/>
          </w:rPr>
          <w:t>仓库储存</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_Toc190935852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147</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53" w:history="1">
        <w:r w:rsidRPr="00123108">
          <w:rPr>
            <w:rStyle w:val="afff2"/>
            <w:rFonts w:ascii="宋体" w:hAnsi="宋体" w:cs="宋体" w:hint="eastAsia"/>
            <w:bCs/>
            <w:noProof/>
            <w:sz w:val="24"/>
            <w:lang w:val="zh-CN"/>
          </w:rPr>
          <w:t>附件</w:t>
        </w:r>
        <w:r w:rsidRPr="00123108">
          <w:rPr>
            <w:rStyle w:val="afff2"/>
            <w:rFonts w:ascii="宋体" w:hAnsi="宋体" w:cs="宋体"/>
            <w:bCs/>
            <w:noProof/>
            <w:sz w:val="24"/>
          </w:rPr>
          <w:t xml:space="preserve">1.4.4 </w:t>
        </w:r>
        <w:r w:rsidRPr="00123108">
          <w:rPr>
            <w:rStyle w:val="afff2"/>
            <w:rFonts w:ascii="宋体" w:hAnsi="宋体" w:cs="宋体" w:hint="eastAsia"/>
            <w:bCs/>
            <w:noProof/>
            <w:sz w:val="24"/>
          </w:rPr>
          <w:t>管道输送过程危险有害因素分析</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_Toc190935853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148</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854"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1.5  </w:t>
        </w:r>
        <w:r w:rsidRPr="00123108">
          <w:rPr>
            <w:rStyle w:val="afff2"/>
            <w:rFonts w:ascii="宋体" w:hAnsi="宋体" w:cs="宋体" w:hint="eastAsia"/>
            <w:noProof/>
            <w:sz w:val="24"/>
          </w:rPr>
          <w:t>建构筑物危险有害因素分析</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_Toc190935854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150</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855"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1.6  </w:t>
        </w:r>
        <w:r w:rsidRPr="00123108">
          <w:rPr>
            <w:rStyle w:val="afff2"/>
            <w:rFonts w:ascii="宋体" w:hAnsi="宋体" w:cs="宋体" w:hint="eastAsia"/>
            <w:noProof/>
            <w:sz w:val="24"/>
          </w:rPr>
          <w:t>公用工程的危险有害因素分析</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_Toc190935855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151</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56" w:history="1">
        <w:r w:rsidRPr="00123108">
          <w:rPr>
            <w:rStyle w:val="afff2"/>
            <w:rFonts w:ascii="宋体" w:hAnsi="宋体" w:cs="宋体" w:hint="eastAsia"/>
            <w:bCs/>
            <w:noProof/>
            <w:sz w:val="24"/>
            <w:lang w:val="zh-CN"/>
          </w:rPr>
          <w:t>附件</w:t>
        </w:r>
        <w:r w:rsidRPr="00123108">
          <w:rPr>
            <w:rStyle w:val="afff2"/>
            <w:rFonts w:ascii="宋体" w:hAnsi="宋体" w:cs="宋体"/>
            <w:bCs/>
            <w:noProof/>
            <w:sz w:val="24"/>
          </w:rPr>
          <w:t>1</w:t>
        </w:r>
        <w:r w:rsidRPr="00123108">
          <w:rPr>
            <w:rStyle w:val="afff2"/>
            <w:rFonts w:ascii="宋体" w:hAnsi="宋体" w:cs="宋体"/>
            <w:bCs/>
            <w:noProof/>
            <w:sz w:val="24"/>
            <w:lang w:val="zh-CN"/>
          </w:rPr>
          <w:t xml:space="preserve">.6.1 </w:t>
        </w:r>
        <w:r w:rsidRPr="00123108">
          <w:rPr>
            <w:rStyle w:val="afff2"/>
            <w:rFonts w:ascii="宋体" w:hAnsi="宋体" w:cs="宋体"/>
            <w:bCs/>
            <w:noProof/>
            <w:sz w:val="24"/>
          </w:rPr>
          <w:t xml:space="preserve"> </w:t>
        </w:r>
        <w:r w:rsidRPr="00123108">
          <w:rPr>
            <w:rStyle w:val="afff2"/>
            <w:rFonts w:ascii="宋体" w:hAnsi="宋体" w:cs="宋体" w:hint="eastAsia"/>
            <w:bCs/>
            <w:noProof/>
            <w:sz w:val="24"/>
            <w:lang w:val="zh-CN"/>
          </w:rPr>
          <w:t>供电</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_Toc190935856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151</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57" w:history="1">
        <w:r w:rsidRPr="00123108">
          <w:rPr>
            <w:rStyle w:val="afff2"/>
            <w:rFonts w:ascii="宋体" w:hAnsi="宋体" w:cs="宋体" w:hint="eastAsia"/>
            <w:bCs/>
            <w:noProof/>
            <w:sz w:val="24"/>
            <w:lang w:val="zh-CN"/>
          </w:rPr>
          <w:t>附件</w:t>
        </w:r>
        <w:r w:rsidRPr="00123108">
          <w:rPr>
            <w:rStyle w:val="afff2"/>
            <w:rFonts w:ascii="宋体" w:hAnsi="宋体" w:cs="宋体"/>
            <w:bCs/>
            <w:noProof/>
            <w:sz w:val="24"/>
          </w:rPr>
          <w:t>1</w:t>
        </w:r>
        <w:r w:rsidRPr="00123108">
          <w:rPr>
            <w:rStyle w:val="afff2"/>
            <w:rFonts w:ascii="宋体" w:hAnsi="宋体" w:cs="宋体"/>
            <w:bCs/>
            <w:noProof/>
            <w:sz w:val="24"/>
            <w:lang w:val="zh-CN"/>
          </w:rPr>
          <w:t xml:space="preserve">.6.2 </w:t>
        </w:r>
        <w:r w:rsidRPr="00123108">
          <w:rPr>
            <w:rStyle w:val="afff2"/>
            <w:rFonts w:ascii="宋体" w:hAnsi="宋体" w:cs="宋体"/>
            <w:bCs/>
            <w:noProof/>
            <w:sz w:val="24"/>
          </w:rPr>
          <w:t xml:space="preserve"> </w:t>
        </w:r>
        <w:r w:rsidRPr="00123108">
          <w:rPr>
            <w:rStyle w:val="afff2"/>
            <w:rFonts w:ascii="宋体" w:hAnsi="宋体" w:cs="宋体" w:hint="eastAsia"/>
            <w:bCs/>
            <w:noProof/>
            <w:sz w:val="24"/>
            <w:lang w:val="zh-CN"/>
          </w:rPr>
          <w:t>给排水</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_Toc190935857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151</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58" w:history="1">
        <w:r w:rsidRPr="00123108">
          <w:rPr>
            <w:rStyle w:val="afff2"/>
            <w:rFonts w:ascii="宋体" w:hAnsi="宋体" w:cs="宋体" w:hint="eastAsia"/>
            <w:bCs/>
            <w:noProof/>
            <w:sz w:val="24"/>
            <w:lang w:val="zh-CN"/>
          </w:rPr>
          <w:t>附件</w:t>
        </w:r>
        <w:r w:rsidRPr="00123108">
          <w:rPr>
            <w:rStyle w:val="afff2"/>
            <w:rFonts w:ascii="宋体" w:hAnsi="宋体" w:cs="宋体"/>
            <w:bCs/>
            <w:noProof/>
            <w:sz w:val="24"/>
          </w:rPr>
          <w:t>1</w:t>
        </w:r>
        <w:r w:rsidRPr="00123108">
          <w:rPr>
            <w:rStyle w:val="afff2"/>
            <w:rFonts w:ascii="宋体" w:hAnsi="宋体" w:cs="宋体"/>
            <w:bCs/>
            <w:noProof/>
            <w:sz w:val="24"/>
            <w:lang w:val="zh-CN"/>
          </w:rPr>
          <w:t>.6.3</w:t>
        </w:r>
        <w:r w:rsidRPr="00123108">
          <w:rPr>
            <w:rStyle w:val="afff2"/>
            <w:rFonts w:ascii="宋体" w:hAnsi="宋体" w:cs="宋体"/>
            <w:bCs/>
            <w:noProof/>
            <w:sz w:val="24"/>
          </w:rPr>
          <w:t xml:space="preserve"> </w:t>
        </w:r>
        <w:r w:rsidRPr="00123108">
          <w:rPr>
            <w:rStyle w:val="afff2"/>
            <w:rFonts w:ascii="宋体" w:hAnsi="宋体" w:cs="宋体"/>
            <w:bCs/>
            <w:noProof/>
            <w:sz w:val="24"/>
            <w:lang w:val="zh-CN"/>
          </w:rPr>
          <w:t xml:space="preserve"> </w:t>
        </w:r>
        <w:r w:rsidRPr="00123108">
          <w:rPr>
            <w:rStyle w:val="afff2"/>
            <w:rFonts w:ascii="宋体" w:hAnsi="宋体" w:cs="宋体" w:hint="eastAsia"/>
            <w:bCs/>
            <w:noProof/>
            <w:sz w:val="24"/>
            <w:lang w:val="zh-CN"/>
          </w:rPr>
          <w:t>供热</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_Toc190935858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152</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59" w:history="1">
        <w:r w:rsidRPr="00123108">
          <w:rPr>
            <w:rStyle w:val="afff2"/>
            <w:rFonts w:ascii="宋体" w:hAnsi="宋体" w:cs="宋体" w:hint="eastAsia"/>
            <w:bCs/>
            <w:noProof/>
            <w:sz w:val="24"/>
            <w:lang w:val="zh-CN"/>
          </w:rPr>
          <w:t>附件</w:t>
        </w:r>
        <w:r w:rsidRPr="00123108">
          <w:rPr>
            <w:rStyle w:val="afff2"/>
            <w:rFonts w:ascii="宋体" w:hAnsi="宋体" w:cs="宋体"/>
            <w:bCs/>
            <w:noProof/>
            <w:sz w:val="24"/>
          </w:rPr>
          <w:t>1</w:t>
        </w:r>
        <w:r w:rsidRPr="00123108">
          <w:rPr>
            <w:rStyle w:val="afff2"/>
            <w:rFonts w:ascii="宋体" w:hAnsi="宋体" w:cs="宋体"/>
            <w:bCs/>
            <w:noProof/>
            <w:sz w:val="24"/>
            <w:lang w:val="zh-CN"/>
          </w:rPr>
          <w:t>.6.4</w:t>
        </w:r>
        <w:r w:rsidRPr="00123108">
          <w:rPr>
            <w:rStyle w:val="afff2"/>
            <w:rFonts w:ascii="宋体" w:hAnsi="宋体" w:cs="宋体"/>
            <w:bCs/>
            <w:noProof/>
            <w:sz w:val="24"/>
          </w:rPr>
          <w:t xml:space="preserve"> </w:t>
        </w:r>
        <w:r w:rsidRPr="00123108">
          <w:rPr>
            <w:rStyle w:val="afff2"/>
            <w:rFonts w:ascii="宋体" w:hAnsi="宋体" w:cs="宋体"/>
            <w:bCs/>
            <w:noProof/>
            <w:sz w:val="24"/>
            <w:lang w:val="zh-CN"/>
          </w:rPr>
          <w:t xml:space="preserve"> </w:t>
        </w:r>
        <w:r w:rsidRPr="00123108">
          <w:rPr>
            <w:rStyle w:val="afff2"/>
            <w:rFonts w:ascii="宋体" w:hAnsi="宋体" w:cs="宋体" w:hint="eastAsia"/>
            <w:bCs/>
            <w:noProof/>
            <w:sz w:val="24"/>
            <w:lang w:val="zh-CN"/>
          </w:rPr>
          <w:t>压缩空气</w:t>
        </w:r>
        <w:r w:rsidRPr="00123108">
          <w:rPr>
            <w:rStyle w:val="afff2"/>
            <w:rFonts w:ascii="宋体" w:hAnsi="宋体" w:cs="宋体"/>
            <w:bCs/>
            <w:noProof/>
            <w:sz w:val="24"/>
            <w:lang w:val="zh-CN"/>
          </w:rPr>
          <w:t>/</w:t>
        </w:r>
        <w:r w:rsidRPr="00123108">
          <w:rPr>
            <w:rStyle w:val="afff2"/>
            <w:rFonts w:ascii="宋体" w:hAnsi="宋体" w:cs="宋体" w:hint="eastAsia"/>
            <w:bCs/>
            <w:noProof/>
            <w:sz w:val="24"/>
            <w:lang w:val="zh-CN"/>
          </w:rPr>
          <w:t>氮气</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_Toc190935859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152</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60" w:history="1">
        <w:r w:rsidRPr="00123108">
          <w:rPr>
            <w:rStyle w:val="afff2"/>
            <w:rFonts w:ascii="宋体" w:hAnsi="宋体" w:cs="宋体" w:hint="eastAsia"/>
            <w:bCs/>
            <w:noProof/>
            <w:sz w:val="24"/>
            <w:lang w:val="zh-CN"/>
          </w:rPr>
          <w:t>附件</w:t>
        </w:r>
        <w:r w:rsidRPr="00123108">
          <w:rPr>
            <w:rStyle w:val="afff2"/>
            <w:rFonts w:ascii="宋体" w:hAnsi="宋体" w:cs="宋体"/>
            <w:bCs/>
            <w:noProof/>
            <w:sz w:val="24"/>
          </w:rPr>
          <w:t>1</w:t>
        </w:r>
        <w:r w:rsidRPr="00123108">
          <w:rPr>
            <w:rStyle w:val="afff2"/>
            <w:rFonts w:ascii="宋体" w:hAnsi="宋体" w:cs="宋体"/>
            <w:bCs/>
            <w:noProof/>
            <w:sz w:val="24"/>
            <w:lang w:val="zh-CN"/>
          </w:rPr>
          <w:t xml:space="preserve">.6.5 </w:t>
        </w:r>
        <w:r w:rsidRPr="00123108">
          <w:rPr>
            <w:rStyle w:val="afff2"/>
            <w:rFonts w:ascii="宋体" w:hAnsi="宋体" w:cs="宋体"/>
            <w:bCs/>
            <w:noProof/>
            <w:sz w:val="24"/>
          </w:rPr>
          <w:t xml:space="preserve"> </w:t>
        </w:r>
        <w:r w:rsidRPr="00123108">
          <w:rPr>
            <w:rStyle w:val="afff2"/>
            <w:rFonts w:ascii="宋体" w:hAnsi="宋体" w:cs="宋体"/>
            <w:bCs/>
            <w:noProof/>
            <w:sz w:val="24"/>
            <w:lang w:val="zh-CN"/>
          </w:rPr>
          <w:t>RTO</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_Toc190935860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152</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61" w:history="1">
        <w:r w:rsidRPr="00123108">
          <w:rPr>
            <w:rStyle w:val="afff2"/>
            <w:rFonts w:ascii="宋体" w:hAnsi="宋体" w:cs="宋体" w:hint="eastAsia"/>
            <w:bCs/>
            <w:noProof/>
            <w:sz w:val="24"/>
            <w:lang w:val="zh-CN"/>
          </w:rPr>
          <w:t>附件</w:t>
        </w:r>
        <w:r w:rsidRPr="00123108">
          <w:rPr>
            <w:rStyle w:val="afff2"/>
            <w:rFonts w:ascii="宋体" w:hAnsi="宋体" w:cs="宋体"/>
            <w:bCs/>
            <w:noProof/>
            <w:sz w:val="24"/>
          </w:rPr>
          <w:t>1</w:t>
        </w:r>
        <w:r w:rsidRPr="00123108">
          <w:rPr>
            <w:rStyle w:val="afff2"/>
            <w:rFonts w:ascii="宋体" w:hAnsi="宋体" w:cs="宋体"/>
            <w:bCs/>
            <w:noProof/>
            <w:sz w:val="24"/>
            <w:lang w:val="zh-CN"/>
          </w:rPr>
          <w:t>.6.6</w:t>
        </w:r>
        <w:r w:rsidRPr="00123108">
          <w:rPr>
            <w:rStyle w:val="afff2"/>
            <w:rFonts w:ascii="宋体" w:hAnsi="宋体" w:cs="宋体"/>
            <w:bCs/>
            <w:noProof/>
            <w:sz w:val="24"/>
          </w:rPr>
          <w:t xml:space="preserve">  </w:t>
        </w:r>
        <w:r w:rsidRPr="00123108">
          <w:rPr>
            <w:rStyle w:val="afff2"/>
            <w:rFonts w:ascii="宋体" w:hAnsi="宋体" w:cs="宋体" w:hint="eastAsia"/>
            <w:bCs/>
            <w:noProof/>
            <w:sz w:val="24"/>
            <w:lang w:val="zh-CN"/>
          </w:rPr>
          <w:t>三废处理</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_Toc190935861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153</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862"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1.7 </w:t>
        </w:r>
        <w:r w:rsidRPr="00123108">
          <w:rPr>
            <w:rStyle w:val="afff2"/>
            <w:rFonts w:ascii="宋体" w:hAnsi="宋体" w:cs="宋体" w:hint="eastAsia"/>
            <w:noProof/>
            <w:sz w:val="24"/>
          </w:rPr>
          <w:t>心理、生理性和行为性危险、有害因素</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_Toc190935862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153</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863"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1.8  </w:t>
        </w:r>
        <w:r w:rsidRPr="00123108">
          <w:rPr>
            <w:rStyle w:val="afff2"/>
            <w:rFonts w:ascii="宋体" w:hAnsi="宋体" w:cs="宋体" w:hint="eastAsia"/>
            <w:noProof/>
            <w:sz w:val="24"/>
          </w:rPr>
          <w:t>装置开、停车危险有害因素</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_Toc190935863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154</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864"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1.9  </w:t>
        </w:r>
        <w:r w:rsidRPr="00123108">
          <w:rPr>
            <w:rStyle w:val="afff2"/>
            <w:rFonts w:ascii="宋体" w:hAnsi="宋体" w:cs="宋体" w:hint="eastAsia"/>
            <w:noProof/>
            <w:sz w:val="24"/>
          </w:rPr>
          <w:t>检维修作业危险有害因素</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_Toc190935864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154</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865"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1.10  </w:t>
        </w:r>
        <w:r w:rsidRPr="00123108">
          <w:rPr>
            <w:rStyle w:val="afff2"/>
            <w:rFonts w:ascii="宋体" w:hAnsi="宋体" w:cs="宋体" w:hint="eastAsia"/>
            <w:noProof/>
            <w:sz w:val="24"/>
          </w:rPr>
          <w:t>地质条件危险性分析</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_Toc190935865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156</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866"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1.11 </w:t>
        </w:r>
        <w:r w:rsidRPr="00123108">
          <w:rPr>
            <w:rStyle w:val="afff2"/>
            <w:rFonts w:ascii="宋体" w:hAnsi="宋体" w:cs="宋体" w:hint="eastAsia"/>
            <w:noProof/>
            <w:sz w:val="24"/>
          </w:rPr>
          <w:t>其它危险、有害因素</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_Toc190935866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156</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67" w:history="1">
        <w:r w:rsidRPr="00123108">
          <w:rPr>
            <w:rStyle w:val="afff2"/>
            <w:rFonts w:ascii="宋体" w:hAnsi="宋体" w:hint="eastAsia"/>
            <w:noProof/>
            <w:sz w:val="24"/>
          </w:rPr>
          <w:t>附件</w:t>
        </w:r>
        <w:r w:rsidRPr="00123108">
          <w:rPr>
            <w:rStyle w:val="afff2"/>
            <w:rFonts w:ascii="宋体" w:hAnsi="宋体"/>
            <w:noProof/>
            <w:sz w:val="24"/>
          </w:rPr>
          <w:t xml:space="preserve">1.11.1  </w:t>
        </w:r>
        <w:r w:rsidRPr="00123108">
          <w:rPr>
            <w:rStyle w:val="afff2"/>
            <w:rFonts w:ascii="宋体" w:hAnsi="宋体" w:hint="eastAsia"/>
            <w:noProof/>
            <w:sz w:val="24"/>
          </w:rPr>
          <w:t>电气伤害</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_Toc190935867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156</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68" w:history="1">
        <w:r w:rsidRPr="00123108">
          <w:rPr>
            <w:rStyle w:val="afff2"/>
            <w:rFonts w:ascii="宋体" w:hAnsi="宋体" w:hint="eastAsia"/>
            <w:noProof/>
            <w:sz w:val="24"/>
          </w:rPr>
          <w:t>附件</w:t>
        </w:r>
        <w:r w:rsidRPr="00123108">
          <w:rPr>
            <w:rStyle w:val="afff2"/>
            <w:rFonts w:ascii="宋体" w:hAnsi="宋体"/>
            <w:noProof/>
            <w:sz w:val="24"/>
          </w:rPr>
          <w:t xml:space="preserve">1.11.2  </w:t>
        </w:r>
        <w:r w:rsidRPr="00123108">
          <w:rPr>
            <w:rStyle w:val="afff2"/>
            <w:rFonts w:ascii="宋体" w:hAnsi="宋体" w:hint="eastAsia"/>
            <w:noProof/>
            <w:sz w:val="24"/>
          </w:rPr>
          <w:t>噪声危害</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_Toc190935868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156</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69" w:history="1">
        <w:r w:rsidRPr="00123108">
          <w:rPr>
            <w:rStyle w:val="afff2"/>
            <w:rFonts w:ascii="宋体" w:hAnsi="宋体" w:hint="eastAsia"/>
            <w:noProof/>
            <w:sz w:val="24"/>
          </w:rPr>
          <w:t>附件</w:t>
        </w:r>
        <w:r w:rsidRPr="00123108">
          <w:rPr>
            <w:rStyle w:val="afff2"/>
            <w:rFonts w:ascii="宋体" w:hAnsi="宋体"/>
            <w:noProof/>
            <w:sz w:val="24"/>
          </w:rPr>
          <w:t xml:space="preserve">1.11.3  </w:t>
        </w:r>
        <w:r w:rsidRPr="00123108">
          <w:rPr>
            <w:rStyle w:val="afff2"/>
            <w:rFonts w:ascii="宋体" w:hAnsi="宋体" w:hint="eastAsia"/>
            <w:noProof/>
            <w:sz w:val="24"/>
          </w:rPr>
          <w:t>高处坠落和物体打击</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_Toc190935869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157</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70" w:history="1">
        <w:r w:rsidRPr="00123108">
          <w:rPr>
            <w:rStyle w:val="afff2"/>
            <w:rFonts w:ascii="宋体" w:hAnsi="宋体" w:hint="eastAsia"/>
            <w:noProof/>
            <w:sz w:val="24"/>
          </w:rPr>
          <w:t>附件</w:t>
        </w:r>
        <w:r w:rsidRPr="00123108">
          <w:rPr>
            <w:rStyle w:val="afff2"/>
            <w:rFonts w:ascii="宋体" w:hAnsi="宋体"/>
            <w:noProof/>
            <w:sz w:val="24"/>
          </w:rPr>
          <w:t xml:space="preserve">1.11.4  </w:t>
        </w:r>
        <w:r w:rsidRPr="00123108">
          <w:rPr>
            <w:rStyle w:val="afff2"/>
            <w:rFonts w:ascii="宋体" w:hAnsi="宋体" w:hint="eastAsia"/>
            <w:noProof/>
            <w:sz w:val="24"/>
          </w:rPr>
          <w:t>窒息伤害</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_Toc190935870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157</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71" w:history="1">
        <w:r w:rsidRPr="00123108">
          <w:rPr>
            <w:rStyle w:val="afff2"/>
            <w:rFonts w:ascii="宋体" w:hAnsi="宋体" w:hint="eastAsia"/>
            <w:noProof/>
            <w:sz w:val="24"/>
          </w:rPr>
          <w:t>附件</w:t>
        </w:r>
        <w:r w:rsidRPr="00123108">
          <w:rPr>
            <w:rStyle w:val="afff2"/>
            <w:rFonts w:ascii="宋体" w:hAnsi="宋体"/>
            <w:noProof/>
            <w:sz w:val="24"/>
          </w:rPr>
          <w:t xml:space="preserve">1.11.5  </w:t>
        </w:r>
        <w:r w:rsidRPr="00123108">
          <w:rPr>
            <w:rStyle w:val="afff2"/>
            <w:rFonts w:ascii="宋体" w:hAnsi="宋体" w:hint="eastAsia"/>
            <w:noProof/>
            <w:sz w:val="24"/>
          </w:rPr>
          <w:t>粉尘危害</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_Toc190935871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157</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72" w:history="1">
        <w:r w:rsidRPr="00123108">
          <w:rPr>
            <w:rStyle w:val="afff2"/>
            <w:rFonts w:ascii="宋体" w:hAnsi="宋体" w:hint="eastAsia"/>
            <w:noProof/>
            <w:sz w:val="24"/>
          </w:rPr>
          <w:t>附件</w:t>
        </w:r>
        <w:r w:rsidRPr="00123108">
          <w:rPr>
            <w:rStyle w:val="afff2"/>
            <w:rFonts w:ascii="宋体" w:hAnsi="宋体"/>
            <w:noProof/>
            <w:sz w:val="24"/>
          </w:rPr>
          <w:t xml:space="preserve">1.11.6  </w:t>
        </w:r>
        <w:r w:rsidRPr="00123108">
          <w:rPr>
            <w:rStyle w:val="afff2"/>
            <w:rFonts w:ascii="宋体" w:hAnsi="宋体" w:hint="eastAsia"/>
            <w:noProof/>
            <w:sz w:val="24"/>
          </w:rPr>
          <w:t>淹溺伤害</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_Toc190935872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157</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73" w:history="1">
        <w:r w:rsidRPr="00123108">
          <w:rPr>
            <w:rStyle w:val="afff2"/>
            <w:rFonts w:ascii="宋体" w:hAnsi="宋体" w:hint="eastAsia"/>
            <w:noProof/>
            <w:sz w:val="24"/>
          </w:rPr>
          <w:t>附件</w:t>
        </w:r>
        <w:r w:rsidRPr="00123108">
          <w:rPr>
            <w:rStyle w:val="afff2"/>
            <w:rFonts w:ascii="宋体" w:hAnsi="宋体"/>
            <w:noProof/>
            <w:sz w:val="24"/>
          </w:rPr>
          <w:t xml:space="preserve">1.11.7  </w:t>
        </w:r>
        <w:r w:rsidRPr="00123108">
          <w:rPr>
            <w:rStyle w:val="afff2"/>
            <w:rFonts w:ascii="宋体" w:hAnsi="宋体" w:hint="eastAsia"/>
            <w:noProof/>
            <w:sz w:val="24"/>
          </w:rPr>
          <w:t>机械伤害</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_Toc190935873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158</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74" w:history="1">
        <w:r w:rsidRPr="00123108">
          <w:rPr>
            <w:rStyle w:val="afff2"/>
            <w:rFonts w:ascii="宋体" w:hAnsi="宋体" w:hint="eastAsia"/>
            <w:noProof/>
            <w:sz w:val="24"/>
          </w:rPr>
          <w:t>附件</w:t>
        </w:r>
        <w:r w:rsidRPr="00123108">
          <w:rPr>
            <w:rStyle w:val="afff2"/>
            <w:rFonts w:ascii="宋体" w:hAnsi="宋体"/>
            <w:noProof/>
            <w:sz w:val="24"/>
          </w:rPr>
          <w:t xml:space="preserve">1.11.8  </w:t>
        </w:r>
        <w:r w:rsidRPr="00123108">
          <w:rPr>
            <w:rStyle w:val="afff2"/>
            <w:rFonts w:ascii="宋体" w:hAnsi="宋体" w:hint="eastAsia"/>
            <w:noProof/>
            <w:sz w:val="24"/>
          </w:rPr>
          <w:t>起重伤害</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_Toc190935874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158</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75" w:history="1">
        <w:r w:rsidRPr="00123108">
          <w:rPr>
            <w:rStyle w:val="afff2"/>
            <w:rFonts w:ascii="宋体" w:hAnsi="宋体" w:hint="eastAsia"/>
            <w:noProof/>
            <w:sz w:val="24"/>
          </w:rPr>
          <w:t>附件</w:t>
        </w:r>
        <w:r w:rsidRPr="00123108">
          <w:rPr>
            <w:rStyle w:val="afff2"/>
            <w:rFonts w:ascii="宋体" w:hAnsi="宋体"/>
            <w:noProof/>
            <w:sz w:val="24"/>
          </w:rPr>
          <w:t xml:space="preserve">1.11.9  </w:t>
        </w:r>
        <w:r w:rsidRPr="00123108">
          <w:rPr>
            <w:rStyle w:val="afff2"/>
            <w:rFonts w:ascii="宋体" w:hAnsi="宋体" w:hint="eastAsia"/>
            <w:noProof/>
            <w:sz w:val="24"/>
          </w:rPr>
          <w:t>坍塌危害</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_Toc190935875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158</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76" w:history="1">
        <w:r w:rsidRPr="00123108">
          <w:rPr>
            <w:rStyle w:val="afff2"/>
            <w:rFonts w:ascii="宋体" w:hAnsi="宋体" w:hint="eastAsia"/>
            <w:noProof/>
            <w:sz w:val="24"/>
          </w:rPr>
          <w:t>附件</w:t>
        </w:r>
        <w:r w:rsidRPr="00123108">
          <w:rPr>
            <w:rStyle w:val="afff2"/>
            <w:rFonts w:ascii="宋体" w:hAnsi="宋体"/>
            <w:noProof/>
            <w:sz w:val="24"/>
          </w:rPr>
          <w:t xml:space="preserve">1.11.10  </w:t>
        </w:r>
        <w:r w:rsidRPr="00123108">
          <w:rPr>
            <w:rStyle w:val="afff2"/>
            <w:rFonts w:ascii="宋体" w:hAnsi="宋体" w:hint="eastAsia"/>
            <w:noProof/>
            <w:sz w:val="24"/>
          </w:rPr>
          <w:t>高温危害</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_Toc190935876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158</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77" w:history="1">
        <w:r w:rsidRPr="00123108">
          <w:rPr>
            <w:rStyle w:val="afff2"/>
            <w:rFonts w:ascii="宋体" w:hAnsi="宋体" w:hint="eastAsia"/>
            <w:noProof/>
            <w:sz w:val="24"/>
          </w:rPr>
          <w:t>附件</w:t>
        </w:r>
        <w:r w:rsidRPr="00123108">
          <w:rPr>
            <w:rStyle w:val="afff2"/>
            <w:rFonts w:ascii="宋体" w:hAnsi="宋体"/>
            <w:noProof/>
            <w:sz w:val="24"/>
          </w:rPr>
          <w:t xml:space="preserve">1.11.11  </w:t>
        </w:r>
        <w:r w:rsidRPr="00123108">
          <w:rPr>
            <w:rStyle w:val="afff2"/>
            <w:rFonts w:ascii="宋体" w:hAnsi="宋体" w:hint="eastAsia"/>
            <w:noProof/>
            <w:sz w:val="24"/>
          </w:rPr>
          <w:t>低温危害</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_Toc190935877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159</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78" w:history="1">
        <w:r w:rsidRPr="00123108">
          <w:rPr>
            <w:rStyle w:val="afff2"/>
            <w:rFonts w:ascii="宋体" w:hAnsi="宋体" w:cs="宋体" w:hint="eastAsia"/>
            <w:bCs/>
            <w:noProof/>
            <w:sz w:val="24"/>
            <w:lang w:val="zh-CN"/>
          </w:rPr>
          <w:t>附件</w:t>
        </w:r>
        <w:r w:rsidRPr="00123108">
          <w:rPr>
            <w:rStyle w:val="afff2"/>
            <w:rFonts w:ascii="宋体" w:hAnsi="宋体" w:cs="宋体"/>
            <w:bCs/>
            <w:noProof/>
            <w:sz w:val="24"/>
          </w:rPr>
          <w:t>1</w:t>
        </w:r>
        <w:r w:rsidRPr="00123108">
          <w:rPr>
            <w:rStyle w:val="afff2"/>
            <w:rFonts w:ascii="宋体" w:hAnsi="宋体" w:cs="宋体"/>
            <w:bCs/>
            <w:noProof/>
            <w:sz w:val="24"/>
            <w:lang w:val="zh-CN"/>
          </w:rPr>
          <w:t xml:space="preserve">.11.12 </w:t>
        </w:r>
        <w:r w:rsidRPr="00123108">
          <w:rPr>
            <w:rStyle w:val="afff2"/>
            <w:rFonts w:ascii="宋体" w:hAnsi="宋体" w:cs="宋体"/>
            <w:bCs/>
            <w:noProof/>
            <w:sz w:val="24"/>
          </w:rPr>
          <w:t xml:space="preserve"> </w:t>
        </w:r>
        <w:r w:rsidRPr="00123108">
          <w:rPr>
            <w:rStyle w:val="afff2"/>
            <w:rFonts w:ascii="宋体" w:hAnsi="宋体" w:cs="宋体" w:hint="eastAsia"/>
            <w:bCs/>
            <w:noProof/>
            <w:sz w:val="24"/>
            <w:lang w:val="zh-CN"/>
          </w:rPr>
          <w:t>安全管理缺陷</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_Toc190935878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159</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79" w:history="1">
        <w:r w:rsidRPr="00123108">
          <w:rPr>
            <w:rStyle w:val="afff2"/>
            <w:rFonts w:ascii="宋体" w:hAnsi="宋体" w:cs="宋体" w:hint="eastAsia"/>
            <w:bCs/>
            <w:noProof/>
            <w:sz w:val="24"/>
            <w:lang w:val="zh-CN"/>
          </w:rPr>
          <w:t>附件</w:t>
        </w:r>
        <w:r w:rsidRPr="00123108">
          <w:rPr>
            <w:rStyle w:val="afff2"/>
            <w:rFonts w:ascii="宋体" w:hAnsi="宋体" w:cs="宋体"/>
            <w:bCs/>
            <w:noProof/>
            <w:sz w:val="24"/>
          </w:rPr>
          <w:t>1</w:t>
        </w:r>
        <w:r w:rsidRPr="00123108">
          <w:rPr>
            <w:rStyle w:val="afff2"/>
            <w:rFonts w:ascii="宋体" w:hAnsi="宋体" w:cs="宋体"/>
            <w:bCs/>
            <w:noProof/>
            <w:sz w:val="24"/>
            <w:lang w:val="zh-CN"/>
          </w:rPr>
          <w:t xml:space="preserve">.11.13 </w:t>
        </w:r>
        <w:r w:rsidRPr="00123108">
          <w:rPr>
            <w:rStyle w:val="afff2"/>
            <w:rFonts w:ascii="宋体" w:hAnsi="宋体" w:cs="宋体"/>
            <w:bCs/>
            <w:noProof/>
            <w:sz w:val="24"/>
          </w:rPr>
          <w:t xml:space="preserve"> </w:t>
        </w:r>
        <w:r w:rsidRPr="00123108">
          <w:rPr>
            <w:rStyle w:val="afff2"/>
            <w:rFonts w:ascii="宋体" w:hAnsi="宋体" w:cs="宋体" w:hint="eastAsia"/>
            <w:bCs/>
            <w:noProof/>
            <w:sz w:val="24"/>
            <w:lang w:val="zh-CN"/>
          </w:rPr>
          <w:t>违章作业</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_Toc190935879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160</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880"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1.12 </w:t>
        </w:r>
        <w:r w:rsidRPr="00123108">
          <w:rPr>
            <w:rStyle w:val="afff2"/>
            <w:rFonts w:ascii="宋体" w:hAnsi="宋体" w:cs="宋体" w:hint="eastAsia"/>
            <w:noProof/>
            <w:sz w:val="24"/>
          </w:rPr>
          <w:t>危险化学品重大危险源辨识</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_Toc190935880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160</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81"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1.12.1  </w:t>
        </w:r>
        <w:r w:rsidRPr="00123108">
          <w:rPr>
            <w:rStyle w:val="afff2"/>
            <w:rFonts w:ascii="宋体" w:hAnsi="宋体" w:cs="宋体" w:hint="eastAsia"/>
            <w:noProof/>
            <w:sz w:val="24"/>
          </w:rPr>
          <w:t>术语和定义</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_Toc190935881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160</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82"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1.12.2  </w:t>
        </w:r>
        <w:r w:rsidRPr="00123108">
          <w:rPr>
            <w:rStyle w:val="afff2"/>
            <w:rFonts w:ascii="宋体" w:hAnsi="宋体" w:cs="宋体" w:hint="eastAsia"/>
            <w:noProof/>
            <w:sz w:val="24"/>
          </w:rPr>
          <w:t>重大危险源的辨识指标</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_Toc190935882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161</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83" w:history="1">
        <w:r w:rsidRPr="00123108">
          <w:rPr>
            <w:rStyle w:val="afff2"/>
            <w:rFonts w:ascii="宋体" w:hAnsi="宋体" w:cs="宋体" w:hint="eastAsia"/>
            <w:bCs/>
            <w:noProof/>
            <w:sz w:val="24"/>
          </w:rPr>
          <w:t>附件</w:t>
        </w:r>
        <w:r w:rsidRPr="00123108">
          <w:rPr>
            <w:rStyle w:val="afff2"/>
            <w:rFonts w:ascii="宋体" w:hAnsi="宋体" w:cs="宋体"/>
            <w:bCs/>
            <w:noProof/>
            <w:sz w:val="24"/>
          </w:rPr>
          <w:t xml:space="preserve">1.12.3  </w:t>
        </w:r>
        <w:r w:rsidRPr="00123108">
          <w:rPr>
            <w:rStyle w:val="afff2"/>
            <w:rFonts w:ascii="宋体" w:hAnsi="宋体" w:cs="宋体" w:hint="eastAsia"/>
            <w:bCs/>
            <w:noProof/>
            <w:sz w:val="24"/>
          </w:rPr>
          <w:t>重大危险源的分级</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_Toc190935883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161</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84"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1.12.4  </w:t>
        </w:r>
        <w:r w:rsidRPr="00123108">
          <w:rPr>
            <w:rStyle w:val="afff2"/>
            <w:rFonts w:ascii="宋体" w:hAnsi="宋体" w:cs="宋体" w:hint="eastAsia"/>
            <w:noProof/>
            <w:sz w:val="24"/>
          </w:rPr>
          <w:t>辨识过程及结果</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_Toc190935884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164</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885" w:history="1">
        <w:r w:rsidRPr="00123108">
          <w:rPr>
            <w:rStyle w:val="afff2"/>
            <w:rFonts w:ascii="宋体" w:hAnsi="宋体" w:cs="宋体" w:hint="eastAsia"/>
            <w:noProof/>
            <w:sz w:val="24"/>
          </w:rPr>
          <w:t>附件</w:t>
        </w:r>
        <w:r w:rsidRPr="00123108">
          <w:rPr>
            <w:rStyle w:val="afff2"/>
            <w:rFonts w:ascii="宋体" w:hAnsi="宋体" w:cs="宋体"/>
            <w:noProof/>
            <w:sz w:val="24"/>
          </w:rPr>
          <w:t>1.1</w:t>
        </w:r>
        <w:r w:rsidRPr="00123108">
          <w:rPr>
            <w:rStyle w:val="afff2"/>
            <w:rFonts w:ascii="宋体" w:hAnsi="宋体" w:cs="宋体" w:hint="eastAsia"/>
            <w:noProof/>
            <w:sz w:val="24"/>
          </w:rPr>
          <w:t>3</w:t>
        </w:r>
        <w:r w:rsidRPr="00123108">
          <w:rPr>
            <w:rStyle w:val="afff2"/>
            <w:rFonts w:ascii="宋体" w:hAnsi="宋体" w:cs="宋体"/>
            <w:noProof/>
            <w:sz w:val="24"/>
          </w:rPr>
          <w:t xml:space="preserve">  </w:t>
        </w:r>
        <w:r w:rsidRPr="00123108">
          <w:rPr>
            <w:rStyle w:val="afff2"/>
            <w:rFonts w:ascii="宋体" w:hAnsi="宋体" w:cs="宋体" w:hint="eastAsia"/>
            <w:noProof/>
            <w:sz w:val="24"/>
          </w:rPr>
          <w:t>事故案例</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_Toc190935885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167</w:t>
        </w:r>
        <w:r w:rsidRPr="00123108">
          <w:rPr>
            <w:rFonts w:ascii="宋体" w:hAnsi="宋体"/>
            <w:noProof/>
            <w:webHidden/>
            <w:sz w:val="24"/>
          </w:rPr>
          <w:fldChar w:fldCharType="end"/>
        </w:r>
      </w:hyperlink>
    </w:p>
    <w:p w:rsidR="00176D77" w:rsidRPr="00123108" w:rsidRDefault="00176D77" w:rsidP="00176D77">
      <w:pPr>
        <w:pStyle w:val="10"/>
        <w:tabs>
          <w:tab w:val="right" w:leader="dot" w:pos="9175"/>
        </w:tabs>
        <w:spacing w:before="0" w:after="0" w:line="360" w:lineRule="auto"/>
        <w:rPr>
          <w:rFonts w:ascii="宋体" w:hAnsi="宋体"/>
          <w:b w:val="0"/>
          <w:bCs w:val="0"/>
          <w:caps w:val="0"/>
          <w:noProof/>
          <w:sz w:val="24"/>
          <w:szCs w:val="24"/>
          <w:lang w:val="en-US" w:eastAsia="zh-CN"/>
        </w:rPr>
      </w:pPr>
      <w:hyperlink w:anchor="_Toc190935886" w:history="1">
        <w:r w:rsidRPr="00123108">
          <w:rPr>
            <w:rStyle w:val="afff2"/>
            <w:rFonts w:ascii="宋体" w:hAnsi="宋体" w:cs="宋体" w:hint="eastAsia"/>
            <w:b w:val="0"/>
            <w:noProof/>
            <w:spacing w:val="-4"/>
            <w:sz w:val="24"/>
            <w:szCs w:val="24"/>
          </w:rPr>
          <w:t>附件</w:t>
        </w:r>
        <w:r w:rsidRPr="00123108">
          <w:rPr>
            <w:rStyle w:val="afff2"/>
            <w:rFonts w:ascii="宋体" w:hAnsi="宋体" w:cs="宋体"/>
            <w:b w:val="0"/>
            <w:noProof/>
            <w:spacing w:val="-4"/>
            <w:sz w:val="24"/>
            <w:szCs w:val="24"/>
          </w:rPr>
          <w:t xml:space="preserve">2  </w:t>
        </w:r>
        <w:r w:rsidRPr="00123108">
          <w:rPr>
            <w:rStyle w:val="afff2"/>
            <w:rFonts w:ascii="宋体" w:hAnsi="宋体" w:cs="宋体" w:hint="eastAsia"/>
            <w:b w:val="0"/>
            <w:noProof/>
            <w:spacing w:val="-4"/>
            <w:sz w:val="24"/>
            <w:szCs w:val="24"/>
          </w:rPr>
          <w:t>定性、定量分析过程</w:t>
        </w:r>
        <w:r w:rsidRPr="00123108">
          <w:rPr>
            <w:rFonts w:ascii="宋体" w:hAnsi="宋体"/>
            <w:b w:val="0"/>
            <w:noProof/>
            <w:webHidden/>
            <w:sz w:val="24"/>
            <w:szCs w:val="24"/>
          </w:rPr>
          <w:tab/>
        </w:r>
        <w:r w:rsidRPr="00123108">
          <w:rPr>
            <w:rFonts w:ascii="宋体" w:hAnsi="宋体"/>
            <w:b w:val="0"/>
            <w:noProof/>
            <w:webHidden/>
            <w:sz w:val="24"/>
            <w:szCs w:val="24"/>
          </w:rPr>
          <w:fldChar w:fldCharType="begin"/>
        </w:r>
        <w:r w:rsidRPr="00123108">
          <w:rPr>
            <w:rFonts w:ascii="宋体" w:hAnsi="宋体"/>
            <w:b w:val="0"/>
            <w:noProof/>
            <w:webHidden/>
            <w:sz w:val="24"/>
            <w:szCs w:val="24"/>
          </w:rPr>
          <w:instrText xml:space="preserve"> PAGEREF _Toc190935886 \h </w:instrText>
        </w:r>
        <w:r w:rsidRPr="00123108">
          <w:rPr>
            <w:rFonts w:ascii="宋体" w:hAnsi="宋体"/>
            <w:b w:val="0"/>
            <w:noProof/>
            <w:webHidden/>
            <w:sz w:val="24"/>
            <w:szCs w:val="24"/>
          </w:rPr>
        </w:r>
        <w:r w:rsidRPr="00123108">
          <w:rPr>
            <w:rFonts w:ascii="宋体" w:hAnsi="宋体"/>
            <w:b w:val="0"/>
            <w:noProof/>
            <w:webHidden/>
            <w:sz w:val="24"/>
            <w:szCs w:val="24"/>
          </w:rPr>
          <w:fldChar w:fldCharType="separate"/>
        </w:r>
        <w:r w:rsidR="005711FB">
          <w:rPr>
            <w:rFonts w:ascii="宋体" w:hAnsi="宋体"/>
            <w:b w:val="0"/>
            <w:noProof/>
            <w:webHidden/>
            <w:sz w:val="24"/>
            <w:szCs w:val="24"/>
          </w:rPr>
          <w:t>181</w:t>
        </w:r>
        <w:r w:rsidRPr="00123108">
          <w:rPr>
            <w:rFonts w:ascii="宋体" w:hAnsi="宋体"/>
            <w:b w:val="0"/>
            <w:noProof/>
            <w:webHidden/>
            <w:sz w:val="24"/>
            <w:szCs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887"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2.1  </w:t>
        </w:r>
        <w:r w:rsidRPr="00123108">
          <w:rPr>
            <w:rStyle w:val="afff2"/>
            <w:rFonts w:ascii="宋体" w:hAnsi="宋体" w:cs="宋体" w:hint="eastAsia"/>
            <w:noProof/>
            <w:sz w:val="24"/>
          </w:rPr>
          <w:t>固有危险程度分析</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_Toc190935887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181</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88" w:history="1">
        <w:r w:rsidRPr="00123108">
          <w:rPr>
            <w:rStyle w:val="afff2"/>
            <w:rFonts w:ascii="宋体" w:hAnsi="宋体" w:cs="宋体" w:hint="eastAsia"/>
            <w:bCs/>
            <w:noProof/>
            <w:sz w:val="24"/>
          </w:rPr>
          <w:t>附件</w:t>
        </w:r>
        <w:r w:rsidRPr="00123108">
          <w:rPr>
            <w:rStyle w:val="afff2"/>
            <w:rFonts w:ascii="宋体" w:hAnsi="宋体" w:cs="宋体"/>
            <w:bCs/>
            <w:noProof/>
            <w:sz w:val="24"/>
          </w:rPr>
          <w:t xml:space="preserve">2.1.1  </w:t>
        </w:r>
        <w:r w:rsidRPr="00123108">
          <w:rPr>
            <w:rStyle w:val="afff2"/>
            <w:rFonts w:ascii="宋体" w:hAnsi="宋体" w:cs="宋体" w:hint="eastAsia"/>
            <w:bCs/>
            <w:noProof/>
            <w:sz w:val="24"/>
          </w:rPr>
          <w:t>危险化学品数量、状态、部位及其状况分析</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_Toc190935888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181</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89" w:history="1">
        <w:r w:rsidRPr="00123108">
          <w:rPr>
            <w:rStyle w:val="afff2"/>
            <w:rFonts w:ascii="宋体" w:hAnsi="宋体" w:cs="宋体" w:hint="eastAsia"/>
            <w:bCs/>
            <w:noProof/>
            <w:sz w:val="24"/>
          </w:rPr>
          <w:t>附件</w:t>
        </w:r>
        <w:r w:rsidRPr="00123108">
          <w:rPr>
            <w:rStyle w:val="afff2"/>
            <w:rFonts w:ascii="宋体" w:hAnsi="宋体" w:cs="宋体"/>
            <w:bCs/>
            <w:noProof/>
            <w:sz w:val="24"/>
          </w:rPr>
          <w:t xml:space="preserve">2.1.2  </w:t>
        </w:r>
        <w:r w:rsidRPr="00123108">
          <w:rPr>
            <w:rStyle w:val="afff2"/>
            <w:rFonts w:ascii="宋体" w:hAnsi="宋体" w:cs="宋体" w:hint="eastAsia"/>
            <w:bCs/>
            <w:noProof/>
            <w:sz w:val="24"/>
          </w:rPr>
          <w:t>定量分析建设项目各个评价单元的固有危险程度</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_Toc190935889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181</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890"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2.2  </w:t>
        </w:r>
        <w:r w:rsidRPr="00123108">
          <w:rPr>
            <w:rStyle w:val="afff2"/>
            <w:rFonts w:ascii="宋体" w:hAnsi="宋体" w:cs="宋体" w:hint="eastAsia"/>
            <w:noProof/>
            <w:sz w:val="24"/>
          </w:rPr>
          <w:t>风险程度分析</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_Toc190935890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182</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91" w:history="1">
        <w:r w:rsidRPr="00123108">
          <w:rPr>
            <w:rStyle w:val="afff2"/>
            <w:rFonts w:ascii="宋体" w:hAnsi="宋体" w:cs="宋体" w:hint="eastAsia"/>
            <w:bCs/>
            <w:noProof/>
            <w:sz w:val="24"/>
            <w:lang w:val="zh-CN"/>
          </w:rPr>
          <w:t>附件</w:t>
        </w:r>
        <w:r w:rsidRPr="00123108">
          <w:rPr>
            <w:rStyle w:val="afff2"/>
            <w:rFonts w:ascii="宋体" w:hAnsi="宋体" w:cs="宋体"/>
            <w:bCs/>
            <w:noProof/>
            <w:sz w:val="24"/>
            <w:lang w:val="zh-CN"/>
          </w:rPr>
          <w:t>2.2.1</w:t>
        </w:r>
        <w:r w:rsidRPr="00123108">
          <w:rPr>
            <w:rStyle w:val="afff2"/>
            <w:rFonts w:ascii="宋体" w:hAnsi="宋体" w:cs="宋体"/>
            <w:bCs/>
            <w:noProof/>
            <w:sz w:val="24"/>
          </w:rPr>
          <w:t xml:space="preserve">  </w:t>
        </w:r>
        <w:r w:rsidRPr="00123108">
          <w:rPr>
            <w:rStyle w:val="afff2"/>
            <w:rFonts w:ascii="宋体" w:hAnsi="宋体" w:cs="宋体" w:hint="eastAsia"/>
            <w:bCs/>
            <w:noProof/>
            <w:sz w:val="24"/>
            <w:lang w:val="zh-CN"/>
          </w:rPr>
          <w:t>个人风险值和社会风险值计算</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_Toc190935891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182</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92" w:history="1">
        <w:r w:rsidRPr="00123108">
          <w:rPr>
            <w:rStyle w:val="afff2"/>
            <w:rFonts w:ascii="宋体" w:hAnsi="宋体" w:cs="宋体" w:hint="eastAsia"/>
            <w:bCs/>
            <w:noProof/>
            <w:sz w:val="24"/>
          </w:rPr>
          <w:t>附件</w:t>
        </w:r>
        <w:r w:rsidRPr="00123108">
          <w:rPr>
            <w:rStyle w:val="afff2"/>
            <w:rFonts w:ascii="宋体" w:hAnsi="宋体" w:cs="宋体"/>
            <w:bCs/>
            <w:noProof/>
            <w:sz w:val="24"/>
          </w:rPr>
          <w:t xml:space="preserve">2.2.2  </w:t>
        </w:r>
        <w:r w:rsidRPr="00123108">
          <w:rPr>
            <w:rStyle w:val="afff2"/>
            <w:rFonts w:ascii="宋体" w:hAnsi="宋体" w:cs="宋体" w:hint="eastAsia"/>
            <w:bCs/>
            <w:noProof/>
            <w:sz w:val="24"/>
          </w:rPr>
          <w:t>事故后果模拟</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_Toc190935892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188</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93" w:history="1">
        <w:r w:rsidRPr="00123108">
          <w:rPr>
            <w:rStyle w:val="afff2"/>
            <w:rFonts w:ascii="宋体" w:hAnsi="宋体" w:cs="宋体" w:hint="eastAsia"/>
            <w:bCs/>
            <w:noProof/>
            <w:sz w:val="24"/>
          </w:rPr>
          <w:t>附件</w:t>
        </w:r>
        <w:r w:rsidRPr="00123108">
          <w:rPr>
            <w:rStyle w:val="afff2"/>
            <w:rFonts w:ascii="宋体" w:hAnsi="宋体" w:cs="宋体"/>
            <w:bCs/>
            <w:noProof/>
            <w:sz w:val="24"/>
          </w:rPr>
          <w:t xml:space="preserve">2.2.3  </w:t>
        </w:r>
        <w:r w:rsidRPr="00123108">
          <w:rPr>
            <w:rStyle w:val="afff2"/>
            <w:rFonts w:ascii="宋体" w:hAnsi="宋体" w:cs="宋体" w:hint="eastAsia"/>
            <w:bCs/>
            <w:noProof/>
            <w:sz w:val="24"/>
          </w:rPr>
          <w:t>外部安全防护距离</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_Toc190935893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191</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94" w:history="1">
        <w:r w:rsidRPr="00123108">
          <w:rPr>
            <w:rStyle w:val="afff2"/>
            <w:rFonts w:ascii="宋体" w:hAnsi="宋体" w:cs="宋体" w:hint="eastAsia"/>
            <w:bCs/>
            <w:noProof/>
            <w:sz w:val="24"/>
          </w:rPr>
          <w:t>附件</w:t>
        </w:r>
        <w:r w:rsidRPr="00123108">
          <w:rPr>
            <w:rStyle w:val="afff2"/>
            <w:rFonts w:ascii="宋体" w:hAnsi="宋体" w:cs="宋体"/>
            <w:bCs/>
            <w:noProof/>
            <w:sz w:val="24"/>
          </w:rPr>
          <w:t xml:space="preserve">2.2.4  </w:t>
        </w:r>
        <w:r w:rsidRPr="00123108">
          <w:rPr>
            <w:rStyle w:val="afff2"/>
            <w:rFonts w:ascii="宋体" w:hAnsi="宋体" w:cs="宋体" w:hint="eastAsia"/>
            <w:bCs/>
            <w:noProof/>
            <w:sz w:val="24"/>
          </w:rPr>
          <w:t>多米诺效应分析</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_Toc190935894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192</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895"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2.3  </w:t>
        </w:r>
        <w:r w:rsidRPr="00123108">
          <w:rPr>
            <w:rStyle w:val="afff2"/>
            <w:rFonts w:ascii="宋体" w:hAnsi="宋体" w:cs="宋体" w:hint="eastAsia"/>
            <w:noProof/>
            <w:sz w:val="24"/>
          </w:rPr>
          <w:t>安全条件评价</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_Toc190935895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195</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96" w:history="1">
        <w:r w:rsidRPr="00123108">
          <w:rPr>
            <w:rStyle w:val="afff2"/>
            <w:rFonts w:ascii="宋体" w:hAnsi="宋体" w:cs="宋体" w:hint="eastAsia"/>
            <w:noProof/>
            <w:sz w:val="24"/>
            <w:lang w:val="zh-CN"/>
          </w:rPr>
          <w:t>附件</w:t>
        </w:r>
        <w:r w:rsidRPr="00123108">
          <w:rPr>
            <w:rStyle w:val="afff2"/>
            <w:rFonts w:ascii="宋体" w:hAnsi="宋体" w:cs="宋体"/>
            <w:noProof/>
            <w:sz w:val="24"/>
            <w:lang w:val="zh-CN"/>
          </w:rPr>
          <w:t>2.</w:t>
        </w:r>
        <w:r w:rsidRPr="00123108">
          <w:rPr>
            <w:rStyle w:val="afff2"/>
            <w:rFonts w:ascii="宋体" w:hAnsi="宋体" w:cs="宋体"/>
            <w:noProof/>
            <w:sz w:val="24"/>
          </w:rPr>
          <w:t>3</w:t>
        </w:r>
        <w:r w:rsidRPr="00123108">
          <w:rPr>
            <w:rStyle w:val="afff2"/>
            <w:rFonts w:ascii="宋体" w:hAnsi="宋体" w:cs="宋体"/>
            <w:noProof/>
            <w:sz w:val="24"/>
            <w:lang w:val="zh-CN"/>
          </w:rPr>
          <w:t>.1</w:t>
        </w:r>
        <w:r w:rsidRPr="00123108">
          <w:rPr>
            <w:rStyle w:val="afff2"/>
            <w:rFonts w:ascii="宋体" w:hAnsi="宋体" w:cs="宋体"/>
            <w:noProof/>
            <w:sz w:val="24"/>
          </w:rPr>
          <w:t xml:space="preserve"> </w:t>
        </w:r>
        <w:r w:rsidRPr="00123108">
          <w:rPr>
            <w:rStyle w:val="afff2"/>
            <w:rFonts w:ascii="宋体" w:hAnsi="宋体" w:cs="宋体"/>
            <w:noProof/>
            <w:sz w:val="24"/>
            <w:lang w:val="zh-CN"/>
          </w:rPr>
          <w:t xml:space="preserve"> </w:t>
        </w:r>
        <w:r w:rsidRPr="00123108">
          <w:rPr>
            <w:rStyle w:val="afff2"/>
            <w:rFonts w:ascii="宋体" w:hAnsi="宋体" w:cs="宋体" w:hint="eastAsia"/>
            <w:noProof/>
            <w:sz w:val="24"/>
            <w:lang w:val="zh-CN"/>
          </w:rPr>
          <w:t>选址及周边环境</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_Toc190935896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195</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97" w:history="1">
        <w:r w:rsidRPr="00123108">
          <w:rPr>
            <w:rStyle w:val="afff2"/>
            <w:rFonts w:ascii="宋体" w:hAnsi="宋体" w:cs="宋体" w:hint="eastAsia"/>
            <w:bCs/>
            <w:noProof/>
            <w:sz w:val="24"/>
          </w:rPr>
          <w:t>附件</w:t>
        </w:r>
        <w:r w:rsidRPr="00123108">
          <w:rPr>
            <w:rStyle w:val="afff2"/>
            <w:rFonts w:ascii="宋体" w:hAnsi="宋体" w:cs="宋体"/>
            <w:bCs/>
            <w:noProof/>
            <w:sz w:val="24"/>
          </w:rPr>
          <w:t xml:space="preserve">2.3.2  </w:t>
        </w:r>
        <w:r w:rsidRPr="00123108">
          <w:rPr>
            <w:rStyle w:val="afff2"/>
            <w:rFonts w:ascii="宋体" w:hAnsi="宋体" w:cs="宋体" w:hint="eastAsia"/>
            <w:bCs/>
            <w:noProof/>
            <w:sz w:val="24"/>
          </w:rPr>
          <w:t>与周边环境的相互影响</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_Toc190935897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200</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898" w:history="1">
        <w:r w:rsidRPr="00123108">
          <w:rPr>
            <w:rStyle w:val="afff2"/>
            <w:rFonts w:ascii="宋体" w:hAnsi="宋体" w:cs="宋体" w:hint="eastAsia"/>
            <w:bCs/>
            <w:noProof/>
            <w:sz w:val="24"/>
          </w:rPr>
          <w:t>附件</w:t>
        </w:r>
        <w:r w:rsidRPr="00123108">
          <w:rPr>
            <w:rStyle w:val="afff2"/>
            <w:rFonts w:ascii="宋体" w:hAnsi="宋体" w:cs="宋体"/>
            <w:bCs/>
            <w:noProof/>
            <w:sz w:val="24"/>
          </w:rPr>
          <w:t xml:space="preserve">2.3.3  </w:t>
        </w:r>
        <w:r w:rsidRPr="00123108">
          <w:rPr>
            <w:rStyle w:val="afff2"/>
            <w:rFonts w:ascii="宋体" w:hAnsi="宋体" w:cs="宋体" w:hint="eastAsia"/>
            <w:bCs/>
            <w:noProof/>
            <w:sz w:val="24"/>
          </w:rPr>
          <w:t>自然条件的影响</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_Toc190935898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200</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899"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2.4  </w:t>
        </w:r>
        <w:r w:rsidRPr="00123108">
          <w:rPr>
            <w:rStyle w:val="afff2"/>
            <w:rFonts w:ascii="宋体" w:hAnsi="宋体" w:cs="宋体" w:hint="eastAsia"/>
            <w:noProof/>
            <w:sz w:val="24"/>
          </w:rPr>
          <w:t>安全生产条件评价</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_Toc190935899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201</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900" w:history="1">
        <w:r w:rsidRPr="00123108">
          <w:rPr>
            <w:rStyle w:val="afff2"/>
            <w:rFonts w:ascii="宋体" w:hAnsi="宋体" w:cs="宋体" w:hint="eastAsia"/>
            <w:bCs/>
            <w:noProof/>
            <w:sz w:val="24"/>
          </w:rPr>
          <w:t>附件</w:t>
        </w:r>
        <w:r w:rsidRPr="00123108">
          <w:rPr>
            <w:rStyle w:val="afff2"/>
            <w:rFonts w:ascii="宋体" w:hAnsi="宋体" w:cs="宋体"/>
            <w:bCs/>
            <w:noProof/>
            <w:sz w:val="24"/>
          </w:rPr>
          <w:t xml:space="preserve">2.4.1  </w:t>
        </w:r>
        <w:r w:rsidRPr="00123108">
          <w:rPr>
            <w:rStyle w:val="afff2"/>
            <w:rFonts w:ascii="宋体" w:hAnsi="宋体" w:cs="宋体" w:hint="eastAsia"/>
            <w:bCs/>
            <w:noProof/>
            <w:sz w:val="24"/>
          </w:rPr>
          <w:t>总平面布置评价</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_Toc190935900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201</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901" w:history="1">
        <w:r w:rsidRPr="00123108">
          <w:rPr>
            <w:rStyle w:val="afff2"/>
            <w:rFonts w:ascii="宋体" w:hAnsi="宋体" w:cs="宋体" w:hint="eastAsia"/>
            <w:noProof/>
            <w:sz w:val="24"/>
            <w:lang w:val="zh-CN"/>
          </w:rPr>
          <w:t>附件</w:t>
        </w:r>
        <w:r w:rsidRPr="00123108">
          <w:rPr>
            <w:rStyle w:val="afff2"/>
            <w:rFonts w:ascii="宋体" w:hAnsi="宋体" w:cs="宋体"/>
            <w:noProof/>
            <w:sz w:val="24"/>
            <w:lang w:val="zh-CN"/>
          </w:rPr>
          <w:t>2.</w:t>
        </w:r>
        <w:r w:rsidRPr="00123108">
          <w:rPr>
            <w:rStyle w:val="afff2"/>
            <w:rFonts w:ascii="宋体" w:hAnsi="宋体" w:cs="宋体"/>
            <w:noProof/>
            <w:sz w:val="24"/>
          </w:rPr>
          <w:t>4</w:t>
        </w:r>
        <w:r w:rsidRPr="00123108">
          <w:rPr>
            <w:rStyle w:val="afff2"/>
            <w:rFonts w:ascii="宋体" w:hAnsi="宋体" w:cs="宋体"/>
            <w:noProof/>
            <w:sz w:val="24"/>
            <w:lang w:val="zh-CN"/>
          </w:rPr>
          <w:t>.2</w:t>
        </w:r>
        <w:r w:rsidRPr="00123108">
          <w:rPr>
            <w:rStyle w:val="afff2"/>
            <w:rFonts w:ascii="宋体" w:hAnsi="宋体" w:cs="宋体"/>
            <w:noProof/>
            <w:sz w:val="24"/>
          </w:rPr>
          <w:t xml:space="preserve"> </w:t>
        </w:r>
        <w:r w:rsidRPr="00123108">
          <w:rPr>
            <w:rStyle w:val="afff2"/>
            <w:rFonts w:ascii="宋体" w:hAnsi="宋体" w:cs="宋体"/>
            <w:noProof/>
            <w:sz w:val="24"/>
            <w:lang w:val="zh-CN"/>
          </w:rPr>
          <w:t xml:space="preserve"> </w:t>
        </w:r>
        <w:r w:rsidRPr="00123108">
          <w:rPr>
            <w:rStyle w:val="afff2"/>
            <w:rFonts w:ascii="宋体" w:hAnsi="宋体" w:cs="宋体" w:hint="eastAsia"/>
            <w:noProof/>
            <w:sz w:val="24"/>
          </w:rPr>
          <w:t>建构筑物</w:t>
        </w:r>
        <w:r w:rsidRPr="00123108">
          <w:rPr>
            <w:rStyle w:val="afff2"/>
            <w:rFonts w:ascii="宋体" w:hAnsi="宋体" w:cs="宋体" w:hint="eastAsia"/>
            <w:noProof/>
            <w:sz w:val="24"/>
            <w:lang w:val="zh-CN"/>
          </w:rPr>
          <w:t>布置评价</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_Toc190935901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210</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902" w:history="1">
        <w:r w:rsidRPr="00123108">
          <w:rPr>
            <w:rStyle w:val="afff2"/>
            <w:rFonts w:ascii="宋体" w:hAnsi="宋体" w:cs="宋体" w:hint="eastAsia"/>
            <w:noProof/>
            <w:sz w:val="24"/>
            <w:lang w:val="zh-CN"/>
          </w:rPr>
          <w:t>附件</w:t>
        </w:r>
        <w:r w:rsidRPr="00123108">
          <w:rPr>
            <w:rStyle w:val="afff2"/>
            <w:rFonts w:ascii="宋体" w:hAnsi="宋体" w:cs="宋体"/>
            <w:noProof/>
            <w:sz w:val="24"/>
            <w:lang w:val="zh-CN"/>
          </w:rPr>
          <w:t>2.</w:t>
        </w:r>
        <w:r w:rsidRPr="00123108">
          <w:rPr>
            <w:rStyle w:val="afff2"/>
            <w:rFonts w:ascii="宋体" w:hAnsi="宋体" w:cs="宋体"/>
            <w:noProof/>
            <w:sz w:val="24"/>
          </w:rPr>
          <w:t>4</w:t>
        </w:r>
        <w:r w:rsidRPr="00123108">
          <w:rPr>
            <w:rStyle w:val="afff2"/>
            <w:rFonts w:ascii="宋体" w:hAnsi="宋体" w:cs="宋体"/>
            <w:noProof/>
            <w:sz w:val="24"/>
            <w:lang w:val="zh-CN"/>
          </w:rPr>
          <w:t>.</w:t>
        </w:r>
        <w:r w:rsidRPr="00123108">
          <w:rPr>
            <w:rStyle w:val="afff2"/>
            <w:rFonts w:ascii="宋体" w:hAnsi="宋体" w:cs="宋体"/>
            <w:noProof/>
            <w:sz w:val="24"/>
          </w:rPr>
          <w:t xml:space="preserve">3  </w:t>
        </w:r>
        <w:r w:rsidRPr="00123108">
          <w:rPr>
            <w:rStyle w:val="afff2"/>
            <w:rFonts w:ascii="宋体" w:hAnsi="宋体" w:cs="宋体" w:hint="eastAsia"/>
            <w:noProof/>
            <w:sz w:val="24"/>
            <w:lang w:val="zh-CN"/>
          </w:rPr>
          <w:t>生产工艺、设备设施评价</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_Toc190935902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216</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903" w:history="1">
        <w:r w:rsidRPr="00123108">
          <w:rPr>
            <w:rStyle w:val="afff2"/>
            <w:rFonts w:ascii="宋体" w:hAnsi="宋体" w:cs="宋体" w:hint="eastAsia"/>
            <w:noProof/>
            <w:sz w:val="24"/>
            <w:lang w:val="zh-CN"/>
          </w:rPr>
          <w:t>附件</w:t>
        </w:r>
        <w:r w:rsidRPr="00123108">
          <w:rPr>
            <w:rStyle w:val="afff2"/>
            <w:rFonts w:ascii="宋体" w:hAnsi="宋体" w:cs="宋体"/>
            <w:noProof/>
            <w:sz w:val="24"/>
            <w:lang w:val="zh-CN"/>
          </w:rPr>
          <w:t>2.</w:t>
        </w:r>
        <w:r w:rsidRPr="00123108">
          <w:rPr>
            <w:rStyle w:val="afff2"/>
            <w:rFonts w:ascii="宋体" w:hAnsi="宋体" w:cs="宋体"/>
            <w:noProof/>
            <w:sz w:val="24"/>
          </w:rPr>
          <w:t>4</w:t>
        </w:r>
        <w:r w:rsidRPr="00123108">
          <w:rPr>
            <w:rStyle w:val="afff2"/>
            <w:rFonts w:ascii="宋体" w:hAnsi="宋体" w:cs="宋体"/>
            <w:noProof/>
            <w:sz w:val="24"/>
            <w:lang w:val="zh-CN"/>
          </w:rPr>
          <w:t>.</w:t>
        </w:r>
        <w:r w:rsidRPr="00123108">
          <w:rPr>
            <w:rStyle w:val="afff2"/>
            <w:rFonts w:ascii="宋体" w:hAnsi="宋体" w:cs="宋体"/>
            <w:noProof/>
            <w:sz w:val="24"/>
          </w:rPr>
          <w:t>4</w:t>
        </w:r>
        <w:r w:rsidRPr="00123108">
          <w:rPr>
            <w:rStyle w:val="afff2"/>
            <w:rFonts w:ascii="宋体" w:hAnsi="宋体" w:cs="宋体"/>
            <w:noProof/>
            <w:sz w:val="24"/>
            <w:lang w:val="zh-CN"/>
          </w:rPr>
          <w:t xml:space="preserve">  </w:t>
        </w:r>
        <w:r w:rsidRPr="00123108">
          <w:rPr>
            <w:rStyle w:val="afff2"/>
            <w:rFonts w:ascii="宋体" w:hAnsi="宋体" w:cs="宋体" w:hint="eastAsia"/>
            <w:noProof/>
            <w:sz w:val="24"/>
            <w:lang w:val="zh-CN"/>
          </w:rPr>
          <w:t>防火防爆措施评价</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_Toc190935903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224</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904" w:history="1">
        <w:r w:rsidRPr="00123108">
          <w:rPr>
            <w:rStyle w:val="afff2"/>
            <w:rFonts w:ascii="宋体" w:hAnsi="宋体" w:cs="宋体" w:hint="eastAsia"/>
            <w:noProof/>
            <w:sz w:val="24"/>
            <w:lang w:val="zh-CN"/>
          </w:rPr>
          <w:t>附件</w:t>
        </w:r>
        <w:r w:rsidRPr="00123108">
          <w:rPr>
            <w:rStyle w:val="afff2"/>
            <w:rFonts w:ascii="宋体" w:hAnsi="宋体" w:cs="宋体"/>
            <w:noProof/>
            <w:sz w:val="24"/>
            <w:lang w:val="zh-CN"/>
          </w:rPr>
          <w:t>2.</w:t>
        </w:r>
        <w:r w:rsidRPr="00123108">
          <w:rPr>
            <w:rStyle w:val="afff2"/>
            <w:rFonts w:ascii="宋体" w:hAnsi="宋体" w:cs="宋体"/>
            <w:noProof/>
            <w:sz w:val="24"/>
          </w:rPr>
          <w:t>4</w:t>
        </w:r>
        <w:r w:rsidRPr="00123108">
          <w:rPr>
            <w:rStyle w:val="afff2"/>
            <w:rFonts w:ascii="宋体" w:hAnsi="宋体" w:cs="宋体"/>
            <w:noProof/>
            <w:sz w:val="24"/>
            <w:lang w:val="zh-CN"/>
          </w:rPr>
          <w:t>.</w:t>
        </w:r>
        <w:r w:rsidRPr="00123108">
          <w:rPr>
            <w:rStyle w:val="afff2"/>
            <w:rFonts w:ascii="宋体" w:hAnsi="宋体" w:cs="宋体"/>
            <w:noProof/>
            <w:sz w:val="24"/>
          </w:rPr>
          <w:t xml:space="preserve">5  </w:t>
        </w:r>
        <w:r w:rsidRPr="00123108">
          <w:rPr>
            <w:rStyle w:val="afff2"/>
            <w:rFonts w:ascii="宋体" w:hAnsi="宋体" w:cs="宋体" w:hint="eastAsia"/>
            <w:noProof/>
            <w:sz w:val="24"/>
            <w:lang w:val="zh-CN"/>
          </w:rPr>
          <w:t>防雷防静电评价</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_Toc190935904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226</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905" w:history="1">
        <w:r w:rsidRPr="00123108">
          <w:rPr>
            <w:rStyle w:val="afff2"/>
            <w:rFonts w:ascii="宋体" w:hAnsi="宋体" w:cs="宋体" w:hint="eastAsia"/>
            <w:noProof/>
            <w:sz w:val="24"/>
            <w:lang w:val="zh-CN"/>
          </w:rPr>
          <w:t>附件</w:t>
        </w:r>
        <w:r w:rsidRPr="00123108">
          <w:rPr>
            <w:rStyle w:val="afff2"/>
            <w:rFonts w:ascii="宋体" w:hAnsi="宋体" w:cs="宋体"/>
            <w:noProof/>
            <w:sz w:val="24"/>
            <w:lang w:val="zh-CN"/>
          </w:rPr>
          <w:t>2.</w:t>
        </w:r>
        <w:r w:rsidRPr="00123108">
          <w:rPr>
            <w:rStyle w:val="afff2"/>
            <w:rFonts w:ascii="宋体" w:hAnsi="宋体" w:cs="宋体"/>
            <w:noProof/>
            <w:sz w:val="24"/>
          </w:rPr>
          <w:t>4</w:t>
        </w:r>
        <w:r w:rsidRPr="00123108">
          <w:rPr>
            <w:rStyle w:val="afff2"/>
            <w:rFonts w:ascii="宋体" w:hAnsi="宋体" w:cs="宋体"/>
            <w:noProof/>
            <w:sz w:val="24"/>
            <w:lang w:val="zh-CN"/>
          </w:rPr>
          <w:t>.</w:t>
        </w:r>
        <w:r w:rsidRPr="00123108">
          <w:rPr>
            <w:rStyle w:val="afff2"/>
            <w:rFonts w:ascii="宋体" w:hAnsi="宋体" w:cs="宋体"/>
            <w:noProof/>
            <w:sz w:val="24"/>
          </w:rPr>
          <w:t xml:space="preserve">6 </w:t>
        </w:r>
        <w:r w:rsidRPr="00123108">
          <w:rPr>
            <w:rStyle w:val="afff2"/>
            <w:rFonts w:ascii="宋体" w:hAnsi="宋体" w:cs="宋体"/>
            <w:noProof/>
            <w:sz w:val="24"/>
            <w:lang w:val="zh-CN"/>
          </w:rPr>
          <w:t xml:space="preserve"> </w:t>
        </w:r>
        <w:r w:rsidRPr="00123108">
          <w:rPr>
            <w:rStyle w:val="afff2"/>
            <w:rFonts w:ascii="宋体" w:hAnsi="宋体" w:cs="宋体" w:hint="eastAsia"/>
            <w:noProof/>
            <w:sz w:val="24"/>
            <w:lang w:val="zh-CN"/>
          </w:rPr>
          <w:t>消防设施评价</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_Toc190935905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228</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906" w:history="1">
        <w:r w:rsidRPr="00123108">
          <w:rPr>
            <w:rStyle w:val="afff2"/>
            <w:rFonts w:ascii="宋体" w:hAnsi="宋体" w:cs="宋体" w:hint="eastAsia"/>
            <w:noProof/>
            <w:sz w:val="24"/>
            <w:lang w:val="zh-CN"/>
          </w:rPr>
          <w:t>附件</w:t>
        </w:r>
        <w:r w:rsidRPr="00123108">
          <w:rPr>
            <w:rStyle w:val="afff2"/>
            <w:rFonts w:ascii="宋体" w:hAnsi="宋体" w:cs="宋体"/>
            <w:noProof/>
            <w:sz w:val="24"/>
            <w:lang w:val="zh-CN"/>
          </w:rPr>
          <w:t>2.</w:t>
        </w:r>
        <w:r w:rsidRPr="00123108">
          <w:rPr>
            <w:rStyle w:val="afff2"/>
            <w:rFonts w:ascii="宋体" w:hAnsi="宋体" w:cs="宋体"/>
            <w:noProof/>
            <w:sz w:val="24"/>
          </w:rPr>
          <w:t>4</w:t>
        </w:r>
        <w:r w:rsidRPr="00123108">
          <w:rPr>
            <w:rStyle w:val="afff2"/>
            <w:rFonts w:ascii="宋体" w:hAnsi="宋体" w:cs="宋体"/>
            <w:noProof/>
            <w:sz w:val="24"/>
            <w:lang w:val="zh-CN"/>
          </w:rPr>
          <w:t>.</w:t>
        </w:r>
        <w:r w:rsidRPr="00123108">
          <w:rPr>
            <w:rStyle w:val="afff2"/>
            <w:rFonts w:ascii="宋体" w:hAnsi="宋体" w:cs="宋体"/>
            <w:noProof/>
            <w:sz w:val="24"/>
          </w:rPr>
          <w:t xml:space="preserve">7 </w:t>
        </w:r>
        <w:r w:rsidRPr="00123108">
          <w:rPr>
            <w:rStyle w:val="afff2"/>
            <w:rFonts w:ascii="宋体" w:hAnsi="宋体" w:cs="宋体"/>
            <w:noProof/>
            <w:sz w:val="24"/>
            <w:lang w:val="zh-CN"/>
          </w:rPr>
          <w:t xml:space="preserve"> </w:t>
        </w:r>
        <w:r w:rsidRPr="00123108">
          <w:rPr>
            <w:rStyle w:val="afff2"/>
            <w:rFonts w:ascii="宋体" w:hAnsi="宋体" w:cs="宋体" w:hint="eastAsia"/>
            <w:noProof/>
            <w:sz w:val="24"/>
            <w:lang w:val="zh-CN"/>
          </w:rPr>
          <w:t>电气、照明设施评价</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_Toc190935906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229</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907" w:history="1">
        <w:r w:rsidRPr="00123108">
          <w:rPr>
            <w:rStyle w:val="afff2"/>
            <w:rFonts w:ascii="宋体" w:hAnsi="宋体" w:cs="宋体" w:hint="eastAsia"/>
            <w:bCs/>
            <w:noProof/>
            <w:sz w:val="24"/>
          </w:rPr>
          <w:t>附件</w:t>
        </w:r>
        <w:r w:rsidRPr="00123108">
          <w:rPr>
            <w:rStyle w:val="afff2"/>
            <w:rFonts w:ascii="宋体" w:hAnsi="宋体" w:cs="宋体"/>
            <w:bCs/>
            <w:noProof/>
            <w:sz w:val="24"/>
          </w:rPr>
          <w:t xml:space="preserve">2.4.8  </w:t>
        </w:r>
        <w:r w:rsidRPr="00123108">
          <w:rPr>
            <w:rStyle w:val="afff2"/>
            <w:rFonts w:ascii="宋体" w:hAnsi="宋体" w:cs="宋体" w:hint="eastAsia"/>
            <w:bCs/>
            <w:noProof/>
            <w:sz w:val="24"/>
          </w:rPr>
          <w:t>常规设施评价</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_Toc190935907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231</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908" w:history="1">
        <w:r w:rsidRPr="00123108">
          <w:rPr>
            <w:rStyle w:val="afff2"/>
            <w:rFonts w:ascii="宋体" w:hAnsi="宋体" w:cs="宋体" w:hint="eastAsia"/>
            <w:noProof/>
            <w:sz w:val="24"/>
          </w:rPr>
          <w:t>附件</w:t>
        </w:r>
        <w:r w:rsidRPr="00123108">
          <w:rPr>
            <w:rStyle w:val="afff2"/>
            <w:rFonts w:ascii="宋体" w:hAnsi="宋体" w:cs="宋体"/>
            <w:noProof/>
            <w:sz w:val="24"/>
          </w:rPr>
          <w:t>2.5</w:t>
        </w:r>
        <w:r w:rsidRPr="00123108">
          <w:rPr>
            <w:rStyle w:val="afff2"/>
            <w:rFonts w:ascii="宋体" w:hAnsi="宋体" w:cs="宋体" w:hint="eastAsia"/>
            <w:noProof/>
            <w:sz w:val="24"/>
          </w:rPr>
          <w:t>自动化控制系统评价</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_Toc190935908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232</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909"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2.6 </w:t>
        </w:r>
        <w:r w:rsidRPr="00123108">
          <w:rPr>
            <w:rStyle w:val="afff2"/>
            <w:rFonts w:ascii="宋体" w:hAnsi="宋体" w:cs="宋体" w:hint="eastAsia"/>
            <w:noProof/>
            <w:sz w:val="24"/>
          </w:rPr>
          <w:t>职业危害评价</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_Toc190935909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235</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910"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2.7 </w:t>
        </w:r>
        <w:r w:rsidRPr="00123108">
          <w:rPr>
            <w:rStyle w:val="afff2"/>
            <w:rFonts w:ascii="宋体" w:hAnsi="宋体" w:cs="宋体" w:hint="eastAsia"/>
            <w:noProof/>
            <w:sz w:val="24"/>
          </w:rPr>
          <w:t>劳动防护用品评价</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_Toc190935910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237</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911"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2.8 </w:t>
        </w:r>
        <w:r w:rsidRPr="00123108">
          <w:rPr>
            <w:rStyle w:val="afff2"/>
            <w:rFonts w:ascii="宋体" w:hAnsi="宋体" w:cs="宋体" w:hint="eastAsia"/>
            <w:noProof/>
            <w:sz w:val="24"/>
          </w:rPr>
          <w:t>《化工企业安全检查重点指导目录》符合性检查</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_Toc190935911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238</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912" w:history="1">
        <w:r w:rsidRPr="00123108">
          <w:rPr>
            <w:rStyle w:val="afff2"/>
            <w:rFonts w:ascii="宋体" w:hAnsi="宋体" w:cs="宋体" w:hint="eastAsia"/>
            <w:noProof/>
            <w:sz w:val="24"/>
          </w:rPr>
          <w:t>附件</w:t>
        </w:r>
        <w:r w:rsidRPr="00123108">
          <w:rPr>
            <w:rStyle w:val="afff2"/>
            <w:rFonts w:ascii="宋体" w:hAnsi="宋体" w:cs="宋体"/>
            <w:noProof/>
            <w:sz w:val="24"/>
          </w:rPr>
          <w:t>2.9</w:t>
        </w:r>
        <w:r w:rsidRPr="00123108">
          <w:rPr>
            <w:rStyle w:val="afff2"/>
            <w:rFonts w:ascii="宋体" w:hAnsi="宋体" w:cs="宋体" w:hint="eastAsia"/>
            <w:noProof/>
            <w:sz w:val="24"/>
          </w:rPr>
          <w:t>重大生产安全事故隐患判定</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_Toc190935912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242</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913"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2.10  </w:t>
        </w:r>
        <w:r w:rsidRPr="00123108">
          <w:rPr>
            <w:rStyle w:val="afff2"/>
            <w:rFonts w:ascii="宋体" w:hAnsi="宋体" w:cs="宋体" w:hint="eastAsia"/>
            <w:noProof/>
            <w:sz w:val="24"/>
          </w:rPr>
          <w:t>两重点一重大评价</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_Toc190935913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244</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914" w:history="1">
        <w:r w:rsidRPr="00123108">
          <w:rPr>
            <w:rStyle w:val="afff2"/>
            <w:rFonts w:ascii="宋体" w:hAnsi="宋体" w:cs="宋体" w:hint="eastAsia"/>
            <w:bCs/>
            <w:noProof/>
            <w:sz w:val="24"/>
          </w:rPr>
          <w:t>附件</w:t>
        </w:r>
        <w:r w:rsidRPr="00123108">
          <w:rPr>
            <w:rStyle w:val="afff2"/>
            <w:rFonts w:ascii="宋体" w:hAnsi="宋体" w:cs="宋体"/>
            <w:bCs/>
            <w:noProof/>
            <w:sz w:val="24"/>
          </w:rPr>
          <w:t xml:space="preserve">2.10.1  </w:t>
        </w:r>
        <w:r w:rsidRPr="00123108">
          <w:rPr>
            <w:rStyle w:val="afff2"/>
            <w:rFonts w:ascii="宋体" w:hAnsi="宋体" w:cs="宋体" w:hint="eastAsia"/>
            <w:bCs/>
            <w:noProof/>
            <w:sz w:val="24"/>
          </w:rPr>
          <w:t>重点监管的危险化学品</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_Toc190935914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244</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915" w:history="1">
        <w:r w:rsidRPr="00123108">
          <w:rPr>
            <w:rStyle w:val="afff2"/>
            <w:rFonts w:ascii="宋体" w:hAnsi="宋体" w:cs="宋体" w:hint="eastAsia"/>
            <w:bCs/>
            <w:noProof/>
            <w:sz w:val="24"/>
          </w:rPr>
          <w:t>附件</w:t>
        </w:r>
        <w:r w:rsidRPr="00123108">
          <w:rPr>
            <w:rStyle w:val="afff2"/>
            <w:rFonts w:ascii="宋体" w:hAnsi="宋体" w:cs="宋体"/>
            <w:bCs/>
            <w:noProof/>
            <w:sz w:val="24"/>
          </w:rPr>
          <w:t xml:space="preserve">2.10.2  </w:t>
        </w:r>
        <w:r w:rsidRPr="00123108">
          <w:rPr>
            <w:rStyle w:val="afff2"/>
            <w:rFonts w:ascii="宋体" w:hAnsi="宋体" w:cs="宋体" w:hint="eastAsia"/>
            <w:bCs/>
            <w:noProof/>
            <w:sz w:val="24"/>
          </w:rPr>
          <w:t>重点监管的危险化工工艺安全控制措施评价</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_Toc190935915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249</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916" w:history="1">
        <w:r w:rsidRPr="00123108">
          <w:rPr>
            <w:rStyle w:val="afff2"/>
            <w:rFonts w:ascii="宋体" w:hAnsi="宋体" w:cs="宋体" w:hint="eastAsia"/>
            <w:bCs/>
            <w:noProof/>
            <w:sz w:val="24"/>
          </w:rPr>
          <w:t>附件</w:t>
        </w:r>
        <w:r w:rsidRPr="00123108">
          <w:rPr>
            <w:rStyle w:val="afff2"/>
            <w:rFonts w:ascii="宋体" w:hAnsi="宋体" w:cs="宋体"/>
            <w:bCs/>
            <w:noProof/>
            <w:sz w:val="24"/>
          </w:rPr>
          <w:t xml:space="preserve">2.10.3  </w:t>
        </w:r>
        <w:r w:rsidRPr="00123108">
          <w:rPr>
            <w:rStyle w:val="afff2"/>
            <w:rFonts w:ascii="宋体" w:hAnsi="宋体" w:cs="宋体" w:hint="eastAsia"/>
            <w:bCs/>
            <w:noProof/>
            <w:sz w:val="24"/>
          </w:rPr>
          <w:t>危险化学品重大危险源评价</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_Toc190935916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250</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917"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2.11 </w:t>
        </w:r>
        <w:r w:rsidRPr="00123108">
          <w:rPr>
            <w:rStyle w:val="afff2"/>
            <w:rFonts w:ascii="宋体" w:hAnsi="宋体" w:cs="宋体" w:hint="eastAsia"/>
            <w:noProof/>
            <w:sz w:val="24"/>
          </w:rPr>
          <w:t>安全生产管理评价</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_Toc190935917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259</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918"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2.12 </w:t>
        </w:r>
        <w:r w:rsidRPr="00123108">
          <w:rPr>
            <w:rStyle w:val="afff2"/>
            <w:rFonts w:ascii="宋体" w:hAnsi="宋体" w:cs="宋体" w:hint="eastAsia"/>
            <w:noProof/>
            <w:sz w:val="24"/>
          </w:rPr>
          <w:t>生产单位特殊作业安全评价</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_Toc190935918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263</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919" w:history="1">
        <w:r w:rsidRPr="00123108">
          <w:rPr>
            <w:rStyle w:val="afff2"/>
            <w:rFonts w:ascii="宋体" w:hAnsi="宋体" w:cs="宋体" w:hint="eastAsia"/>
            <w:bCs/>
            <w:noProof/>
            <w:sz w:val="24"/>
          </w:rPr>
          <w:t>附件</w:t>
        </w:r>
        <w:r w:rsidRPr="00123108">
          <w:rPr>
            <w:rStyle w:val="afff2"/>
            <w:rFonts w:ascii="宋体" w:hAnsi="宋体" w:cs="宋体"/>
            <w:bCs/>
            <w:noProof/>
            <w:sz w:val="24"/>
          </w:rPr>
          <w:t xml:space="preserve">2.13 </w:t>
        </w:r>
        <w:r w:rsidRPr="00123108">
          <w:rPr>
            <w:rStyle w:val="afff2"/>
            <w:rFonts w:ascii="宋体" w:hAnsi="宋体" w:cs="宋体" w:hint="eastAsia"/>
            <w:bCs/>
            <w:noProof/>
            <w:sz w:val="24"/>
          </w:rPr>
          <w:t>安全生产许可证取证情况符合性检查</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_Toc190935919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265</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920"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2.14 </w:t>
        </w:r>
        <w:r w:rsidRPr="00123108">
          <w:rPr>
            <w:rStyle w:val="afff2"/>
            <w:rFonts w:ascii="宋体" w:hAnsi="宋体" w:cs="宋体" w:hint="eastAsia"/>
            <w:noProof/>
            <w:sz w:val="24"/>
          </w:rPr>
          <w:t>危险化学品企业安全风险隐患排查</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_Toc190935920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268</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921"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2.15  </w:t>
        </w:r>
        <w:r w:rsidRPr="00123108">
          <w:rPr>
            <w:rStyle w:val="afff2"/>
            <w:rFonts w:ascii="宋体" w:hAnsi="宋体" w:cs="宋体" w:hint="eastAsia"/>
            <w:noProof/>
            <w:sz w:val="24"/>
          </w:rPr>
          <w:t>安全生产专项提升整治检查</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_Toc190935921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269</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922"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2.16 </w:t>
        </w:r>
        <w:r w:rsidRPr="00123108">
          <w:rPr>
            <w:rStyle w:val="afff2"/>
            <w:rFonts w:ascii="宋体" w:hAnsi="宋体" w:cs="宋体" w:hint="eastAsia"/>
            <w:noProof/>
            <w:sz w:val="24"/>
          </w:rPr>
          <w:t>环保设施安全风险评价</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_Toc190935922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270</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923" w:history="1">
        <w:r w:rsidRPr="00123108">
          <w:rPr>
            <w:rStyle w:val="afff2"/>
            <w:rFonts w:ascii="宋体" w:hAnsi="宋体" w:cs="宋体" w:hint="eastAsia"/>
            <w:noProof/>
            <w:sz w:val="24"/>
          </w:rPr>
          <w:t>附件</w:t>
        </w:r>
        <w:r w:rsidRPr="00123108">
          <w:rPr>
            <w:rStyle w:val="afff2"/>
            <w:rFonts w:ascii="宋体" w:hAnsi="宋体" w:cs="宋体"/>
            <w:noProof/>
            <w:sz w:val="24"/>
          </w:rPr>
          <w:t>2.17</w:t>
        </w:r>
        <w:r w:rsidRPr="00123108">
          <w:rPr>
            <w:rStyle w:val="afff2"/>
            <w:rFonts w:ascii="宋体" w:hAnsi="宋体" w:cs="宋体" w:hint="eastAsia"/>
            <w:noProof/>
            <w:sz w:val="24"/>
          </w:rPr>
          <w:t>易制爆危险化学品安全评价</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_Toc190935923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272</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924" w:history="1">
        <w:r w:rsidRPr="00123108">
          <w:rPr>
            <w:rStyle w:val="afff2"/>
            <w:rFonts w:ascii="宋体" w:hAnsi="宋体" w:cs="宋体" w:hint="eastAsia"/>
            <w:noProof/>
            <w:sz w:val="24"/>
          </w:rPr>
          <w:t>附件</w:t>
        </w:r>
        <w:r w:rsidRPr="00123108">
          <w:rPr>
            <w:rStyle w:val="afff2"/>
            <w:rFonts w:ascii="宋体" w:hAnsi="宋体" w:cs="宋体"/>
            <w:noProof/>
            <w:sz w:val="24"/>
          </w:rPr>
          <w:t>2.18</w:t>
        </w:r>
        <w:r w:rsidRPr="00123108">
          <w:rPr>
            <w:rStyle w:val="afff2"/>
            <w:rFonts w:ascii="宋体" w:hAnsi="宋体" w:cs="宋体" w:hint="eastAsia"/>
            <w:noProof/>
            <w:sz w:val="24"/>
          </w:rPr>
          <w:t>本次安全评价与上次安全评价之间的变化分析</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_Toc190935924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274</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925" w:history="1">
        <w:r w:rsidRPr="00123108">
          <w:rPr>
            <w:rStyle w:val="afff2"/>
            <w:rFonts w:ascii="宋体" w:hAnsi="宋体" w:cs="宋体" w:hint="eastAsia"/>
            <w:noProof/>
            <w:sz w:val="24"/>
          </w:rPr>
          <w:t>附件</w:t>
        </w:r>
        <w:r w:rsidRPr="00123108">
          <w:rPr>
            <w:rStyle w:val="afff2"/>
            <w:rFonts w:ascii="宋体" w:hAnsi="宋体" w:cs="宋体"/>
            <w:noProof/>
            <w:sz w:val="24"/>
          </w:rPr>
          <w:t>2.19</w:t>
        </w:r>
        <w:r w:rsidRPr="00123108">
          <w:rPr>
            <w:rStyle w:val="afff2"/>
            <w:rFonts w:ascii="宋体" w:hAnsi="宋体" w:cs="宋体" w:hint="eastAsia"/>
            <w:noProof/>
            <w:sz w:val="24"/>
          </w:rPr>
          <w:t>本次安全评价与上次安全评价之间的变化分析</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_Toc190935925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274</w:t>
        </w:r>
        <w:r w:rsidRPr="00123108">
          <w:rPr>
            <w:rFonts w:ascii="宋体" w:hAnsi="宋体"/>
            <w:noProof/>
            <w:webHidden/>
            <w:sz w:val="24"/>
          </w:rPr>
          <w:fldChar w:fldCharType="end"/>
        </w:r>
      </w:hyperlink>
    </w:p>
    <w:p w:rsidR="00176D77" w:rsidRPr="00123108" w:rsidRDefault="00176D77" w:rsidP="00176D77">
      <w:pPr>
        <w:pStyle w:val="10"/>
        <w:tabs>
          <w:tab w:val="right" w:leader="dot" w:pos="9175"/>
        </w:tabs>
        <w:spacing w:before="0" w:after="0" w:line="360" w:lineRule="auto"/>
        <w:rPr>
          <w:rFonts w:ascii="宋体" w:hAnsi="宋体"/>
          <w:b w:val="0"/>
          <w:bCs w:val="0"/>
          <w:caps w:val="0"/>
          <w:noProof/>
          <w:sz w:val="24"/>
          <w:szCs w:val="24"/>
          <w:lang w:val="en-US" w:eastAsia="zh-CN"/>
        </w:rPr>
      </w:pPr>
      <w:hyperlink w:anchor="_Toc190935926" w:history="1">
        <w:r w:rsidRPr="00123108">
          <w:rPr>
            <w:rStyle w:val="afff2"/>
            <w:rFonts w:ascii="宋体" w:hAnsi="宋体" w:cs="宋体" w:hint="eastAsia"/>
            <w:b w:val="0"/>
            <w:noProof/>
            <w:spacing w:val="-4"/>
            <w:sz w:val="24"/>
            <w:szCs w:val="24"/>
          </w:rPr>
          <w:t>附件</w:t>
        </w:r>
        <w:r w:rsidRPr="00123108">
          <w:rPr>
            <w:rStyle w:val="afff2"/>
            <w:rFonts w:ascii="宋体" w:hAnsi="宋体" w:cs="宋体"/>
            <w:b w:val="0"/>
            <w:noProof/>
            <w:spacing w:val="-4"/>
            <w:sz w:val="24"/>
            <w:szCs w:val="24"/>
          </w:rPr>
          <w:t xml:space="preserve">3  </w:t>
        </w:r>
        <w:r w:rsidRPr="00123108">
          <w:rPr>
            <w:rStyle w:val="afff2"/>
            <w:rFonts w:ascii="宋体" w:hAnsi="宋体" w:cs="宋体" w:hint="eastAsia"/>
            <w:b w:val="0"/>
            <w:noProof/>
            <w:spacing w:val="-4"/>
            <w:sz w:val="24"/>
            <w:szCs w:val="24"/>
          </w:rPr>
          <w:t>评价方法简介</w:t>
        </w:r>
        <w:r w:rsidRPr="00123108">
          <w:rPr>
            <w:rFonts w:ascii="宋体" w:hAnsi="宋体"/>
            <w:b w:val="0"/>
            <w:noProof/>
            <w:webHidden/>
            <w:sz w:val="24"/>
            <w:szCs w:val="24"/>
          </w:rPr>
          <w:tab/>
        </w:r>
        <w:r w:rsidRPr="00123108">
          <w:rPr>
            <w:rFonts w:ascii="宋体" w:hAnsi="宋体"/>
            <w:b w:val="0"/>
            <w:noProof/>
            <w:webHidden/>
            <w:sz w:val="24"/>
            <w:szCs w:val="24"/>
          </w:rPr>
          <w:fldChar w:fldCharType="begin"/>
        </w:r>
        <w:r w:rsidRPr="00123108">
          <w:rPr>
            <w:rFonts w:ascii="宋体" w:hAnsi="宋体"/>
            <w:b w:val="0"/>
            <w:noProof/>
            <w:webHidden/>
            <w:sz w:val="24"/>
            <w:szCs w:val="24"/>
          </w:rPr>
          <w:instrText xml:space="preserve"> PAGEREF _Toc190935926 \h </w:instrText>
        </w:r>
        <w:r w:rsidRPr="00123108">
          <w:rPr>
            <w:rFonts w:ascii="宋体" w:hAnsi="宋体"/>
            <w:b w:val="0"/>
            <w:noProof/>
            <w:webHidden/>
            <w:sz w:val="24"/>
            <w:szCs w:val="24"/>
          </w:rPr>
        </w:r>
        <w:r w:rsidRPr="00123108">
          <w:rPr>
            <w:rFonts w:ascii="宋体" w:hAnsi="宋体"/>
            <w:b w:val="0"/>
            <w:noProof/>
            <w:webHidden/>
            <w:sz w:val="24"/>
            <w:szCs w:val="24"/>
          </w:rPr>
          <w:fldChar w:fldCharType="separate"/>
        </w:r>
        <w:r w:rsidR="005711FB">
          <w:rPr>
            <w:rFonts w:ascii="宋体" w:hAnsi="宋体"/>
            <w:b w:val="0"/>
            <w:noProof/>
            <w:webHidden/>
            <w:sz w:val="24"/>
            <w:szCs w:val="24"/>
          </w:rPr>
          <w:t>276</w:t>
        </w:r>
        <w:r w:rsidRPr="00123108">
          <w:rPr>
            <w:rFonts w:ascii="宋体" w:hAnsi="宋体"/>
            <w:b w:val="0"/>
            <w:noProof/>
            <w:webHidden/>
            <w:sz w:val="24"/>
            <w:szCs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927"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3.1  </w:t>
        </w:r>
        <w:r w:rsidRPr="00123108">
          <w:rPr>
            <w:rStyle w:val="afff2"/>
            <w:rFonts w:ascii="宋体" w:hAnsi="宋体" w:cs="宋体" w:hint="eastAsia"/>
            <w:noProof/>
            <w:sz w:val="24"/>
          </w:rPr>
          <w:t>评价方法的确定</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_Toc190935927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276</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928"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3.2  </w:t>
        </w:r>
        <w:r w:rsidRPr="00123108">
          <w:rPr>
            <w:rStyle w:val="afff2"/>
            <w:rFonts w:ascii="宋体" w:hAnsi="宋体" w:cs="宋体" w:hint="eastAsia"/>
            <w:noProof/>
            <w:sz w:val="24"/>
          </w:rPr>
          <w:t>评价方法简介</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_Toc190935928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276</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929"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3.2.1  </w:t>
        </w:r>
        <w:r w:rsidRPr="00123108">
          <w:rPr>
            <w:rStyle w:val="afff2"/>
            <w:rFonts w:ascii="宋体" w:hAnsi="宋体" w:cs="宋体" w:hint="eastAsia"/>
            <w:noProof/>
            <w:sz w:val="24"/>
          </w:rPr>
          <w:t>安全检查表法</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_Toc190935929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276</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930"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3.2.2  </w:t>
        </w:r>
        <w:r w:rsidRPr="00123108">
          <w:rPr>
            <w:rStyle w:val="afff2"/>
            <w:rFonts w:ascii="宋体" w:hAnsi="宋体" w:cs="宋体" w:hint="eastAsia"/>
            <w:noProof/>
            <w:sz w:val="24"/>
          </w:rPr>
          <w:t>综合评价法</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_Toc190935930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276</w:t>
        </w:r>
        <w:r w:rsidRPr="00123108">
          <w:rPr>
            <w:rFonts w:ascii="宋体" w:hAnsi="宋体"/>
            <w:noProof/>
            <w:webHidden/>
            <w:sz w:val="24"/>
          </w:rPr>
          <w:fldChar w:fldCharType="end"/>
        </w:r>
      </w:hyperlink>
    </w:p>
    <w:p w:rsidR="00176D77" w:rsidRPr="00123108" w:rsidRDefault="00176D77" w:rsidP="00176D77">
      <w:pPr>
        <w:pStyle w:val="34"/>
        <w:tabs>
          <w:tab w:val="right" w:leader="dot" w:pos="9175"/>
        </w:tabs>
        <w:spacing w:line="360" w:lineRule="auto"/>
        <w:rPr>
          <w:rFonts w:ascii="宋体" w:hAnsi="宋体"/>
          <w:noProof/>
          <w:sz w:val="24"/>
        </w:rPr>
      </w:pPr>
      <w:hyperlink w:anchor="_Toc190935931" w:history="1">
        <w:r w:rsidRPr="00123108">
          <w:rPr>
            <w:rStyle w:val="afff2"/>
            <w:rFonts w:ascii="宋体" w:hAnsi="宋体" w:cs="宋体" w:hint="eastAsia"/>
            <w:noProof/>
            <w:sz w:val="24"/>
          </w:rPr>
          <w:t>附件</w:t>
        </w:r>
        <w:r w:rsidRPr="00123108">
          <w:rPr>
            <w:rStyle w:val="afff2"/>
            <w:rFonts w:ascii="宋体" w:hAnsi="宋体" w:cs="宋体"/>
            <w:noProof/>
            <w:sz w:val="24"/>
          </w:rPr>
          <w:t xml:space="preserve">3.2.3  </w:t>
        </w:r>
        <w:r w:rsidRPr="00123108">
          <w:rPr>
            <w:rStyle w:val="afff2"/>
            <w:rFonts w:ascii="宋体" w:hAnsi="宋体" w:cs="宋体" w:hint="eastAsia"/>
            <w:noProof/>
            <w:sz w:val="24"/>
          </w:rPr>
          <w:t>事故后果模拟分析</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_Toc190935931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277</w:t>
        </w:r>
        <w:r w:rsidRPr="00123108">
          <w:rPr>
            <w:rFonts w:ascii="宋体" w:hAnsi="宋体"/>
            <w:noProof/>
            <w:webHidden/>
            <w:sz w:val="24"/>
          </w:rPr>
          <w:fldChar w:fldCharType="end"/>
        </w:r>
      </w:hyperlink>
    </w:p>
    <w:p w:rsidR="00176D77" w:rsidRPr="00123108" w:rsidRDefault="00176D77" w:rsidP="00176D77">
      <w:pPr>
        <w:pStyle w:val="10"/>
        <w:tabs>
          <w:tab w:val="right" w:leader="dot" w:pos="9175"/>
        </w:tabs>
        <w:spacing w:before="0" w:after="0" w:line="360" w:lineRule="auto"/>
        <w:rPr>
          <w:rFonts w:ascii="宋体" w:hAnsi="宋体"/>
          <w:b w:val="0"/>
          <w:bCs w:val="0"/>
          <w:caps w:val="0"/>
          <w:noProof/>
          <w:sz w:val="24"/>
          <w:szCs w:val="24"/>
          <w:lang w:val="en-US" w:eastAsia="zh-CN"/>
        </w:rPr>
      </w:pPr>
      <w:hyperlink w:anchor="_Toc190935932" w:history="1">
        <w:r w:rsidRPr="00123108">
          <w:rPr>
            <w:rStyle w:val="afff2"/>
            <w:rFonts w:ascii="宋体" w:hAnsi="宋体" w:cs="宋体" w:hint="eastAsia"/>
            <w:b w:val="0"/>
            <w:noProof/>
            <w:sz w:val="24"/>
            <w:szCs w:val="24"/>
            <w:lang w:val="zh-CN"/>
          </w:rPr>
          <w:t>附件</w:t>
        </w:r>
        <w:r w:rsidRPr="00123108">
          <w:rPr>
            <w:rStyle w:val="afff2"/>
            <w:rFonts w:ascii="宋体" w:hAnsi="宋体" w:cs="宋体"/>
            <w:b w:val="0"/>
            <w:noProof/>
            <w:sz w:val="24"/>
            <w:szCs w:val="24"/>
          </w:rPr>
          <w:t>4</w:t>
        </w:r>
        <w:r w:rsidRPr="00123108">
          <w:rPr>
            <w:rStyle w:val="afff2"/>
            <w:rFonts w:ascii="宋体" w:hAnsi="宋体" w:cs="宋体"/>
            <w:b w:val="0"/>
            <w:noProof/>
            <w:sz w:val="24"/>
            <w:szCs w:val="24"/>
            <w:lang w:val="zh-CN"/>
          </w:rPr>
          <w:t xml:space="preserve">  </w:t>
        </w:r>
        <w:r w:rsidRPr="00123108">
          <w:rPr>
            <w:rStyle w:val="afff2"/>
            <w:rFonts w:ascii="宋体" w:hAnsi="宋体" w:cs="宋体" w:hint="eastAsia"/>
            <w:b w:val="0"/>
            <w:noProof/>
            <w:kern w:val="44"/>
            <w:sz w:val="24"/>
            <w:szCs w:val="24"/>
          </w:rPr>
          <w:t>平面布置图等</w:t>
        </w:r>
        <w:r w:rsidRPr="00123108">
          <w:rPr>
            <w:rStyle w:val="afff2"/>
            <w:rFonts w:ascii="宋体" w:hAnsi="宋体" w:cs="宋体" w:hint="eastAsia"/>
            <w:b w:val="0"/>
            <w:noProof/>
            <w:kern w:val="44"/>
            <w:sz w:val="24"/>
            <w:szCs w:val="24"/>
            <w:lang w:val="zh-CN"/>
          </w:rPr>
          <w:t>附图</w:t>
        </w:r>
        <w:r w:rsidRPr="00123108">
          <w:rPr>
            <w:rStyle w:val="afff2"/>
            <w:rFonts w:ascii="宋体" w:hAnsi="宋体" w:cs="宋体" w:hint="eastAsia"/>
            <w:b w:val="0"/>
            <w:noProof/>
            <w:kern w:val="44"/>
            <w:sz w:val="24"/>
            <w:szCs w:val="24"/>
          </w:rPr>
          <w:t>及安全评价过程制作的图表</w:t>
        </w:r>
        <w:r w:rsidRPr="00123108">
          <w:rPr>
            <w:rFonts w:ascii="宋体" w:hAnsi="宋体"/>
            <w:b w:val="0"/>
            <w:noProof/>
            <w:webHidden/>
            <w:sz w:val="24"/>
            <w:szCs w:val="24"/>
          </w:rPr>
          <w:tab/>
        </w:r>
        <w:r w:rsidRPr="00123108">
          <w:rPr>
            <w:rFonts w:ascii="宋体" w:hAnsi="宋体"/>
            <w:b w:val="0"/>
            <w:noProof/>
            <w:webHidden/>
            <w:sz w:val="24"/>
            <w:szCs w:val="24"/>
          </w:rPr>
          <w:fldChar w:fldCharType="begin"/>
        </w:r>
        <w:r w:rsidRPr="00123108">
          <w:rPr>
            <w:rFonts w:ascii="宋体" w:hAnsi="宋体"/>
            <w:b w:val="0"/>
            <w:noProof/>
            <w:webHidden/>
            <w:sz w:val="24"/>
            <w:szCs w:val="24"/>
          </w:rPr>
          <w:instrText xml:space="preserve"> PAGEREF _Toc190935932 \h </w:instrText>
        </w:r>
        <w:r w:rsidRPr="00123108">
          <w:rPr>
            <w:rFonts w:ascii="宋体" w:hAnsi="宋体"/>
            <w:b w:val="0"/>
            <w:noProof/>
            <w:webHidden/>
            <w:sz w:val="24"/>
            <w:szCs w:val="24"/>
          </w:rPr>
        </w:r>
        <w:r w:rsidRPr="00123108">
          <w:rPr>
            <w:rFonts w:ascii="宋体" w:hAnsi="宋体"/>
            <w:b w:val="0"/>
            <w:noProof/>
            <w:webHidden/>
            <w:sz w:val="24"/>
            <w:szCs w:val="24"/>
          </w:rPr>
          <w:fldChar w:fldCharType="separate"/>
        </w:r>
        <w:r w:rsidR="005711FB">
          <w:rPr>
            <w:rFonts w:ascii="宋体" w:hAnsi="宋体"/>
            <w:b w:val="0"/>
            <w:noProof/>
            <w:webHidden/>
            <w:sz w:val="24"/>
            <w:szCs w:val="24"/>
          </w:rPr>
          <w:t>278</w:t>
        </w:r>
        <w:r w:rsidRPr="00123108">
          <w:rPr>
            <w:rFonts w:ascii="宋体" w:hAnsi="宋体"/>
            <w:b w:val="0"/>
            <w:noProof/>
            <w:webHidden/>
            <w:sz w:val="24"/>
            <w:szCs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933" w:history="1">
        <w:r w:rsidRPr="00123108">
          <w:rPr>
            <w:rStyle w:val="afff2"/>
            <w:rFonts w:ascii="宋体" w:hAnsi="宋体" w:cs="宋体" w:hint="eastAsia"/>
            <w:noProof/>
            <w:sz w:val="24"/>
          </w:rPr>
          <w:t>附件</w:t>
        </w:r>
        <w:r w:rsidRPr="00123108">
          <w:rPr>
            <w:rStyle w:val="afff2"/>
            <w:rFonts w:ascii="宋体" w:hAnsi="宋体" w:cs="宋体"/>
            <w:noProof/>
            <w:sz w:val="24"/>
          </w:rPr>
          <w:t>4.1</w:t>
        </w:r>
        <w:r w:rsidRPr="00123108">
          <w:rPr>
            <w:rStyle w:val="afff2"/>
            <w:rFonts w:ascii="宋体" w:hAnsi="宋体" w:cs="宋体" w:hint="eastAsia"/>
            <w:noProof/>
            <w:sz w:val="24"/>
          </w:rPr>
          <w:t>物料的理化及危险特性表</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_Toc190935933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278</w:t>
        </w:r>
        <w:r w:rsidRPr="00123108">
          <w:rPr>
            <w:rFonts w:ascii="宋体" w:hAnsi="宋体"/>
            <w:noProof/>
            <w:webHidden/>
            <w:sz w:val="24"/>
          </w:rPr>
          <w:fldChar w:fldCharType="end"/>
        </w:r>
      </w:hyperlink>
    </w:p>
    <w:p w:rsidR="00176D77" w:rsidRPr="00123108" w:rsidRDefault="00176D77" w:rsidP="00176D77">
      <w:pPr>
        <w:pStyle w:val="24"/>
        <w:tabs>
          <w:tab w:val="right" w:leader="dot" w:pos="9175"/>
        </w:tabs>
        <w:spacing w:line="360" w:lineRule="auto"/>
        <w:rPr>
          <w:rFonts w:ascii="宋体" w:hAnsi="宋体"/>
          <w:noProof/>
          <w:sz w:val="24"/>
        </w:rPr>
      </w:pPr>
      <w:hyperlink w:anchor="_Toc190935934" w:history="1">
        <w:r w:rsidRPr="00123108">
          <w:rPr>
            <w:rStyle w:val="afff2"/>
            <w:rFonts w:ascii="宋体" w:hAnsi="宋体" w:cs="宋体" w:hint="eastAsia"/>
            <w:noProof/>
            <w:sz w:val="24"/>
          </w:rPr>
          <w:t>附件</w:t>
        </w:r>
        <w:r w:rsidRPr="00123108">
          <w:rPr>
            <w:rStyle w:val="afff2"/>
            <w:rFonts w:ascii="宋体" w:hAnsi="宋体" w:cs="宋体"/>
            <w:noProof/>
            <w:sz w:val="24"/>
          </w:rPr>
          <w:t>4.2</w:t>
        </w:r>
        <w:r w:rsidRPr="00123108">
          <w:rPr>
            <w:rStyle w:val="afff2"/>
            <w:rFonts w:ascii="宋体" w:hAnsi="宋体" w:cs="宋体" w:hint="eastAsia"/>
            <w:noProof/>
            <w:sz w:val="24"/>
          </w:rPr>
          <w:t>被评价单位提供的原始资料目录</w:t>
        </w:r>
        <w:r w:rsidRPr="00123108">
          <w:rPr>
            <w:rFonts w:ascii="宋体" w:hAnsi="宋体"/>
            <w:noProof/>
            <w:webHidden/>
            <w:sz w:val="24"/>
          </w:rPr>
          <w:tab/>
        </w:r>
        <w:r w:rsidRPr="00123108">
          <w:rPr>
            <w:rFonts w:ascii="宋体" w:hAnsi="宋体"/>
            <w:noProof/>
            <w:webHidden/>
            <w:sz w:val="24"/>
          </w:rPr>
          <w:fldChar w:fldCharType="begin"/>
        </w:r>
        <w:r w:rsidRPr="00123108">
          <w:rPr>
            <w:rFonts w:ascii="宋体" w:hAnsi="宋体"/>
            <w:noProof/>
            <w:webHidden/>
            <w:sz w:val="24"/>
          </w:rPr>
          <w:instrText xml:space="preserve"> PAGEREF _Toc190935934 \h </w:instrText>
        </w:r>
        <w:r w:rsidRPr="00123108">
          <w:rPr>
            <w:rFonts w:ascii="宋体" w:hAnsi="宋体"/>
            <w:noProof/>
            <w:webHidden/>
            <w:sz w:val="24"/>
          </w:rPr>
        </w:r>
        <w:r w:rsidRPr="00123108">
          <w:rPr>
            <w:rFonts w:ascii="宋体" w:hAnsi="宋体"/>
            <w:noProof/>
            <w:webHidden/>
            <w:sz w:val="24"/>
          </w:rPr>
          <w:fldChar w:fldCharType="separate"/>
        </w:r>
        <w:r w:rsidR="005711FB">
          <w:rPr>
            <w:rFonts w:ascii="宋体" w:hAnsi="宋体"/>
            <w:noProof/>
            <w:webHidden/>
            <w:sz w:val="24"/>
          </w:rPr>
          <w:t>289</w:t>
        </w:r>
        <w:r w:rsidRPr="00123108">
          <w:rPr>
            <w:rFonts w:ascii="宋体" w:hAnsi="宋体"/>
            <w:noProof/>
            <w:webHidden/>
            <w:sz w:val="24"/>
          </w:rPr>
          <w:fldChar w:fldCharType="end"/>
        </w:r>
      </w:hyperlink>
    </w:p>
    <w:p w:rsidR="004F34D9" w:rsidRPr="00123108" w:rsidRDefault="004F34D9" w:rsidP="00176D77">
      <w:pPr>
        <w:tabs>
          <w:tab w:val="right" w:leader="dot" w:pos="9175"/>
        </w:tabs>
        <w:snapToGrid w:val="0"/>
        <w:spacing w:line="360" w:lineRule="auto"/>
        <w:ind w:leftChars="200" w:left="420"/>
        <w:jc w:val="center"/>
        <w:rPr>
          <w:rFonts w:ascii="宋体" w:hAnsi="宋体" w:cs="宋体" w:hint="eastAsia"/>
          <w:sz w:val="28"/>
          <w:szCs w:val="28"/>
        </w:rPr>
      </w:pPr>
      <w:r w:rsidRPr="00123108">
        <w:rPr>
          <w:rFonts w:ascii="宋体" w:hAnsi="宋体" w:cs="宋体" w:hint="eastAsia"/>
          <w:bCs/>
          <w:kern w:val="0"/>
          <w:sz w:val="24"/>
        </w:rPr>
        <w:fldChar w:fldCharType="end"/>
      </w:r>
    </w:p>
    <w:p w:rsidR="004F34D9" w:rsidRPr="00123108" w:rsidRDefault="004F34D9">
      <w:pPr>
        <w:rPr>
          <w:rFonts w:ascii="宋体" w:hAnsi="宋体" w:cs="宋体" w:hint="eastAsia"/>
          <w:sz w:val="28"/>
        </w:rPr>
      </w:pPr>
    </w:p>
    <w:p w:rsidR="004F34D9" w:rsidRPr="00123108" w:rsidRDefault="004F34D9">
      <w:pPr>
        <w:spacing w:line="360" w:lineRule="auto"/>
        <w:ind w:leftChars="200" w:left="420"/>
        <w:jc w:val="left"/>
        <w:rPr>
          <w:rFonts w:ascii="宋体" w:hAnsi="宋体" w:cs="宋体" w:hint="eastAsia"/>
          <w:sz w:val="28"/>
          <w:szCs w:val="28"/>
        </w:rPr>
        <w:sectPr w:rsidR="004F34D9" w:rsidRPr="00123108">
          <w:pgSz w:w="11907" w:h="16840"/>
          <w:pgMar w:top="1418" w:right="1134" w:bottom="1134" w:left="1588" w:header="851" w:footer="992" w:gutter="0"/>
          <w:paperSrc w:first="7" w:other="7"/>
          <w:pgNumType w:fmt="upperRoman"/>
          <w:cols w:space="720"/>
          <w:docGrid w:linePitch="437" w:charSpace="4301"/>
        </w:sectPr>
      </w:pPr>
    </w:p>
    <w:p w:rsidR="004F34D9" w:rsidRPr="00123108" w:rsidRDefault="004F34D9" w:rsidP="00561580">
      <w:pPr>
        <w:pStyle w:val="1"/>
        <w:spacing w:beforeLines="0" w:before="0" w:afterLines="0" w:after="0" w:line="500" w:lineRule="exact"/>
        <w:rPr>
          <w:rFonts w:ascii="宋体" w:eastAsia="宋体" w:cs="宋体" w:hint="eastAsia"/>
        </w:rPr>
      </w:pPr>
      <w:bookmarkStart w:id="117" w:name="_Toc55361549"/>
      <w:bookmarkStart w:id="118" w:name="_Toc10747"/>
      <w:bookmarkStart w:id="119" w:name="_Toc6427"/>
      <w:bookmarkStart w:id="120" w:name="_Toc28134"/>
      <w:bookmarkStart w:id="121" w:name="_Toc41286691"/>
      <w:bookmarkStart w:id="122" w:name="_Toc55021637"/>
      <w:bookmarkStart w:id="123" w:name="_Toc40980746"/>
      <w:bookmarkStart w:id="124" w:name="_Toc40980669"/>
      <w:bookmarkStart w:id="125" w:name="_Toc54687786"/>
      <w:bookmarkStart w:id="126" w:name="_Toc20099"/>
      <w:bookmarkStart w:id="127" w:name="_Toc54617556"/>
      <w:bookmarkStart w:id="128" w:name="_Toc54617105"/>
      <w:bookmarkStart w:id="129" w:name="_Toc40980823"/>
      <w:bookmarkStart w:id="130" w:name="_Toc252533190"/>
      <w:bookmarkStart w:id="131" w:name="_Toc97531121"/>
      <w:bookmarkStart w:id="132" w:name="_Toc16958"/>
      <w:bookmarkStart w:id="133" w:name="_Toc98815404"/>
      <w:bookmarkStart w:id="134" w:name="_Toc44890638"/>
      <w:bookmarkStart w:id="135" w:name="_Toc55366274"/>
      <w:bookmarkStart w:id="136" w:name="_Toc41286559"/>
      <w:bookmarkStart w:id="137" w:name="_Toc54618774"/>
      <w:bookmarkStart w:id="138" w:name="_Toc13757"/>
      <w:bookmarkStart w:id="139" w:name="_Toc54616947"/>
      <w:bookmarkStart w:id="140" w:name="_Toc219518681"/>
      <w:bookmarkStart w:id="141" w:name="_Toc54617196"/>
      <w:bookmarkStart w:id="142" w:name="_Toc54687820"/>
      <w:bookmarkStart w:id="143" w:name="_Toc3808978"/>
      <w:bookmarkStart w:id="144" w:name="_Toc55724650"/>
      <w:bookmarkStart w:id="145" w:name="_Toc190935718"/>
      <w:r w:rsidRPr="00123108">
        <w:rPr>
          <w:rFonts w:ascii="宋体" w:eastAsia="宋体" w:cs="宋体" w:hint="eastAsia"/>
        </w:rPr>
        <w:lastRenderedPageBreak/>
        <w:t>1  编制说明</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4F34D9" w:rsidRPr="00123108" w:rsidRDefault="004F34D9" w:rsidP="00561580">
      <w:pPr>
        <w:pStyle w:val="2"/>
        <w:spacing w:line="500" w:lineRule="exact"/>
        <w:jc w:val="both"/>
        <w:rPr>
          <w:rFonts w:ascii="宋体" w:eastAsia="宋体" w:cs="宋体" w:hint="eastAsia"/>
          <w:sz w:val="28"/>
          <w:szCs w:val="28"/>
        </w:rPr>
      </w:pPr>
      <w:bookmarkStart w:id="146" w:name="_Toc54617106"/>
      <w:bookmarkStart w:id="147" w:name="_Toc22362"/>
      <w:bookmarkStart w:id="148" w:name="_Toc23199"/>
      <w:bookmarkStart w:id="149" w:name="_Toc219518682"/>
      <w:bookmarkStart w:id="150" w:name="_Toc41286560"/>
      <w:bookmarkStart w:id="151" w:name="_Toc54617197"/>
      <w:bookmarkStart w:id="152" w:name="_Toc54616948"/>
      <w:bookmarkStart w:id="153" w:name="_Toc252533191"/>
      <w:bookmarkStart w:id="154" w:name="_Toc40980670"/>
      <w:bookmarkStart w:id="155" w:name="_Toc14907"/>
      <w:bookmarkStart w:id="156" w:name="_Toc41286692"/>
      <w:bookmarkStart w:id="157" w:name="_Toc1205"/>
      <w:bookmarkStart w:id="158" w:name="_Toc24146"/>
      <w:bookmarkStart w:id="159" w:name="_Toc54687787"/>
      <w:bookmarkStart w:id="160" w:name="_Toc27333"/>
      <w:bookmarkStart w:id="161" w:name="_Toc97531122"/>
      <w:bookmarkStart w:id="162" w:name="_Toc3808979"/>
      <w:bookmarkStart w:id="163" w:name="_Toc40980824"/>
      <w:bookmarkStart w:id="164" w:name="_Toc55021638"/>
      <w:bookmarkStart w:id="165" w:name="_Toc55361550"/>
      <w:bookmarkStart w:id="166" w:name="_Toc54687821"/>
      <w:bookmarkStart w:id="167" w:name="_Toc54618775"/>
      <w:bookmarkStart w:id="168" w:name="_Toc44890639"/>
      <w:bookmarkStart w:id="169" w:name="_Toc55724651"/>
      <w:bookmarkStart w:id="170" w:name="_Toc98815405"/>
      <w:bookmarkStart w:id="171" w:name="_Toc40980747"/>
      <w:bookmarkStart w:id="172" w:name="_Toc54617557"/>
      <w:bookmarkStart w:id="173" w:name="_Toc55366275"/>
      <w:bookmarkStart w:id="174" w:name="_Toc190935719"/>
      <w:r w:rsidRPr="00123108">
        <w:rPr>
          <w:rFonts w:ascii="宋体" w:eastAsia="宋体" w:cs="宋体" w:hint="eastAsia"/>
          <w:sz w:val="28"/>
          <w:szCs w:val="28"/>
        </w:rPr>
        <w:t>1.1  安全现状评价目的</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4F34D9" w:rsidRPr="00123108" w:rsidRDefault="004F34D9" w:rsidP="00561580">
      <w:pPr>
        <w:numPr>
          <w:ilvl w:val="0"/>
          <w:numId w:val="31"/>
        </w:numPr>
        <w:tabs>
          <w:tab w:val="clear" w:pos="560"/>
          <w:tab w:val="left" w:pos="0"/>
          <w:tab w:val="left" w:pos="882"/>
        </w:tabs>
        <w:spacing w:line="500" w:lineRule="exact"/>
        <w:ind w:left="0" w:firstLine="540"/>
        <w:rPr>
          <w:rFonts w:ascii="宋体" w:hAnsi="宋体" w:cs="宋体" w:hint="eastAsia"/>
          <w:sz w:val="28"/>
        </w:rPr>
      </w:pPr>
      <w:r w:rsidRPr="00123108">
        <w:rPr>
          <w:rFonts w:ascii="宋体" w:hAnsi="宋体" w:cs="宋体" w:hint="eastAsia"/>
          <w:sz w:val="28"/>
        </w:rPr>
        <w:t>找出企业正常生产活动时存在的主要危险、有害因素及其产生危险、有害后果的主要条件。</w:t>
      </w:r>
    </w:p>
    <w:p w:rsidR="004F34D9" w:rsidRPr="00123108" w:rsidRDefault="004F34D9" w:rsidP="00561580">
      <w:pPr>
        <w:numPr>
          <w:ilvl w:val="0"/>
          <w:numId w:val="31"/>
        </w:numPr>
        <w:tabs>
          <w:tab w:val="clear" w:pos="560"/>
          <w:tab w:val="left" w:pos="0"/>
        </w:tabs>
        <w:spacing w:line="500" w:lineRule="exact"/>
        <w:ind w:left="0" w:firstLine="540"/>
        <w:rPr>
          <w:rFonts w:ascii="宋体" w:hAnsi="宋体" w:cs="宋体" w:hint="eastAsia"/>
          <w:sz w:val="28"/>
        </w:rPr>
      </w:pPr>
      <w:r w:rsidRPr="00123108">
        <w:rPr>
          <w:rFonts w:ascii="宋体" w:hAnsi="宋体" w:cs="宋体" w:hint="eastAsia"/>
          <w:sz w:val="28"/>
        </w:rPr>
        <w:t>对企业正常生产活动过程中固有危险、有害因素进行安全评价和科学分析。</w:t>
      </w:r>
    </w:p>
    <w:p w:rsidR="004F34D9" w:rsidRPr="00123108" w:rsidRDefault="004F34D9" w:rsidP="00561580">
      <w:pPr>
        <w:numPr>
          <w:ilvl w:val="0"/>
          <w:numId w:val="31"/>
        </w:numPr>
        <w:tabs>
          <w:tab w:val="clear" w:pos="560"/>
          <w:tab w:val="left" w:pos="0"/>
        </w:tabs>
        <w:spacing w:line="500" w:lineRule="exact"/>
        <w:ind w:left="0" w:firstLine="540"/>
        <w:rPr>
          <w:rFonts w:ascii="宋体" w:hAnsi="宋体" w:cs="宋体" w:hint="eastAsia"/>
          <w:sz w:val="28"/>
        </w:rPr>
      </w:pPr>
      <w:r w:rsidRPr="00123108">
        <w:rPr>
          <w:rFonts w:ascii="宋体" w:hAnsi="宋体" w:cs="宋体" w:hint="eastAsia"/>
          <w:sz w:val="28"/>
        </w:rPr>
        <w:t>提出消除、预防或降低企业正常生产活动时的危险性程度，提高企业正常生产活动时的安全卫生对策措施，为企业正常生产活动时以及日常管理提供依据，并为政府应急管理部门和上级主管部门实行安全监察提供依据，以利于提高企业正常生产活动时的本质安全程度。</w:t>
      </w:r>
    </w:p>
    <w:p w:rsidR="004F34D9" w:rsidRPr="00123108" w:rsidRDefault="004F34D9" w:rsidP="00E36E64">
      <w:pPr>
        <w:pStyle w:val="2"/>
        <w:spacing w:line="500" w:lineRule="exact"/>
        <w:jc w:val="both"/>
        <w:rPr>
          <w:rFonts w:ascii="宋体" w:eastAsia="宋体" w:cs="宋体" w:hint="eastAsia"/>
          <w:sz w:val="28"/>
          <w:szCs w:val="28"/>
        </w:rPr>
      </w:pPr>
      <w:bookmarkStart w:id="175" w:name="_Toc54687788"/>
      <w:bookmarkStart w:id="176" w:name="_Toc55021639"/>
      <w:bookmarkStart w:id="177" w:name="_Toc98815406"/>
      <w:bookmarkStart w:id="178" w:name="_Toc55724652"/>
      <w:bookmarkStart w:id="179" w:name="_Toc41286561"/>
      <w:bookmarkStart w:id="180" w:name="_Toc40980748"/>
      <w:bookmarkStart w:id="181" w:name="_Toc3808980"/>
      <w:bookmarkStart w:id="182" w:name="_Toc55366276"/>
      <w:bookmarkStart w:id="183" w:name="_Toc219518683"/>
      <w:bookmarkStart w:id="184" w:name="_Toc55361551"/>
      <w:bookmarkStart w:id="185" w:name="_Toc54616949"/>
      <w:bookmarkStart w:id="186" w:name="_Toc8153"/>
      <w:bookmarkStart w:id="187" w:name="_Toc29948"/>
      <w:bookmarkStart w:id="188" w:name="_Toc97531123"/>
      <w:bookmarkStart w:id="189" w:name="_Toc54617198"/>
      <w:bookmarkStart w:id="190" w:name="_Toc40980825"/>
      <w:bookmarkStart w:id="191" w:name="_Toc252533192"/>
      <w:bookmarkStart w:id="192" w:name="_Toc2961"/>
      <w:bookmarkStart w:id="193" w:name="_Toc44890640"/>
      <w:bookmarkStart w:id="194" w:name="_Toc9089"/>
      <w:bookmarkStart w:id="195" w:name="_Toc54617558"/>
      <w:bookmarkStart w:id="196" w:name="_Toc19970"/>
      <w:bookmarkStart w:id="197" w:name="_Toc54617107"/>
      <w:bookmarkStart w:id="198" w:name="_Toc12806"/>
      <w:bookmarkStart w:id="199" w:name="_Toc40980671"/>
      <w:bookmarkStart w:id="200" w:name="_Toc41286693"/>
      <w:bookmarkStart w:id="201" w:name="_Toc54618776"/>
      <w:bookmarkStart w:id="202" w:name="_Toc54687822"/>
      <w:bookmarkStart w:id="203" w:name="_Toc190935720"/>
      <w:r w:rsidRPr="00123108">
        <w:rPr>
          <w:rFonts w:ascii="宋体" w:eastAsia="宋体" w:cs="宋体" w:hint="eastAsia"/>
          <w:sz w:val="28"/>
          <w:szCs w:val="28"/>
        </w:rPr>
        <w:t>1.2  安全现状评价依据</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4F34D9" w:rsidRPr="00123108" w:rsidRDefault="004F34D9" w:rsidP="00561580">
      <w:pPr>
        <w:pStyle w:val="3"/>
        <w:spacing w:line="500" w:lineRule="exact"/>
        <w:rPr>
          <w:rFonts w:ascii="宋体" w:eastAsia="宋体" w:hAnsi="宋体" w:cs="宋体" w:hint="eastAsia"/>
          <w:sz w:val="28"/>
          <w:szCs w:val="28"/>
        </w:rPr>
      </w:pPr>
      <w:bookmarkStart w:id="204" w:name="_Toc40980826"/>
      <w:bookmarkStart w:id="205" w:name="_Toc40980749"/>
      <w:bookmarkStart w:id="206" w:name="_Toc40980672"/>
      <w:bookmarkStart w:id="207" w:name="_Toc31258"/>
      <w:bookmarkStart w:id="208" w:name="_Toc97531124"/>
      <w:bookmarkStart w:id="209" w:name="_Toc54616950"/>
      <w:bookmarkStart w:id="210" w:name="_Toc41286694"/>
      <w:bookmarkStart w:id="211" w:name="_Toc54687823"/>
      <w:bookmarkStart w:id="212" w:name="_Toc7720"/>
      <w:bookmarkStart w:id="213" w:name="_Toc959"/>
      <w:bookmarkStart w:id="214" w:name="_Toc55724653"/>
      <w:bookmarkStart w:id="215" w:name="_Toc15433"/>
      <w:bookmarkStart w:id="216" w:name="_Toc98815407"/>
      <w:bookmarkStart w:id="217" w:name="_Toc55366277"/>
      <w:bookmarkStart w:id="218" w:name="_Toc54617559"/>
      <w:bookmarkStart w:id="219" w:name="_Toc9607"/>
      <w:bookmarkStart w:id="220" w:name="_Toc252533193"/>
      <w:bookmarkStart w:id="221" w:name="_Toc219518684"/>
      <w:bookmarkStart w:id="222" w:name="_Toc54617199"/>
      <w:bookmarkStart w:id="223" w:name="_Toc54618777"/>
      <w:bookmarkStart w:id="224" w:name="_Toc3808981"/>
      <w:bookmarkStart w:id="225" w:name="_Toc54617108"/>
      <w:bookmarkStart w:id="226" w:name="_Toc41286562"/>
      <w:bookmarkStart w:id="227" w:name="_Toc44890641"/>
      <w:bookmarkStart w:id="228" w:name="_Toc3250"/>
      <w:bookmarkStart w:id="229" w:name="_Toc55021640"/>
      <w:bookmarkStart w:id="230" w:name="_Toc55361552"/>
      <w:bookmarkStart w:id="231" w:name="_Toc190935721"/>
      <w:r w:rsidRPr="00123108">
        <w:rPr>
          <w:rFonts w:ascii="宋体" w:eastAsia="宋体" w:hAnsi="宋体" w:cs="宋体" w:hint="eastAsia"/>
          <w:sz w:val="28"/>
          <w:szCs w:val="28"/>
        </w:rPr>
        <w:t>1.2.1</w:t>
      </w:r>
      <w:bookmarkEnd w:id="204"/>
      <w:bookmarkEnd w:id="205"/>
      <w:bookmarkEnd w:id="206"/>
      <w:r w:rsidRPr="00123108">
        <w:rPr>
          <w:rFonts w:ascii="宋体" w:eastAsia="宋体" w:hAnsi="宋体" w:cs="宋体" w:hint="eastAsia"/>
          <w:sz w:val="28"/>
          <w:szCs w:val="28"/>
        </w:rPr>
        <w:t xml:space="preserve">  主要法律、法规和规范性文件</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bookmarkStart w:id="232" w:name="_Toc40980750"/>
      <w:bookmarkStart w:id="233" w:name="_Toc40980673"/>
      <w:bookmarkStart w:id="234" w:name="_Toc40980827"/>
      <w:bookmarkStart w:id="235" w:name="_Toc29349"/>
      <w:bookmarkStart w:id="236" w:name="_Toc55366278"/>
      <w:bookmarkStart w:id="237" w:name="_Toc54617200"/>
      <w:bookmarkStart w:id="238" w:name="_Toc55021641"/>
      <w:bookmarkStart w:id="239" w:name="_Toc252533194"/>
      <w:bookmarkStart w:id="240" w:name="_Toc55724654"/>
      <w:bookmarkStart w:id="241" w:name="_Toc44890642"/>
      <w:bookmarkStart w:id="242" w:name="_Toc219518685"/>
      <w:bookmarkStart w:id="243" w:name="_Toc54617109"/>
      <w:bookmarkStart w:id="244" w:name="_Toc97531125"/>
      <w:bookmarkStart w:id="245" w:name="_Toc5558"/>
      <w:bookmarkStart w:id="246" w:name="_Toc6567"/>
      <w:bookmarkStart w:id="247" w:name="_Toc54618778"/>
      <w:bookmarkStart w:id="248" w:name="_Toc3808982"/>
      <w:bookmarkStart w:id="249" w:name="_Toc54687824"/>
      <w:bookmarkStart w:id="250" w:name="_Toc41286563"/>
      <w:bookmarkStart w:id="251" w:name="_Toc54617560"/>
      <w:bookmarkStart w:id="252" w:name="_Toc98815408"/>
      <w:bookmarkStart w:id="253" w:name="_Toc55361553"/>
      <w:bookmarkStart w:id="254" w:name="_Toc41286695"/>
      <w:bookmarkStart w:id="255" w:name="_Toc18302"/>
      <w:bookmarkStart w:id="256" w:name="_Toc30842"/>
      <w:bookmarkStart w:id="257" w:name="_Toc7445"/>
      <w:bookmarkStart w:id="258" w:name="_Toc54616951"/>
      <w:r w:rsidRPr="00123108">
        <w:rPr>
          <w:rFonts w:ascii="宋体" w:hAnsi="宋体" w:hint="eastAsia"/>
          <w:sz w:val="28"/>
          <w:szCs w:val="28"/>
        </w:rPr>
        <w:t>《中华人民共和国安全生产法（2021年修订本）》中华人民共和国主席令[2014]第13号（主席令第88号修订）</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《中华人民共和国消防法（2021年修订本）》中华人民共和国主席令[2008]第6号（主席令第29号、81号修订）</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《中华人民共和国劳动法》中华人民共和国主席令[1994]第28号（2018年修订）</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《中华人民共和国突发事件应对法》中华人民共和国主席令[2007]第69号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《中华人民共和国特种设备安全法》中华人民共和国主席令[2013]第4号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《危险化学品安全管理条例》中华人民共和国国务院令第344号（591号、645号令修改）</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《特种设备安全监察条例》中华人民共和国国务院令第549号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《工伤保险条例》中华人民共和国国务院令第586号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《生产安全事故应急条例》中华人民共和国国务院令第708号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《安全生产许可证条例》中华人民共和国国务院令第397号</w:t>
      </w:r>
      <w:r w:rsidRPr="00123108">
        <w:rPr>
          <w:rFonts w:ascii="宋体" w:hAnsi="宋体" w:hint="eastAsia"/>
          <w:sz w:val="28"/>
          <w:szCs w:val="28"/>
        </w:rPr>
        <w:lastRenderedPageBreak/>
        <w:t>（653号令修改）</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《易制毒化学品管理条例》中华人民共和国国务院令第445号（653号令、666号令、703号令修改、国办函[2014]40号、国办函[2017]120号、国办函[2021]58号补充）</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《中共中央办公厅 国务院办公厅印发&lt;关于全面加强危险化学品安全生产工作的意见&gt;的通知》厅字〔2020〕3号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《国务院安全生产委员会关于印发&lt;全国安全生产专项整治三年行动计划&gt;的通知》安委〔2020〕3号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《危险化学品建设项目安全监督管理办法》原国家安全生产监督管理总局令第45号（79号令修改）</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《危险化学品重大危险源监督管理暂行规定》原国家安全生产监督管理总局令第40号（79号令修改）</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《安全生产培训管理办法》原国家安全生产监督管理总局令第44号（63号令、80号令修改）</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《生产经营单位安全培训规定》原国家安全生产监督管理总局令第3号（63号令、80号令修改）</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《国家安全监管总局关于修改和废止部分规章及规范性文件的决定》原国家安全生产监督管理总局令第89号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《生产安全事故应急预案管理办法（2019修正）》原国家安全生产监督管理总局令第88号（应急管理部2号令修改）</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《危险化学品目录》（2015版）原国家安全生产监督管理总局等部局公告2015年第5号（2022年第8号修改）</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《应急管理部关于印发危险化学品生产储存企业安全风险评估诊断分级指南（试行）的通知》应急〔2018〕19号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《应急管理部关于印发&lt;化工园区安全风险排查治理导则（试行）&gt;</w:t>
      </w:r>
      <w:r w:rsidR="00DE1BAC" w:rsidRPr="00123108">
        <w:rPr>
          <w:rFonts w:ascii="宋体" w:hAnsi="宋体" w:hint="eastAsia"/>
          <w:sz w:val="28"/>
          <w:szCs w:val="28"/>
        </w:rPr>
        <w:t>》应急[2023]123号</w:t>
      </w:r>
      <w:r w:rsidRPr="00123108">
        <w:rPr>
          <w:rFonts w:ascii="宋体" w:hAnsi="宋体" w:hint="eastAsia"/>
          <w:sz w:val="28"/>
          <w:szCs w:val="28"/>
        </w:rPr>
        <w:t>和</w:t>
      </w:r>
      <w:r w:rsidR="00DE1BAC" w:rsidRPr="00123108">
        <w:rPr>
          <w:rFonts w:ascii="宋体" w:hAnsi="宋体" w:hint="eastAsia"/>
          <w:sz w:val="28"/>
          <w:szCs w:val="28"/>
        </w:rPr>
        <w:t>《危险化学品企业安全风险隐患排查治理导则》</w:t>
      </w:r>
      <w:r w:rsidRPr="00123108">
        <w:rPr>
          <w:rFonts w:ascii="宋体" w:hAnsi="宋体" w:hint="eastAsia"/>
          <w:sz w:val="28"/>
          <w:szCs w:val="28"/>
        </w:rPr>
        <w:t>应急〔2019〕78号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《关于印发《危险化学品生产建设项目安全风险防控指南（试</w:t>
      </w:r>
      <w:r w:rsidRPr="00123108">
        <w:rPr>
          <w:rFonts w:ascii="宋体" w:hAnsi="宋体" w:hint="eastAsia"/>
          <w:sz w:val="28"/>
          <w:szCs w:val="28"/>
        </w:rPr>
        <w:lastRenderedPageBreak/>
        <w:t>行）》的通知》应急〔2022〕52号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《应急管理部办公厅关于印发危险化学品企业重大危险源安全包保责任制办法（试行）的通知》应急厅〔2021〕12号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《特别管控危险化学品目录》（第一版）应急管理部、工业和信息化部、公安部、交通运输部公告2020年第1号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《关于修订&lt;特种设备目录&gt;的公告》国家质量监督检验检疫总局2014年第114号</w:t>
      </w:r>
    </w:p>
    <w:p w:rsidR="00DE1BAC" w:rsidRPr="00123108" w:rsidRDefault="00DE1BAC"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《危险化学品建设项目安全评价细则（试行）》（安监总危化〔2007〕255 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《高毒物品目录》卫法监发[2003]142号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《国家安全监管总局关于公布首批重点监管的危险化工工艺目录的通知》安监总管三〔2009〕116号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《国家安全监管总局关于公布第二批重点监管危险化工工艺目录和调整首批重点监管危险化工工艺中部分典型工艺的通知》安监总管三〔2013〕3号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《国家安全监管总局关于公布首批重点监管的危险化学品名录的通知》安监总管三〔2011〕95号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《国家安全监管总局办公厅关于印发首批重点监管的危险化学品安全措施和应急处置原则的通知》安监总厅管三〔2011〕142号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《国家安全监管总局关于公布第二批重点监管危险化学品名录的通知》安监总管三〔2013〕12号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《关于进一步加强危险化学品建设项目安全设计管理的通知》安监总管三〔2013〕76号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《国家安全监管总局关于加强化工过程安全管理的指导意见》安监总管三〔2013〕88号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《国家安全监管总局办公厅关于印发企业非药品类易制毒化学品规范化管理指南的通知》安监总厅管三〔2014〕70号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《国家安全监管总局办公厅关于印发危险化学品目录（2015版）</w:t>
      </w:r>
      <w:r w:rsidRPr="00123108">
        <w:rPr>
          <w:rFonts w:ascii="宋体" w:hAnsi="宋体" w:hint="eastAsia"/>
          <w:sz w:val="28"/>
          <w:szCs w:val="28"/>
        </w:rPr>
        <w:lastRenderedPageBreak/>
        <w:t>实施指南（试行）的通知》安监总厅管三〔2015〕80号（应急厅函〔2022〕300号修改）</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《应急管理部办公厅关于修改&lt;危险化学品目录（2015版）实施指南（试行）&gt;涉及柴油部分内容的通知》应急厅函〔2022〕300号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《国家安全监管总局 交通运输部 国家铁路局关于印发&lt;危险化学品储存场所安全专项整治工作方案&gt;的通知》安监总管三〔2016〕53号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《国家安全监管总局关于进一步加强化学品罐区安全管理的通知》安监总管三〔2014〕68号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《国家安全监管总局关于加强化工安全仪表系统管理的指导意见》安监总管三〔2014〕116号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国家安全监管总局关于印发&lt;化工和危险化学品生产经营单位重大生产安全事故隐患判定标准（试行）&gt;和&lt;烟花爆竹生产经营单位重大生产安全事故隐患判定标准（试行）&gt;的通知》安监总管三〔2017〕121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《关于印发&lt;企业安全生产费用提取和使用管理办法&gt;的通知》财资〔2022〕136号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《浙江省安全生产条例（2022年修订）》浙江省第十三届人民代表大会常务委员会第三十九次会议第二次修订</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《浙江省特种设备安全管理条例（2021年修订）》浙江省第十三届人民代表大会常务委员会第三十次会议修改</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《浙江省雷电灾害防御和应急办法（2018年修订）》浙江省人民政府令第190号，浙江省人民政府令第363号修订</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《浙江省安全生产委员会办公室关于深刻吸取事故教训切实加强近期危险化学品安全生产工作的通知》浙安委办〔2022〕27号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《浙江省安全生产委员会关于印发&lt;浙江省危险化学品安全风险集中治理实施方案&gt;的通知》浙安委〔2022〕6号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《浙江省安全生产监督管理局关于统一规范设置重大危险源安全警示牌的通知》浙安监管危化〔2007〕110号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《浙江省应急管理厅关于开展高危细分领域安全风险专项治</w:t>
      </w:r>
      <w:r w:rsidRPr="00123108">
        <w:rPr>
          <w:rFonts w:ascii="宋体" w:hAnsi="宋体" w:hint="eastAsia"/>
          <w:sz w:val="28"/>
          <w:szCs w:val="28"/>
        </w:rPr>
        <w:lastRenderedPageBreak/>
        <w:t xml:space="preserve">理工作的通知》浙应急危化〔2022〕25号 </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《浙江省生态环境厅关于切实抓好危险废物等领域安全专项政治三年行动方案有关工作的通知》浙环函〔2020〕190号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w:t>
      </w:r>
      <w:r w:rsidRPr="00123108">
        <w:rPr>
          <w:rFonts w:ascii="宋体" w:hAnsi="宋体" w:cs="宋体" w:hint="eastAsia"/>
          <w:kern w:val="0"/>
          <w:sz w:val="28"/>
          <w:szCs w:val="28"/>
          <w:shd w:val="clear" w:color="auto" w:fill="FFFFFF"/>
        </w:rPr>
        <w:t>苯乙烯安全风险隐患排查指南（试行）</w:t>
      </w:r>
      <w:r w:rsidRPr="00123108">
        <w:rPr>
          <w:rFonts w:ascii="宋体" w:hAnsi="宋体" w:hint="eastAsia"/>
          <w:sz w:val="28"/>
          <w:szCs w:val="28"/>
        </w:rPr>
        <w:t>》</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《宁波市禁止、限制和控制危险化学品目录（试行）》甬应急〔2021〕113号</w:t>
      </w:r>
    </w:p>
    <w:p w:rsidR="004F34D9" w:rsidRPr="00123108" w:rsidRDefault="004F34D9" w:rsidP="00561580">
      <w:pPr>
        <w:numPr>
          <w:ilvl w:val="0"/>
          <w:numId w:val="32"/>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《宁波市生产经营单位安全生产主体责任规定》宁波市第十五届人民代表大会常务委员会公告第36号</w:t>
      </w:r>
    </w:p>
    <w:p w:rsidR="004F34D9" w:rsidRPr="00123108" w:rsidRDefault="004F34D9" w:rsidP="00561580">
      <w:pPr>
        <w:pStyle w:val="3"/>
        <w:spacing w:line="500" w:lineRule="exact"/>
        <w:rPr>
          <w:rFonts w:ascii="宋体" w:eastAsia="宋体" w:hAnsi="宋体" w:cs="宋体" w:hint="eastAsia"/>
          <w:sz w:val="28"/>
          <w:szCs w:val="28"/>
        </w:rPr>
      </w:pPr>
      <w:bookmarkStart w:id="259" w:name="_Toc190935722"/>
      <w:r w:rsidRPr="00123108">
        <w:rPr>
          <w:rFonts w:ascii="宋体" w:eastAsia="宋体" w:hAnsi="宋体" w:cs="宋体" w:hint="eastAsia"/>
          <w:sz w:val="28"/>
          <w:szCs w:val="28"/>
        </w:rPr>
        <w:t>1.2.2</w:t>
      </w:r>
      <w:bookmarkEnd w:id="232"/>
      <w:bookmarkEnd w:id="233"/>
      <w:bookmarkEnd w:id="234"/>
      <w:r w:rsidRPr="00123108">
        <w:rPr>
          <w:rFonts w:ascii="宋体" w:eastAsia="宋体" w:hAnsi="宋体" w:cs="宋体" w:hint="eastAsia"/>
          <w:sz w:val="28"/>
          <w:szCs w:val="28"/>
        </w:rPr>
        <w:t xml:space="preserve">  主要国家标准和行业标准</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rsidR="004F34D9" w:rsidRPr="00123108" w:rsidRDefault="004F34D9" w:rsidP="00561580">
      <w:pPr>
        <w:numPr>
          <w:ilvl w:val="0"/>
          <w:numId w:val="33"/>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《建筑设计防火规范》GB 50016-2014（2018年版）</w:t>
      </w:r>
    </w:p>
    <w:p w:rsidR="004F34D9" w:rsidRPr="00123108" w:rsidRDefault="004F34D9" w:rsidP="00561580">
      <w:pPr>
        <w:numPr>
          <w:ilvl w:val="0"/>
          <w:numId w:val="33"/>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《化工企业总图运输设计规范》GB 50489-2009</w:t>
      </w:r>
    </w:p>
    <w:p w:rsidR="004F34D9" w:rsidRPr="00123108" w:rsidRDefault="004F34D9" w:rsidP="00561580">
      <w:pPr>
        <w:numPr>
          <w:ilvl w:val="0"/>
          <w:numId w:val="33"/>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《火灾自动报警系统设计规范》GB 50116-2013</w:t>
      </w:r>
    </w:p>
    <w:p w:rsidR="004F34D9" w:rsidRPr="00123108" w:rsidRDefault="004F34D9" w:rsidP="00561580">
      <w:pPr>
        <w:numPr>
          <w:ilvl w:val="0"/>
          <w:numId w:val="33"/>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《建筑灭火器配置设计规范》GB 50140-2005</w:t>
      </w:r>
    </w:p>
    <w:p w:rsidR="004F34D9" w:rsidRPr="00123108" w:rsidRDefault="004F34D9" w:rsidP="00561580">
      <w:pPr>
        <w:numPr>
          <w:ilvl w:val="0"/>
          <w:numId w:val="33"/>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《爆炸危险环境电力装置设计规范》GB 50058-2014</w:t>
      </w:r>
    </w:p>
    <w:p w:rsidR="004F34D9" w:rsidRPr="00123108" w:rsidRDefault="004F34D9" w:rsidP="00561580">
      <w:pPr>
        <w:numPr>
          <w:ilvl w:val="0"/>
          <w:numId w:val="33"/>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《供配电系统设计规范》GB 50052-2009</w:t>
      </w:r>
    </w:p>
    <w:p w:rsidR="004F34D9" w:rsidRPr="00123108" w:rsidRDefault="004F34D9" w:rsidP="00561580">
      <w:pPr>
        <w:numPr>
          <w:ilvl w:val="0"/>
          <w:numId w:val="33"/>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《建筑物防雷设计规范》GB 50057-2010</w:t>
      </w:r>
    </w:p>
    <w:p w:rsidR="004F34D9" w:rsidRPr="00123108" w:rsidRDefault="004F34D9" w:rsidP="00561580">
      <w:pPr>
        <w:numPr>
          <w:ilvl w:val="0"/>
          <w:numId w:val="33"/>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《个体防护装备配备规范 第1部分：总则》GB 39800.1-2020</w:t>
      </w:r>
    </w:p>
    <w:p w:rsidR="004F34D9" w:rsidRPr="00123108" w:rsidRDefault="004F34D9" w:rsidP="00561580">
      <w:pPr>
        <w:numPr>
          <w:ilvl w:val="0"/>
          <w:numId w:val="33"/>
        </w:numPr>
        <w:tabs>
          <w:tab w:val="left" w:pos="1365"/>
        </w:tabs>
        <w:spacing w:line="500" w:lineRule="exact"/>
        <w:ind w:left="0" w:firstLineChars="200" w:firstLine="560"/>
        <w:rPr>
          <w:rFonts w:ascii="宋体" w:hAnsi="宋体" w:hint="eastAsia"/>
          <w:sz w:val="28"/>
          <w:szCs w:val="28"/>
        </w:rPr>
      </w:pPr>
      <w:r w:rsidRPr="00123108">
        <w:rPr>
          <w:rFonts w:ascii="宋体" w:hAnsi="宋体" w:hint="eastAsia"/>
          <w:sz w:val="28"/>
          <w:szCs w:val="28"/>
        </w:rPr>
        <w:t>《个体防护装备配备规范 第2部分：石油、化工、天然气》GB 39800.2-2020</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《工业企业厂内铁路、道路运输安全规程》GB 4387-2008</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《石油化工可燃气体和有毒气体检测报警设计标准》GB/T 50493-2019</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《生产过程安全卫生要求总则》GB/T 12801-2008</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《生产设备安全卫生设计总则》GB 5083-1999</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《防止静电事故通用导则》GB 12158-2006</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《固定式钢梯及平台安全要求 第1部分：钢直梯》GB 4053.1-2009</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《固定式钢梯及平台安全要求 第2部分：钢斜梯》GB 4053.2-</w:t>
      </w:r>
      <w:r w:rsidRPr="00123108">
        <w:rPr>
          <w:rFonts w:ascii="宋体" w:hAnsi="宋体" w:hint="eastAsia"/>
          <w:sz w:val="28"/>
          <w:szCs w:val="28"/>
        </w:rPr>
        <w:lastRenderedPageBreak/>
        <w:t>2009</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《固定式钢梯及平台安全要求 第3部分：工业防护栏杆及钢平台》GB 4053.3-2009</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《化工企业定量风险评价导则》AQ/T 3046-2013</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《化学品作业场所安全警示标志规范》AQ 3047-2013</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《化工企业劳动防护用品选用及配备》AQ/T 3048-2013</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《危险化学品单位应急救援物资配备要求》GB 30077-2013</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《工业企业设计卫生标准》GBZ 1-2010</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w:t>
      </w:r>
      <w:r w:rsidRPr="00123108">
        <w:rPr>
          <w:rFonts w:ascii="宋体" w:hAnsi="宋体"/>
          <w:sz w:val="28"/>
          <w:szCs w:val="28"/>
        </w:rPr>
        <w:t>工作场所有害因素职业接触限值 第1部分：化学有害因素</w:t>
      </w:r>
      <w:r w:rsidRPr="00123108">
        <w:rPr>
          <w:rFonts w:ascii="宋体" w:hAnsi="宋体" w:hint="eastAsia"/>
          <w:sz w:val="28"/>
          <w:szCs w:val="28"/>
        </w:rPr>
        <w:t>》</w:t>
      </w:r>
      <w:r w:rsidRPr="00123108">
        <w:rPr>
          <w:rFonts w:ascii="宋体" w:hAnsi="宋体"/>
          <w:sz w:val="28"/>
          <w:szCs w:val="28"/>
        </w:rPr>
        <w:t>GBZ 2.1-2019/XG1-2022</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《工作场所有害因素职业接触限值 第2部分：物理因素》GBZ 2.2-2007</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《职业性接触毒物危害程度分级》GBZ/T 230-2010</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《危险化学品重大危险源辨识》GB 18218-2018</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《危险化学品重大危险源安全监控通用技术规范》AQ 3035-2010</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《危险化学品重大危险源 罐区现场安全监控装备设置规范》AQ 3036-2010</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《工业管道的基本识别色、识别符号和安全标识》GB 7231-2003</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《安全标志及其使用导则》GB 2894-2008</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《安全色》GB 2893-2008</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《安全评价通则》AQ 8001-2007</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《危险场所电气防爆安全规范》AQ 3009-2007</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sz w:val="28"/>
          <w:szCs w:val="28"/>
        </w:rPr>
      </w:pPr>
      <w:r w:rsidRPr="00123108">
        <w:rPr>
          <w:rFonts w:ascii="宋体" w:hAnsi="宋体" w:hint="eastAsia"/>
          <w:sz w:val="28"/>
          <w:szCs w:val="28"/>
        </w:rPr>
        <w:t>《生产经营单位生产安全事故应急预案编制导则》GB/T 29639-2020</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sz w:val="28"/>
          <w:szCs w:val="28"/>
        </w:rPr>
      </w:pPr>
      <w:r w:rsidRPr="00123108">
        <w:rPr>
          <w:rFonts w:ascii="宋体" w:hAnsi="宋体" w:hint="eastAsia"/>
          <w:sz w:val="28"/>
          <w:szCs w:val="28"/>
        </w:rPr>
        <w:t>《危险化学品企业特殊作业安全规范》GB 30871-2022</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《危险化学品从业单位安全标准化通用规范》AQ 3013-2008</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《化工企业静电接地设计规程》HG/T 20675-1990</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《石油化工静电接地设计规范》SH/T 3097-2017</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lastRenderedPageBreak/>
        <w:t>《石油化工企业职业安全卫生设计规范》SH/T 3047-2021</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《压力管道安全技术监察规程-工业管道》TSG D0001-2009</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《固定式压力容器安全技术监察规程》TSG 21-2016及行业标准第1号修改单TSG 21-2016/XG1-2020</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sz w:val="28"/>
          <w:szCs w:val="28"/>
        </w:rPr>
      </w:pPr>
      <w:r w:rsidRPr="00123108">
        <w:rPr>
          <w:rFonts w:ascii="宋体" w:hAnsi="宋体" w:hint="eastAsia"/>
          <w:sz w:val="28"/>
          <w:szCs w:val="28"/>
        </w:rPr>
        <w:t>《钢制化工容器设计基础规范等六项汇编[合订本]》HG/T 20580～20585-2020</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《建筑抗震设计规范》GB 50011-2010（2016年版）</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《消防给水及消火栓系统技术规范》GB 50974-2014</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sz w:val="28"/>
          <w:szCs w:val="28"/>
        </w:rPr>
      </w:pPr>
      <w:r w:rsidRPr="00123108">
        <w:rPr>
          <w:rFonts w:ascii="宋体" w:hAnsi="宋体" w:hint="eastAsia"/>
          <w:sz w:val="28"/>
          <w:szCs w:val="28"/>
        </w:rPr>
        <w:t>《</w:t>
      </w:r>
      <w:r w:rsidRPr="00123108">
        <w:rPr>
          <w:rFonts w:ascii="宋体" w:hAnsi="宋体"/>
          <w:sz w:val="28"/>
          <w:szCs w:val="28"/>
        </w:rPr>
        <w:t>危险化学品仓库储存通则</w:t>
      </w:r>
      <w:r w:rsidRPr="00123108">
        <w:rPr>
          <w:rFonts w:ascii="宋体" w:hAnsi="宋体" w:hint="eastAsia"/>
          <w:sz w:val="28"/>
          <w:szCs w:val="28"/>
        </w:rPr>
        <w:t>》GB 15603-2022</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《毒害性商品储存养护技术条件》GB 17916-2013</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《易燃易爆性商品储存养护技术条件》GB 17914-2013</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《腐蚀性商品储存养护技术条件》GB 17915-2013</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《危险化学品储罐区作业安全通则》AQ 3018-2008</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《危险化学品生产装置和储存设施风险基准》GB 36894-2018</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《立式圆筒形钢制焊接储罐安全技术规程》AQ 3053-2015</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《危险化学品生产装置和储存设施外部安全防护距离确定方法》GB/T 37243-2019 </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《石油化工安全仪表系统设计规范》GB/T 50770-2013</w:t>
      </w:r>
    </w:p>
    <w:p w:rsidR="00360C9A" w:rsidRPr="00123108" w:rsidRDefault="00360C9A"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《石油化工自动化仪表选型设计规范》SH/T 3005-2016</w:t>
      </w:r>
    </w:p>
    <w:p w:rsidR="00360C9A" w:rsidRPr="00123108" w:rsidRDefault="00360C9A"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《工业自动化和控制系统网络安全集散控制系统(DCS) 第二部分：管理要求》GB/T 33009.2-2016</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sz w:val="28"/>
          <w:szCs w:val="28"/>
        </w:rPr>
      </w:pPr>
      <w:r w:rsidRPr="00123108">
        <w:rPr>
          <w:rFonts w:ascii="宋体" w:hAnsi="宋体" w:hint="eastAsia"/>
          <w:sz w:val="28"/>
          <w:szCs w:val="28"/>
        </w:rPr>
        <w:t>《企业职工伤亡事故分类》GB 6441-1986</w:t>
      </w:r>
      <w:r w:rsidRPr="00123108">
        <w:rPr>
          <w:rFonts w:ascii="宋体" w:hAnsi="宋体"/>
          <w:sz w:val="28"/>
          <w:szCs w:val="28"/>
        </w:rPr>
        <w:t> </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《建筑防火通用规范》GB 55037-2022</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sz w:val="28"/>
          <w:szCs w:val="28"/>
        </w:rPr>
      </w:pPr>
      <w:r w:rsidRPr="00123108">
        <w:rPr>
          <w:rFonts w:ascii="宋体" w:hAnsi="宋体" w:hint="eastAsia"/>
          <w:sz w:val="28"/>
          <w:szCs w:val="28"/>
        </w:rPr>
        <w:t>《</w:t>
      </w:r>
      <w:r w:rsidRPr="00123108">
        <w:rPr>
          <w:rFonts w:ascii="宋体" w:hAnsi="宋体"/>
          <w:sz w:val="28"/>
          <w:szCs w:val="28"/>
        </w:rPr>
        <w:t>石油化工装置防雷设计规范</w:t>
      </w:r>
      <w:r w:rsidRPr="00123108">
        <w:rPr>
          <w:rFonts w:ascii="宋体" w:hAnsi="宋体" w:hint="eastAsia"/>
          <w:sz w:val="28"/>
          <w:szCs w:val="28"/>
        </w:rPr>
        <w:t>》GB 50650-2011</w:t>
      </w:r>
      <w:r w:rsidRPr="00123108">
        <w:rPr>
          <w:rFonts w:ascii="宋体" w:hAnsi="宋体"/>
          <w:sz w:val="28"/>
          <w:szCs w:val="28"/>
        </w:rPr>
        <w:t>（2022</w:t>
      </w:r>
      <w:r w:rsidRPr="00123108">
        <w:rPr>
          <w:rFonts w:ascii="宋体" w:hAnsi="宋体" w:hint="eastAsia"/>
          <w:sz w:val="28"/>
          <w:szCs w:val="28"/>
        </w:rPr>
        <w:t>年</w:t>
      </w:r>
      <w:r w:rsidRPr="00123108">
        <w:rPr>
          <w:rFonts w:ascii="宋体" w:hAnsi="宋体"/>
          <w:sz w:val="28"/>
          <w:szCs w:val="28"/>
        </w:rPr>
        <w:t>版）</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w:t>
      </w:r>
      <w:r w:rsidRPr="00123108">
        <w:rPr>
          <w:rFonts w:ascii="宋体" w:hAnsi="宋体"/>
          <w:sz w:val="28"/>
          <w:szCs w:val="28"/>
        </w:rPr>
        <w:t>化工过程安全管理导则</w:t>
      </w:r>
      <w:r w:rsidRPr="00123108">
        <w:rPr>
          <w:rFonts w:ascii="宋体" w:hAnsi="宋体" w:hint="eastAsia"/>
          <w:sz w:val="28"/>
          <w:szCs w:val="28"/>
        </w:rPr>
        <w:t>》AQ/T 3034-2022</w:t>
      </w:r>
    </w:p>
    <w:p w:rsidR="004F34D9" w:rsidRPr="00123108" w:rsidRDefault="004F34D9" w:rsidP="00561580">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w:t>
      </w:r>
      <w:r w:rsidRPr="00123108">
        <w:rPr>
          <w:rFonts w:ascii="宋体" w:hAnsi="宋体"/>
          <w:sz w:val="28"/>
          <w:szCs w:val="28"/>
        </w:rPr>
        <w:t>消防设施通用规范</w:t>
      </w:r>
      <w:r w:rsidRPr="00123108">
        <w:rPr>
          <w:rFonts w:ascii="宋体" w:hAnsi="宋体" w:hint="eastAsia"/>
          <w:sz w:val="28"/>
          <w:szCs w:val="28"/>
        </w:rPr>
        <w:t>》</w:t>
      </w:r>
      <w:r w:rsidRPr="00123108">
        <w:rPr>
          <w:rFonts w:ascii="宋体" w:hAnsi="宋体"/>
          <w:sz w:val="28"/>
          <w:szCs w:val="28"/>
        </w:rPr>
        <w:t>GB 55036-2022</w:t>
      </w:r>
    </w:p>
    <w:p w:rsidR="00E61F2C" w:rsidRPr="00123108" w:rsidRDefault="00E61F2C" w:rsidP="00E61F2C">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sz w:val="28"/>
          <w:szCs w:val="28"/>
        </w:rPr>
        <w:t>《安全阀一般要求》GB/T12241-2021</w:t>
      </w:r>
    </w:p>
    <w:p w:rsidR="00E61F2C" w:rsidRPr="00123108" w:rsidRDefault="00E61F2C" w:rsidP="00E61F2C">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sz w:val="28"/>
          <w:szCs w:val="28"/>
        </w:rPr>
        <w:t>《安全阀安全技术监察规程》TSG ZF001-2006/XG1-2009</w:t>
      </w:r>
    </w:p>
    <w:p w:rsidR="00E61F2C" w:rsidRPr="00123108" w:rsidRDefault="00E61F2C" w:rsidP="00E61F2C">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sz w:val="28"/>
          <w:szCs w:val="28"/>
        </w:rPr>
        <w:lastRenderedPageBreak/>
        <w:t>《爆破片装置安全技术监察规程》TSG ZF003/XG1-2017</w:t>
      </w:r>
    </w:p>
    <w:p w:rsidR="00E61F2C" w:rsidRPr="00123108" w:rsidRDefault="00E61F2C" w:rsidP="00E61F2C">
      <w:pPr>
        <w:numPr>
          <w:ilvl w:val="0"/>
          <w:numId w:val="33"/>
        </w:numPr>
        <w:tabs>
          <w:tab w:val="left" w:pos="1365"/>
          <w:tab w:val="left" w:pos="1470"/>
        </w:tabs>
        <w:spacing w:line="500" w:lineRule="exact"/>
        <w:ind w:left="0" w:firstLineChars="200" w:firstLine="560"/>
        <w:rPr>
          <w:rFonts w:ascii="宋体" w:hAnsi="宋体" w:hint="eastAsia"/>
          <w:sz w:val="28"/>
          <w:szCs w:val="28"/>
        </w:rPr>
      </w:pPr>
      <w:r w:rsidRPr="00123108">
        <w:rPr>
          <w:rFonts w:ascii="宋体" w:hAnsi="宋体"/>
          <w:sz w:val="28"/>
          <w:szCs w:val="28"/>
        </w:rPr>
        <w:t>《泡沫灭火系统技术标准》GB 50151-2021</w:t>
      </w:r>
    </w:p>
    <w:p w:rsidR="004F34D9" w:rsidRPr="00123108" w:rsidRDefault="004F34D9" w:rsidP="00561580">
      <w:pPr>
        <w:pStyle w:val="3"/>
        <w:spacing w:line="500" w:lineRule="exact"/>
        <w:rPr>
          <w:rFonts w:ascii="宋体" w:eastAsia="宋体" w:hAnsi="宋体" w:cs="宋体" w:hint="eastAsia"/>
          <w:sz w:val="28"/>
          <w:szCs w:val="28"/>
        </w:rPr>
      </w:pPr>
      <w:bookmarkStart w:id="260" w:name="_Toc55724655"/>
      <w:bookmarkStart w:id="261" w:name="_Toc98815409"/>
      <w:bookmarkStart w:id="262" w:name="_Toc40980828"/>
      <w:bookmarkStart w:id="263" w:name="_Toc40980674"/>
      <w:bookmarkStart w:id="264" w:name="_Toc55366279"/>
      <w:bookmarkStart w:id="265" w:name="_Toc425"/>
      <w:bookmarkStart w:id="266" w:name="_Toc31627"/>
      <w:bookmarkStart w:id="267" w:name="_Toc54616952"/>
      <w:bookmarkStart w:id="268" w:name="_Toc10508"/>
      <w:bookmarkStart w:id="269" w:name="_Toc54617561"/>
      <w:bookmarkStart w:id="270" w:name="_Toc9653"/>
      <w:bookmarkStart w:id="271" w:name="_Toc252533195"/>
      <w:bookmarkStart w:id="272" w:name="_Toc54687825"/>
      <w:bookmarkStart w:id="273" w:name="_Toc41286696"/>
      <w:bookmarkStart w:id="274" w:name="_Toc219518686"/>
      <w:bookmarkStart w:id="275" w:name="_Toc41286564"/>
      <w:bookmarkStart w:id="276" w:name="_Toc5894"/>
      <w:bookmarkStart w:id="277" w:name="_Toc44890643"/>
      <w:bookmarkStart w:id="278" w:name="_Toc54617110"/>
      <w:bookmarkStart w:id="279" w:name="_Toc54618779"/>
      <w:bookmarkStart w:id="280" w:name="_Toc55021642"/>
      <w:bookmarkStart w:id="281" w:name="_Toc97531126"/>
      <w:bookmarkStart w:id="282" w:name="_Toc54617201"/>
      <w:bookmarkStart w:id="283" w:name="_Toc8712"/>
      <w:bookmarkStart w:id="284" w:name="_Toc3808983"/>
      <w:bookmarkStart w:id="285" w:name="_Toc55361554"/>
      <w:bookmarkStart w:id="286" w:name="_Toc40980751"/>
      <w:bookmarkStart w:id="287" w:name="_Toc190935723"/>
      <w:r w:rsidRPr="00123108">
        <w:rPr>
          <w:rFonts w:ascii="宋体" w:eastAsia="宋体" w:hAnsi="宋体" w:cs="宋体" w:hint="eastAsia"/>
          <w:sz w:val="28"/>
          <w:szCs w:val="28"/>
        </w:rPr>
        <w:t>1.2.3  有关技术文件、资料</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rsidR="004F34D9" w:rsidRPr="00123108" w:rsidRDefault="004F34D9" w:rsidP="00561580">
      <w:pPr>
        <w:numPr>
          <w:ilvl w:val="1"/>
          <w:numId w:val="34"/>
        </w:numPr>
        <w:tabs>
          <w:tab w:val="clear" w:pos="613"/>
          <w:tab w:val="left" w:pos="-42"/>
          <w:tab w:val="left" w:pos="1281"/>
        </w:tabs>
        <w:spacing w:line="500" w:lineRule="exact"/>
        <w:ind w:left="-21" w:firstLine="588"/>
        <w:rPr>
          <w:rFonts w:ascii="宋体" w:hAnsi="宋体" w:cs="宋体" w:hint="eastAsia"/>
          <w:sz w:val="28"/>
          <w:szCs w:val="28"/>
        </w:rPr>
      </w:pPr>
      <w:r w:rsidRPr="00123108">
        <w:rPr>
          <w:rFonts w:ascii="宋体" w:hAnsi="宋体" w:cs="宋体" w:hint="eastAsia"/>
          <w:bCs/>
          <w:kern w:val="0"/>
          <w:sz w:val="28"/>
          <w:szCs w:val="28"/>
          <w:lang w:val="zh-CN"/>
        </w:rPr>
        <w:t>新桥化工</w:t>
      </w:r>
      <w:r w:rsidRPr="00123108">
        <w:rPr>
          <w:rFonts w:ascii="宋体" w:hAnsi="宋体" w:cs="宋体" w:hint="eastAsia"/>
          <w:sz w:val="28"/>
          <w:szCs w:val="28"/>
        </w:rPr>
        <w:t>生产经营现状及相关资料</w:t>
      </w:r>
    </w:p>
    <w:p w:rsidR="004F34D9" w:rsidRPr="00123108" w:rsidRDefault="004F34D9" w:rsidP="00561580">
      <w:pPr>
        <w:numPr>
          <w:ilvl w:val="1"/>
          <w:numId w:val="34"/>
        </w:numPr>
        <w:tabs>
          <w:tab w:val="clear" w:pos="613"/>
          <w:tab w:val="left" w:pos="-42"/>
          <w:tab w:val="left" w:pos="1281"/>
        </w:tabs>
        <w:spacing w:line="500" w:lineRule="exact"/>
        <w:ind w:left="-21" w:firstLine="588"/>
        <w:rPr>
          <w:rFonts w:ascii="宋体" w:hAnsi="宋体" w:cs="宋体" w:hint="eastAsia"/>
          <w:sz w:val="28"/>
          <w:szCs w:val="28"/>
        </w:rPr>
      </w:pPr>
      <w:r w:rsidRPr="00123108">
        <w:rPr>
          <w:rFonts w:ascii="宋体" w:hAnsi="宋体" w:cs="宋体" w:hint="eastAsia"/>
          <w:bCs/>
          <w:kern w:val="0"/>
          <w:sz w:val="28"/>
          <w:szCs w:val="28"/>
          <w:lang w:val="zh-CN"/>
        </w:rPr>
        <w:t>新桥化工</w:t>
      </w:r>
      <w:r w:rsidRPr="00123108">
        <w:rPr>
          <w:rFonts w:ascii="宋体" w:hAnsi="宋体" w:cs="宋体" w:hint="eastAsia"/>
          <w:sz w:val="28"/>
          <w:szCs w:val="28"/>
        </w:rPr>
        <w:t>安全管理制度、事故应急预案等文件资料</w:t>
      </w:r>
    </w:p>
    <w:p w:rsidR="004F34D9" w:rsidRPr="00123108" w:rsidRDefault="004F34D9" w:rsidP="00561580">
      <w:pPr>
        <w:numPr>
          <w:ilvl w:val="1"/>
          <w:numId w:val="34"/>
        </w:numPr>
        <w:tabs>
          <w:tab w:val="clear" w:pos="613"/>
          <w:tab w:val="left" w:pos="-42"/>
          <w:tab w:val="left" w:pos="1281"/>
        </w:tabs>
        <w:spacing w:line="500" w:lineRule="exact"/>
        <w:ind w:left="-21" w:firstLine="588"/>
        <w:rPr>
          <w:rFonts w:ascii="宋体" w:hAnsi="宋体" w:cs="宋体" w:hint="eastAsia"/>
          <w:sz w:val="28"/>
          <w:szCs w:val="28"/>
        </w:rPr>
      </w:pPr>
      <w:r w:rsidRPr="00123108">
        <w:rPr>
          <w:rFonts w:ascii="宋体" w:hAnsi="宋体" w:cs="宋体" w:hint="eastAsia"/>
          <w:bCs/>
          <w:kern w:val="0"/>
          <w:sz w:val="28"/>
          <w:szCs w:val="28"/>
          <w:lang w:val="zh-CN"/>
        </w:rPr>
        <w:t>《</w:t>
      </w:r>
      <w:r w:rsidRPr="00123108">
        <w:rPr>
          <w:rFonts w:hint="eastAsia"/>
          <w:sz w:val="28"/>
          <w:szCs w:val="28"/>
        </w:rPr>
        <w:t>宁波新桥化工有限公司年产</w:t>
      </w:r>
      <w:r w:rsidRPr="00123108">
        <w:rPr>
          <w:rFonts w:hint="eastAsia"/>
          <w:sz w:val="28"/>
          <w:szCs w:val="28"/>
        </w:rPr>
        <w:t>12</w:t>
      </w:r>
      <w:r w:rsidRPr="00123108">
        <w:rPr>
          <w:rFonts w:hint="eastAsia"/>
          <w:sz w:val="28"/>
          <w:szCs w:val="28"/>
        </w:rPr>
        <w:t>万吨可发性聚苯乙烯项目安全现状评价报告</w:t>
      </w:r>
      <w:r w:rsidRPr="00123108">
        <w:rPr>
          <w:rFonts w:ascii="宋体" w:hAnsi="宋体" w:cs="宋体" w:hint="eastAsia"/>
          <w:bCs/>
          <w:kern w:val="0"/>
          <w:sz w:val="28"/>
          <w:szCs w:val="28"/>
          <w:lang w:val="zh-CN"/>
        </w:rPr>
        <w:t>》北京中安质环技术评价中心有限公司 20</w:t>
      </w:r>
      <w:r w:rsidRPr="00123108">
        <w:rPr>
          <w:rFonts w:ascii="宋体" w:hAnsi="宋体" w:cs="宋体" w:hint="eastAsia"/>
          <w:bCs/>
          <w:kern w:val="0"/>
          <w:sz w:val="28"/>
          <w:szCs w:val="28"/>
        </w:rPr>
        <w:t>21</w:t>
      </w:r>
      <w:r w:rsidRPr="00123108">
        <w:rPr>
          <w:rFonts w:ascii="宋体" w:hAnsi="宋体" w:cs="宋体" w:hint="eastAsia"/>
          <w:bCs/>
          <w:kern w:val="0"/>
          <w:sz w:val="28"/>
          <w:szCs w:val="28"/>
          <w:lang w:val="zh-CN"/>
        </w:rPr>
        <w:t>年</w:t>
      </w:r>
      <w:r w:rsidRPr="00123108">
        <w:rPr>
          <w:rFonts w:ascii="宋体" w:hAnsi="宋体" w:cs="宋体" w:hint="eastAsia"/>
          <w:bCs/>
          <w:kern w:val="0"/>
          <w:sz w:val="28"/>
          <w:szCs w:val="28"/>
        </w:rPr>
        <w:t>4</w:t>
      </w:r>
      <w:r w:rsidRPr="00123108">
        <w:rPr>
          <w:rFonts w:ascii="宋体" w:hAnsi="宋体" w:cs="宋体" w:hint="eastAsia"/>
          <w:bCs/>
          <w:kern w:val="0"/>
          <w:sz w:val="28"/>
          <w:szCs w:val="28"/>
          <w:lang w:val="zh-CN"/>
        </w:rPr>
        <w:t>月</w:t>
      </w:r>
    </w:p>
    <w:p w:rsidR="004F34D9" w:rsidRPr="00123108" w:rsidRDefault="004F34D9" w:rsidP="00561580">
      <w:pPr>
        <w:numPr>
          <w:ilvl w:val="1"/>
          <w:numId w:val="34"/>
        </w:numPr>
        <w:tabs>
          <w:tab w:val="clear" w:pos="613"/>
          <w:tab w:val="left" w:pos="-42"/>
          <w:tab w:val="left" w:pos="1281"/>
        </w:tabs>
        <w:spacing w:line="500" w:lineRule="exact"/>
        <w:ind w:left="-21" w:firstLine="588"/>
        <w:rPr>
          <w:rFonts w:ascii="宋体" w:hAnsi="宋体" w:cs="宋体" w:hint="eastAsia"/>
          <w:sz w:val="28"/>
          <w:szCs w:val="28"/>
        </w:rPr>
      </w:pPr>
      <w:r w:rsidRPr="00123108">
        <w:rPr>
          <w:rFonts w:ascii="宋体" w:hAnsi="宋体" w:cs="宋体" w:hint="eastAsia"/>
          <w:sz w:val="28"/>
          <w:szCs w:val="28"/>
        </w:rPr>
        <w:t>《宁波新桥化工有限公司环境治理设施项目专项安全风险评估报告》</w:t>
      </w:r>
      <w:r w:rsidRPr="00123108">
        <w:rPr>
          <w:rFonts w:ascii="宋体" w:hAnsi="宋体" w:cs="宋体" w:hint="eastAsia"/>
          <w:bCs/>
          <w:kern w:val="0"/>
          <w:sz w:val="28"/>
          <w:szCs w:val="28"/>
          <w:lang w:val="zh-CN"/>
        </w:rPr>
        <w:t>北京中安质环技术评价中心有限公司 20</w:t>
      </w:r>
      <w:r w:rsidRPr="00123108">
        <w:rPr>
          <w:rFonts w:ascii="宋体" w:hAnsi="宋体" w:cs="宋体" w:hint="eastAsia"/>
          <w:bCs/>
          <w:kern w:val="0"/>
          <w:sz w:val="28"/>
          <w:szCs w:val="28"/>
        </w:rPr>
        <w:t>22</w:t>
      </w:r>
      <w:r w:rsidRPr="00123108">
        <w:rPr>
          <w:rFonts w:ascii="宋体" w:hAnsi="宋体" w:cs="宋体" w:hint="eastAsia"/>
          <w:bCs/>
          <w:kern w:val="0"/>
          <w:sz w:val="28"/>
          <w:szCs w:val="28"/>
          <w:lang w:val="zh-CN"/>
        </w:rPr>
        <w:t>年</w:t>
      </w:r>
      <w:r w:rsidRPr="00123108">
        <w:rPr>
          <w:rFonts w:ascii="宋体" w:hAnsi="宋体" w:cs="宋体" w:hint="eastAsia"/>
          <w:bCs/>
          <w:kern w:val="0"/>
          <w:sz w:val="28"/>
          <w:szCs w:val="28"/>
        </w:rPr>
        <w:t>12</w:t>
      </w:r>
      <w:r w:rsidRPr="00123108">
        <w:rPr>
          <w:rFonts w:ascii="宋体" w:hAnsi="宋体" w:cs="宋体" w:hint="eastAsia"/>
          <w:bCs/>
          <w:kern w:val="0"/>
          <w:sz w:val="28"/>
          <w:szCs w:val="28"/>
          <w:lang w:val="zh-CN"/>
        </w:rPr>
        <w:t>月</w:t>
      </w:r>
    </w:p>
    <w:p w:rsidR="004F34D9" w:rsidRPr="00123108" w:rsidRDefault="004F34D9" w:rsidP="00561580">
      <w:pPr>
        <w:numPr>
          <w:ilvl w:val="1"/>
          <w:numId w:val="34"/>
        </w:numPr>
        <w:tabs>
          <w:tab w:val="clear" w:pos="613"/>
          <w:tab w:val="left" w:pos="-42"/>
          <w:tab w:val="left" w:pos="1281"/>
        </w:tabs>
        <w:spacing w:line="500" w:lineRule="exact"/>
        <w:ind w:left="-21" w:firstLine="588"/>
        <w:rPr>
          <w:rFonts w:ascii="宋体" w:hAnsi="宋体" w:cs="宋体" w:hint="eastAsia"/>
          <w:sz w:val="28"/>
          <w:szCs w:val="28"/>
        </w:rPr>
      </w:pPr>
      <w:r w:rsidRPr="00123108">
        <w:rPr>
          <w:rFonts w:ascii="宋体" w:hAnsi="宋体" w:cs="宋体" w:hint="eastAsia"/>
          <w:sz w:val="28"/>
          <w:szCs w:val="28"/>
        </w:rPr>
        <w:t>山东实华安全技术有限公司与</w:t>
      </w:r>
      <w:r w:rsidRPr="00123108">
        <w:rPr>
          <w:rFonts w:ascii="宋体" w:hAnsi="宋体" w:cs="宋体" w:hint="eastAsia"/>
          <w:bCs/>
          <w:kern w:val="0"/>
          <w:sz w:val="28"/>
          <w:szCs w:val="28"/>
          <w:lang w:val="zh-CN"/>
        </w:rPr>
        <w:t>新桥化工</w:t>
      </w:r>
      <w:r w:rsidRPr="00123108">
        <w:rPr>
          <w:rFonts w:ascii="宋体" w:hAnsi="宋体" w:cs="宋体" w:hint="eastAsia"/>
          <w:sz w:val="28"/>
          <w:szCs w:val="28"/>
        </w:rPr>
        <w:t>签订的安全现状评价技术服务合同</w:t>
      </w:r>
    </w:p>
    <w:p w:rsidR="004F34D9" w:rsidRPr="00123108" w:rsidRDefault="004F34D9">
      <w:pPr>
        <w:spacing w:line="360" w:lineRule="auto"/>
        <w:ind w:firstLineChars="200" w:firstLine="560"/>
        <w:rPr>
          <w:rFonts w:ascii="宋体" w:hAnsi="宋体" w:cs="宋体" w:hint="eastAsia"/>
          <w:sz w:val="28"/>
          <w:szCs w:val="28"/>
        </w:rPr>
      </w:pPr>
    </w:p>
    <w:p w:rsidR="004F34D9" w:rsidRPr="00123108" w:rsidRDefault="004F34D9">
      <w:pPr>
        <w:spacing w:line="360" w:lineRule="auto"/>
        <w:ind w:firstLineChars="200" w:firstLine="560"/>
        <w:rPr>
          <w:rFonts w:ascii="宋体" w:hAnsi="宋体" w:cs="宋体" w:hint="eastAsia"/>
          <w:sz w:val="28"/>
          <w:szCs w:val="28"/>
        </w:rPr>
      </w:pPr>
    </w:p>
    <w:p w:rsidR="004F34D9" w:rsidRPr="00123108" w:rsidRDefault="004F34D9">
      <w:pPr>
        <w:rPr>
          <w:rFonts w:ascii="宋体" w:hAnsi="宋体" w:cs="宋体" w:hint="eastAsia"/>
          <w:b/>
          <w:sz w:val="24"/>
        </w:rPr>
        <w:sectPr w:rsidR="004F34D9" w:rsidRPr="00123108" w:rsidSect="009C23DB">
          <w:footerReference w:type="even" r:id="rId12"/>
          <w:footerReference w:type="default" r:id="rId13"/>
          <w:type w:val="nextColumn"/>
          <w:pgSz w:w="11907" w:h="16840"/>
          <w:pgMar w:top="1418" w:right="1134" w:bottom="1134" w:left="1588" w:header="851" w:footer="482" w:gutter="0"/>
          <w:paperSrc w:first="7" w:other="7"/>
          <w:pgNumType w:start="1"/>
          <w:cols w:space="720"/>
          <w:docGrid w:linePitch="437" w:charSpace="4301"/>
        </w:sectPr>
      </w:pPr>
    </w:p>
    <w:p w:rsidR="004F34D9" w:rsidRPr="00123108" w:rsidRDefault="004F34D9" w:rsidP="00E36E64">
      <w:pPr>
        <w:pStyle w:val="1"/>
        <w:spacing w:beforeLines="0" w:before="0" w:afterLines="0" w:after="0" w:line="500" w:lineRule="exact"/>
        <w:rPr>
          <w:rFonts w:ascii="宋体" w:eastAsia="宋体" w:cs="宋体" w:hint="eastAsia"/>
        </w:rPr>
      </w:pPr>
      <w:bookmarkStart w:id="288" w:name="_Toc17461"/>
      <w:bookmarkStart w:id="289" w:name="_Toc3808984"/>
      <w:bookmarkStart w:id="290" w:name="_Toc18439"/>
      <w:bookmarkStart w:id="291" w:name="_Toc6730"/>
      <w:bookmarkStart w:id="292" w:name="_Toc9087"/>
      <w:bookmarkStart w:id="293" w:name="_Toc22422"/>
      <w:bookmarkStart w:id="294" w:name="_Toc29785"/>
      <w:bookmarkStart w:id="295" w:name="_Toc190935724"/>
      <w:r w:rsidRPr="00123108">
        <w:rPr>
          <w:rFonts w:ascii="宋体" w:eastAsia="宋体" w:cs="宋体" w:hint="eastAsia"/>
          <w:spacing w:val="-4"/>
        </w:rPr>
        <w:lastRenderedPageBreak/>
        <w:t>2  项目</w:t>
      </w:r>
      <w:r w:rsidRPr="00123108">
        <w:rPr>
          <w:rFonts w:ascii="宋体" w:eastAsia="宋体" w:cs="宋体" w:hint="eastAsia"/>
        </w:rPr>
        <w:t>概况</w:t>
      </w:r>
      <w:bookmarkEnd w:id="288"/>
      <w:bookmarkEnd w:id="289"/>
      <w:bookmarkEnd w:id="290"/>
      <w:bookmarkEnd w:id="291"/>
      <w:bookmarkEnd w:id="292"/>
      <w:bookmarkEnd w:id="293"/>
      <w:bookmarkEnd w:id="294"/>
      <w:bookmarkEnd w:id="295"/>
    </w:p>
    <w:p w:rsidR="004F34D9" w:rsidRPr="00123108" w:rsidRDefault="004F34D9" w:rsidP="00E36E64">
      <w:pPr>
        <w:pStyle w:val="2"/>
        <w:spacing w:line="500" w:lineRule="exact"/>
        <w:jc w:val="both"/>
        <w:rPr>
          <w:rFonts w:ascii="宋体" w:eastAsia="宋体" w:cs="宋体" w:hint="eastAsia"/>
          <w:sz w:val="28"/>
          <w:szCs w:val="28"/>
        </w:rPr>
      </w:pPr>
      <w:bookmarkStart w:id="296" w:name="_Toc40980756"/>
      <w:bookmarkStart w:id="297" w:name="_Toc40980833"/>
      <w:bookmarkStart w:id="298" w:name="_Toc41286569"/>
      <w:bookmarkStart w:id="299" w:name="_Toc40980679"/>
      <w:bookmarkStart w:id="300" w:name="_Toc41286701"/>
      <w:bookmarkStart w:id="301" w:name="_Toc54687830"/>
      <w:bookmarkStart w:id="302" w:name="_Toc54617566"/>
      <w:bookmarkStart w:id="303" w:name="_Toc23070"/>
      <w:bookmarkStart w:id="304" w:name="_Toc55366284"/>
      <w:bookmarkStart w:id="305" w:name="_Toc44890648"/>
      <w:bookmarkStart w:id="306" w:name="_Toc55021647"/>
      <w:bookmarkStart w:id="307" w:name="_Toc55724660"/>
      <w:bookmarkStart w:id="308" w:name="_Toc55361559"/>
      <w:bookmarkStart w:id="309" w:name="_Toc28222"/>
      <w:bookmarkStart w:id="310" w:name="_Toc3841"/>
      <w:bookmarkStart w:id="311" w:name="_Toc54687793"/>
      <w:bookmarkStart w:id="312" w:name="_Toc252533197"/>
      <w:bookmarkStart w:id="313" w:name="_Toc30885"/>
      <w:bookmarkStart w:id="314" w:name="_Toc54616957"/>
      <w:bookmarkStart w:id="315" w:name="_Toc54617206"/>
      <w:bookmarkStart w:id="316" w:name="_Toc54617115"/>
      <w:bookmarkStart w:id="317" w:name="_Toc11648"/>
      <w:bookmarkStart w:id="318" w:name="_Toc219518691"/>
      <w:bookmarkStart w:id="319" w:name="_Toc54618784"/>
      <w:bookmarkStart w:id="320" w:name="_Toc3808985"/>
      <w:bookmarkStart w:id="321" w:name="_Toc97531131"/>
      <w:bookmarkStart w:id="322" w:name="_Toc98815414"/>
      <w:bookmarkStart w:id="323" w:name="_Toc21757"/>
      <w:bookmarkStart w:id="324" w:name="_Toc190935725"/>
      <w:r w:rsidRPr="00123108">
        <w:rPr>
          <w:rFonts w:ascii="宋体" w:eastAsia="宋体" w:cs="宋体" w:hint="eastAsia"/>
          <w:sz w:val="28"/>
          <w:szCs w:val="28"/>
        </w:rPr>
        <w:t>2.1  企业</w:t>
      </w:r>
      <w:bookmarkEnd w:id="296"/>
      <w:bookmarkEnd w:id="297"/>
      <w:bookmarkEnd w:id="298"/>
      <w:bookmarkEnd w:id="299"/>
      <w:bookmarkEnd w:id="300"/>
      <w:r w:rsidRPr="00123108">
        <w:rPr>
          <w:rFonts w:ascii="宋体" w:eastAsia="宋体" w:cs="宋体" w:hint="eastAsia"/>
          <w:sz w:val="28"/>
          <w:szCs w:val="28"/>
        </w:rPr>
        <w:t>简介</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rsidR="004F34D9" w:rsidRPr="00123108" w:rsidRDefault="004F34D9" w:rsidP="00E36E64">
      <w:pPr>
        <w:spacing w:line="500" w:lineRule="exact"/>
        <w:ind w:firstLine="573"/>
        <w:rPr>
          <w:rFonts w:ascii="宋体" w:hAnsi="宋体" w:hint="eastAsia"/>
          <w:sz w:val="28"/>
          <w:szCs w:val="28"/>
        </w:rPr>
      </w:pPr>
      <w:r w:rsidRPr="00123108">
        <w:rPr>
          <w:rFonts w:ascii="宋体" w:hAnsi="宋体" w:hint="eastAsia"/>
          <w:sz w:val="28"/>
          <w:szCs w:val="28"/>
        </w:rPr>
        <w:t>宁波新桥化工有限公司（以下简称“新桥化工”）成立于1996年3月21日，注册地址为</w:t>
      </w:r>
      <w:r w:rsidRPr="00123108">
        <w:rPr>
          <w:rFonts w:ascii="宋体" w:hAnsi="宋体" w:hint="eastAsia"/>
          <w:bCs/>
          <w:sz w:val="28"/>
          <w:szCs w:val="28"/>
        </w:rPr>
        <w:t>宁波市北仑区金鸡山路98号。</w:t>
      </w:r>
      <w:r w:rsidRPr="00123108">
        <w:rPr>
          <w:rFonts w:ascii="宋体" w:hAnsi="宋体" w:hint="eastAsia"/>
          <w:sz w:val="28"/>
          <w:szCs w:val="28"/>
        </w:rPr>
        <w:t>新桥化工</w:t>
      </w:r>
      <w:r w:rsidRPr="00123108">
        <w:rPr>
          <w:rFonts w:ascii="宋体" w:hAnsi="宋体"/>
          <w:sz w:val="28"/>
          <w:szCs w:val="28"/>
        </w:rPr>
        <w:t>前身为宁波和桥化工有限公司</w:t>
      </w:r>
      <w:r w:rsidRPr="00123108">
        <w:rPr>
          <w:rFonts w:ascii="宋体" w:hAnsi="宋体" w:hint="eastAsia"/>
          <w:sz w:val="28"/>
          <w:szCs w:val="28"/>
        </w:rPr>
        <w:t>（成立于1</w:t>
      </w:r>
      <w:r w:rsidRPr="00123108">
        <w:rPr>
          <w:rFonts w:ascii="宋体" w:hAnsi="宋体"/>
          <w:sz w:val="28"/>
          <w:szCs w:val="28"/>
        </w:rPr>
        <w:t>990</w:t>
      </w:r>
      <w:r w:rsidRPr="00123108">
        <w:rPr>
          <w:rFonts w:ascii="宋体" w:hAnsi="宋体" w:hint="eastAsia"/>
          <w:sz w:val="28"/>
          <w:szCs w:val="28"/>
        </w:rPr>
        <w:t>年）</w:t>
      </w:r>
      <w:r w:rsidRPr="00123108">
        <w:rPr>
          <w:rFonts w:ascii="宋体" w:hAnsi="宋体"/>
          <w:sz w:val="28"/>
          <w:szCs w:val="28"/>
        </w:rPr>
        <w:t>，</w:t>
      </w:r>
      <w:r w:rsidRPr="00123108">
        <w:rPr>
          <w:rFonts w:ascii="宋体" w:hAnsi="宋体" w:hint="eastAsia"/>
          <w:sz w:val="28"/>
          <w:szCs w:val="28"/>
        </w:rPr>
        <w:t>是台湾</w:t>
      </w:r>
      <w:r w:rsidRPr="00123108">
        <w:rPr>
          <w:rFonts w:ascii="宋体" w:hAnsi="宋体"/>
          <w:sz w:val="28"/>
          <w:szCs w:val="28"/>
        </w:rPr>
        <w:t>见龙机构</w:t>
      </w:r>
      <w:r w:rsidRPr="00123108">
        <w:rPr>
          <w:rFonts w:ascii="宋体" w:hAnsi="宋体" w:hint="eastAsia"/>
          <w:sz w:val="28"/>
          <w:szCs w:val="28"/>
        </w:rPr>
        <w:t>在中国大陆设立的首家企业</w:t>
      </w:r>
      <w:r w:rsidRPr="00123108">
        <w:rPr>
          <w:rFonts w:ascii="宋体" w:hAnsi="宋体"/>
          <w:sz w:val="28"/>
          <w:szCs w:val="28"/>
        </w:rPr>
        <w:t>，</w:t>
      </w:r>
      <w:r w:rsidRPr="00123108">
        <w:rPr>
          <w:rFonts w:ascii="宋体" w:hAnsi="宋体" w:hint="eastAsia"/>
          <w:sz w:val="28"/>
          <w:szCs w:val="28"/>
        </w:rPr>
        <w:t>该公司</w:t>
      </w:r>
      <w:r w:rsidRPr="00123108">
        <w:rPr>
          <w:rFonts w:ascii="宋体" w:hAnsi="宋体"/>
          <w:sz w:val="28"/>
          <w:szCs w:val="28"/>
        </w:rPr>
        <w:t>法定代表人为</w:t>
      </w:r>
      <w:r w:rsidRPr="00123108">
        <w:rPr>
          <w:rFonts w:ascii="宋体" w:hAnsi="宋体" w:hint="eastAsia"/>
          <w:sz w:val="28"/>
          <w:szCs w:val="28"/>
        </w:rPr>
        <w:t>杨政达</w:t>
      </w:r>
      <w:r w:rsidRPr="00123108">
        <w:rPr>
          <w:rFonts w:ascii="宋体" w:hAnsi="宋体"/>
          <w:sz w:val="28"/>
          <w:szCs w:val="28"/>
        </w:rPr>
        <w:t>，注册资本</w:t>
      </w:r>
      <w:r w:rsidRPr="00123108">
        <w:rPr>
          <w:rFonts w:ascii="宋体" w:hAnsi="宋体" w:hint="eastAsia"/>
          <w:sz w:val="28"/>
          <w:szCs w:val="28"/>
        </w:rPr>
        <w:t>3650</w:t>
      </w:r>
      <w:r w:rsidRPr="00123108">
        <w:rPr>
          <w:rFonts w:ascii="宋体" w:hAnsi="宋体"/>
          <w:sz w:val="28"/>
          <w:szCs w:val="28"/>
        </w:rPr>
        <w:t>万美元</w:t>
      </w:r>
      <w:r w:rsidRPr="00123108">
        <w:rPr>
          <w:rFonts w:ascii="宋体" w:hAnsi="宋体" w:hint="eastAsia"/>
          <w:sz w:val="28"/>
          <w:szCs w:val="28"/>
        </w:rPr>
        <w:t>。</w:t>
      </w:r>
    </w:p>
    <w:p w:rsidR="00E006F5" w:rsidRDefault="004F34D9" w:rsidP="00E36E64">
      <w:pPr>
        <w:spacing w:line="500" w:lineRule="exact"/>
        <w:ind w:firstLine="573"/>
        <w:rPr>
          <w:rFonts w:hint="eastAsia"/>
          <w:b/>
          <w:bCs/>
        </w:rPr>
      </w:pPr>
      <w:r w:rsidRPr="00123108">
        <w:rPr>
          <w:rFonts w:ascii="宋体" w:hAnsi="宋体" w:hint="eastAsia"/>
          <w:sz w:val="28"/>
          <w:szCs w:val="28"/>
        </w:rPr>
        <w:t>宁波新桥化工有限公司一期工程</w:t>
      </w:r>
      <w:r w:rsidR="006F2491" w:rsidRPr="00123108">
        <w:rPr>
          <w:rFonts w:ascii="宋体" w:hAnsi="宋体" w:hint="eastAsia"/>
          <w:sz w:val="28"/>
          <w:szCs w:val="28"/>
        </w:rPr>
        <w:t>始</w:t>
      </w:r>
      <w:r w:rsidRPr="00123108">
        <w:rPr>
          <w:rFonts w:ascii="宋体" w:hAnsi="宋体" w:hint="eastAsia"/>
          <w:sz w:val="28"/>
          <w:szCs w:val="28"/>
        </w:rPr>
        <w:t>建于</w:t>
      </w:r>
      <w:bookmarkStart w:id="325" w:name="OLE_LINK62"/>
      <w:bookmarkStart w:id="326" w:name="OLE_LINK63"/>
      <w:r w:rsidR="00E006F5" w:rsidRPr="00E006F5">
        <w:rPr>
          <w:rFonts w:ascii="宋体" w:hAnsi="宋体" w:hint="eastAsia"/>
          <w:b/>
          <w:sz w:val="28"/>
          <w:szCs w:val="28"/>
        </w:rPr>
        <w:t>涉及企业机密，不予公开。</w:t>
      </w:r>
      <w:bookmarkEnd w:id="325"/>
      <w:bookmarkEnd w:id="326"/>
    </w:p>
    <w:p w:rsidR="004F34D9" w:rsidRPr="00123108" w:rsidRDefault="004F34D9" w:rsidP="00E36E64">
      <w:pPr>
        <w:spacing w:line="500" w:lineRule="exact"/>
        <w:ind w:firstLine="573"/>
        <w:rPr>
          <w:rFonts w:ascii="宋体" w:hAnsi="宋体" w:cs="宋体" w:hint="eastAsia"/>
          <w:sz w:val="28"/>
          <w:szCs w:val="28"/>
        </w:rPr>
      </w:pPr>
      <w:r w:rsidRPr="00123108">
        <w:rPr>
          <w:rFonts w:ascii="宋体" w:hAnsi="宋体" w:hint="eastAsia"/>
          <w:sz w:val="28"/>
          <w:szCs w:val="28"/>
        </w:rPr>
        <w:t>根据</w:t>
      </w:r>
      <w:r w:rsidRPr="00123108">
        <w:rPr>
          <w:rFonts w:ascii="宋体" w:hAnsi="宋体" w:hint="eastAsia"/>
          <w:sz w:val="28"/>
        </w:rPr>
        <w:t>《危险化学品目录》（2015版）原</w:t>
      </w:r>
      <w:r w:rsidRPr="00123108">
        <w:rPr>
          <w:rFonts w:ascii="宋体" w:hAnsi="宋体" w:hint="eastAsia"/>
          <w:sz w:val="28"/>
          <w:lang w:val="zh-CN"/>
        </w:rPr>
        <w:t>国家安全生产监督管理总局</w:t>
      </w:r>
      <w:r w:rsidRPr="00123108">
        <w:rPr>
          <w:rFonts w:ascii="宋体" w:hAnsi="宋体" w:hint="eastAsia"/>
          <w:sz w:val="28"/>
        </w:rPr>
        <w:t>等部局公告2015年第5号（2022年第8号修改）</w:t>
      </w:r>
      <w:r w:rsidRPr="00123108">
        <w:rPr>
          <w:rFonts w:ascii="宋体" w:hAnsi="宋体" w:hint="eastAsia"/>
          <w:sz w:val="28"/>
          <w:szCs w:val="28"/>
        </w:rPr>
        <w:t>可发性聚苯乙烯（EPS）为危险化学品，因此新桥化工</w:t>
      </w:r>
      <w:r w:rsidRPr="00123108">
        <w:rPr>
          <w:rFonts w:ascii="宋体" w:hAnsi="宋体" w:cs="宋体" w:hint="eastAsia"/>
          <w:sz w:val="28"/>
          <w:szCs w:val="28"/>
        </w:rPr>
        <w:t>属于危险化学品生产企业。</w:t>
      </w:r>
    </w:p>
    <w:p w:rsidR="004F34D9" w:rsidRPr="00123108" w:rsidRDefault="004F34D9" w:rsidP="00E36E64">
      <w:pPr>
        <w:spacing w:line="500" w:lineRule="exact"/>
        <w:ind w:firstLine="573"/>
        <w:rPr>
          <w:rFonts w:ascii="宋体" w:hAnsi="宋体" w:cs="宋体" w:hint="eastAsia"/>
          <w:sz w:val="28"/>
          <w:szCs w:val="28"/>
        </w:rPr>
      </w:pPr>
      <w:r w:rsidRPr="00123108">
        <w:rPr>
          <w:rFonts w:ascii="宋体" w:hAnsi="宋体" w:cs="宋体" w:hint="eastAsia"/>
          <w:sz w:val="28"/>
          <w:szCs w:val="28"/>
        </w:rPr>
        <w:t>公司已于2021年6月25日通过延期换证申领的危险化学品安全生产许可证</w:t>
      </w:r>
      <w:r w:rsidRPr="00123108">
        <w:rPr>
          <w:rFonts w:ascii="宋体" w:hint="eastAsia"/>
          <w:sz w:val="28"/>
          <w:szCs w:val="28"/>
        </w:rPr>
        <w:t>，编号：（浙）WH安许证字[2021]-B-0741，许可范围：</w:t>
      </w:r>
      <w:r w:rsidRPr="00123108">
        <w:rPr>
          <w:rFonts w:ascii="宋体" w:hAnsi="宋体" w:cs="宋体" w:hint="eastAsia"/>
          <w:sz w:val="28"/>
          <w:szCs w:val="28"/>
        </w:rPr>
        <w:t>年产：</w:t>
      </w:r>
      <w:r w:rsidRPr="00123108">
        <w:rPr>
          <w:rFonts w:ascii="宋体" w:hAnsi="宋体" w:hint="eastAsia"/>
          <w:sz w:val="28"/>
          <w:szCs w:val="28"/>
        </w:rPr>
        <w:t>可发性聚苯乙烯（EPS）12万吨</w:t>
      </w:r>
      <w:r w:rsidRPr="00123108">
        <w:rPr>
          <w:rFonts w:ascii="宋体" w:hAnsi="宋体" w:cs="宋体" w:hint="eastAsia"/>
          <w:sz w:val="28"/>
          <w:szCs w:val="28"/>
        </w:rPr>
        <w:t>。</w:t>
      </w:r>
      <w:r w:rsidRPr="00123108">
        <w:rPr>
          <w:rFonts w:ascii="宋体" w:hint="eastAsia"/>
          <w:sz w:val="28"/>
          <w:szCs w:val="28"/>
        </w:rPr>
        <w:t>有效期为2021年6月25日至2024年6月24日。</w:t>
      </w:r>
    </w:p>
    <w:p w:rsidR="004F34D9" w:rsidRPr="00123108" w:rsidRDefault="004F34D9" w:rsidP="00E36E64">
      <w:pPr>
        <w:spacing w:line="500" w:lineRule="exact"/>
        <w:ind w:firstLineChars="200" w:firstLine="560"/>
        <w:rPr>
          <w:rFonts w:ascii="宋体" w:hAnsi="宋体" w:cs="宋体" w:hint="eastAsia"/>
          <w:sz w:val="28"/>
        </w:rPr>
      </w:pPr>
      <w:r w:rsidRPr="00123108">
        <w:rPr>
          <w:rFonts w:ascii="宋体" w:hAnsi="宋体" w:cs="宋体" w:hint="eastAsia"/>
          <w:bCs/>
          <w:kern w:val="0"/>
          <w:sz w:val="28"/>
          <w:szCs w:val="28"/>
          <w:lang w:val="zh-CN"/>
        </w:rPr>
        <w:t>新桥化工</w:t>
      </w:r>
      <w:r w:rsidRPr="00123108">
        <w:rPr>
          <w:rFonts w:ascii="宋体" w:hAnsi="宋体" w:cs="宋体" w:hint="eastAsia"/>
          <w:sz w:val="28"/>
        </w:rPr>
        <w:t>基本情况见表2.1-1，已有相关证件信息见表2.1-2。</w:t>
      </w:r>
    </w:p>
    <w:p w:rsidR="004F34D9" w:rsidRPr="00123108" w:rsidRDefault="004F34D9" w:rsidP="00E36E64">
      <w:pPr>
        <w:spacing w:line="500" w:lineRule="exact"/>
        <w:jc w:val="center"/>
        <w:rPr>
          <w:rFonts w:ascii="宋体" w:hAnsi="宋体" w:cs="宋体" w:hint="eastAsia"/>
          <w:b/>
          <w:bCs/>
          <w:sz w:val="28"/>
        </w:rPr>
      </w:pPr>
      <w:r w:rsidRPr="00123108">
        <w:rPr>
          <w:rFonts w:ascii="宋体" w:hAnsi="宋体" w:cs="宋体" w:hint="eastAsia"/>
          <w:b/>
          <w:bCs/>
          <w:sz w:val="28"/>
        </w:rPr>
        <w:t xml:space="preserve">表2.1-1  </w:t>
      </w:r>
      <w:r w:rsidRPr="00123108">
        <w:rPr>
          <w:rFonts w:ascii="宋体" w:hAnsi="宋体" w:cs="宋体" w:hint="eastAsia"/>
          <w:b/>
          <w:bCs/>
          <w:sz w:val="28"/>
          <w:lang w:val="zh-CN"/>
        </w:rPr>
        <w:t>新桥化工</w:t>
      </w:r>
      <w:r w:rsidRPr="00123108">
        <w:rPr>
          <w:rFonts w:ascii="宋体" w:hAnsi="宋体" w:cs="宋体" w:hint="eastAsia"/>
          <w:b/>
          <w:bCs/>
          <w:sz w:val="28"/>
        </w:rPr>
        <w:t>基本情况表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3"/>
        <w:gridCol w:w="2860"/>
        <w:gridCol w:w="1952"/>
        <w:gridCol w:w="2809"/>
      </w:tblGrid>
      <w:tr w:rsidR="004F34D9" w:rsidRPr="00123108">
        <w:trPr>
          <w:trHeight w:val="397"/>
          <w:jc w:val="center"/>
        </w:trPr>
        <w:tc>
          <w:tcPr>
            <w:tcW w:w="846" w:type="pct"/>
            <w:vAlign w:val="center"/>
          </w:tcPr>
          <w:p w:rsidR="004F34D9" w:rsidRPr="00123108" w:rsidRDefault="004F34D9">
            <w:pPr>
              <w:rPr>
                <w:rFonts w:ascii="宋体" w:hAnsi="宋体"/>
                <w:bCs/>
                <w:szCs w:val="21"/>
              </w:rPr>
            </w:pPr>
            <w:r w:rsidRPr="00123108">
              <w:rPr>
                <w:rFonts w:ascii="宋体" w:hAnsi="宋体" w:hint="eastAsia"/>
                <w:bCs/>
                <w:szCs w:val="21"/>
              </w:rPr>
              <w:t>企业名称</w:t>
            </w:r>
          </w:p>
        </w:tc>
        <w:tc>
          <w:tcPr>
            <w:tcW w:w="1559" w:type="pct"/>
            <w:vAlign w:val="center"/>
          </w:tcPr>
          <w:p w:rsidR="004F34D9" w:rsidRPr="00123108" w:rsidRDefault="004F34D9">
            <w:pPr>
              <w:rPr>
                <w:rFonts w:ascii="宋体" w:hAnsi="宋体"/>
                <w:bCs/>
                <w:szCs w:val="21"/>
              </w:rPr>
            </w:pPr>
            <w:r w:rsidRPr="00123108">
              <w:rPr>
                <w:rFonts w:ascii="宋体" w:hAnsi="宋体" w:hint="eastAsia"/>
                <w:bCs/>
                <w:szCs w:val="21"/>
              </w:rPr>
              <w:t>宁波新桥化工有限公司</w:t>
            </w:r>
          </w:p>
        </w:tc>
        <w:tc>
          <w:tcPr>
            <w:tcW w:w="1064" w:type="pct"/>
            <w:vAlign w:val="center"/>
          </w:tcPr>
          <w:p w:rsidR="004F34D9" w:rsidRPr="00123108" w:rsidRDefault="004F34D9">
            <w:pPr>
              <w:rPr>
                <w:rFonts w:ascii="宋体" w:hAnsi="宋体"/>
                <w:bCs/>
                <w:szCs w:val="21"/>
              </w:rPr>
            </w:pPr>
            <w:r w:rsidRPr="00123108">
              <w:rPr>
                <w:rFonts w:ascii="宋体" w:hAnsi="宋体" w:hint="eastAsia"/>
                <w:bCs/>
                <w:szCs w:val="21"/>
              </w:rPr>
              <w:t>统一社会信用代码</w:t>
            </w:r>
          </w:p>
        </w:tc>
        <w:tc>
          <w:tcPr>
            <w:tcW w:w="1531" w:type="pct"/>
            <w:vAlign w:val="center"/>
          </w:tcPr>
          <w:p w:rsidR="004F34D9" w:rsidRPr="00123108" w:rsidRDefault="004F34D9">
            <w:pPr>
              <w:rPr>
                <w:rFonts w:ascii="宋体" w:hAnsi="宋体"/>
                <w:bCs/>
                <w:szCs w:val="21"/>
              </w:rPr>
            </w:pPr>
            <w:r w:rsidRPr="00123108">
              <w:rPr>
                <w:rFonts w:ascii="宋体" w:hAnsi="宋体" w:hint="eastAsia"/>
                <w:bCs/>
                <w:szCs w:val="21"/>
              </w:rPr>
              <w:t>91330206610273794R（1/1）</w:t>
            </w:r>
          </w:p>
        </w:tc>
      </w:tr>
      <w:tr w:rsidR="004F34D9" w:rsidRPr="00123108">
        <w:trPr>
          <w:trHeight w:val="397"/>
          <w:jc w:val="center"/>
        </w:trPr>
        <w:tc>
          <w:tcPr>
            <w:tcW w:w="846" w:type="pct"/>
            <w:vAlign w:val="center"/>
          </w:tcPr>
          <w:p w:rsidR="004F34D9" w:rsidRPr="00123108" w:rsidRDefault="004F34D9">
            <w:pPr>
              <w:rPr>
                <w:rFonts w:ascii="宋体" w:hAnsi="宋体"/>
                <w:bCs/>
                <w:szCs w:val="21"/>
              </w:rPr>
            </w:pPr>
            <w:r w:rsidRPr="00123108">
              <w:rPr>
                <w:rFonts w:ascii="宋体" w:hAnsi="宋体" w:hint="eastAsia"/>
                <w:bCs/>
                <w:szCs w:val="21"/>
              </w:rPr>
              <w:t>企业性质</w:t>
            </w:r>
          </w:p>
        </w:tc>
        <w:tc>
          <w:tcPr>
            <w:tcW w:w="4154" w:type="pct"/>
            <w:gridSpan w:val="3"/>
            <w:vAlign w:val="center"/>
          </w:tcPr>
          <w:p w:rsidR="004F34D9" w:rsidRPr="00123108" w:rsidRDefault="004F34D9">
            <w:pPr>
              <w:rPr>
                <w:rFonts w:ascii="宋体" w:hAnsi="宋体"/>
                <w:bCs/>
                <w:szCs w:val="21"/>
              </w:rPr>
            </w:pPr>
            <w:bookmarkStart w:id="327" w:name="OLE_LINK40"/>
            <w:bookmarkStart w:id="328" w:name="OLE_LINK41"/>
            <w:bookmarkStart w:id="329" w:name="OLE_LINK42"/>
            <w:r w:rsidRPr="00123108">
              <w:rPr>
                <w:rFonts w:ascii="宋体" w:hAnsi="宋体" w:hint="eastAsia"/>
                <w:bCs/>
                <w:szCs w:val="21"/>
              </w:rPr>
              <w:t>有限责任公司（台港澳与外国投资者合资）</w:t>
            </w:r>
            <w:bookmarkEnd w:id="327"/>
            <w:bookmarkEnd w:id="328"/>
            <w:bookmarkEnd w:id="329"/>
          </w:p>
        </w:tc>
      </w:tr>
      <w:tr w:rsidR="004F34D9" w:rsidRPr="00123108">
        <w:trPr>
          <w:trHeight w:val="397"/>
          <w:jc w:val="center"/>
        </w:trPr>
        <w:tc>
          <w:tcPr>
            <w:tcW w:w="846" w:type="pct"/>
            <w:vAlign w:val="center"/>
          </w:tcPr>
          <w:p w:rsidR="004F34D9" w:rsidRPr="00123108" w:rsidRDefault="004F34D9">
            <w:pPr>
              <w:rPr>
                <w:rFonts w:ascii="宋体" w:hAnsi="宋体"/>
                <w:bCs/>
                <w:szCs w:val="21"/>
              </w:rPr>
            </w:pPr>
            <w:r w:rsidRPr="00123108">
              <w:rPr>
                <w:rFonts w:ascii="宋体" w:hAnsi="宋体" w:hint="eastAsia"/>
                <w:bCs/>
                <w:szCs w:val="21"/>
              </w:rPr>
              <w:t>法人代表</w:t>
            </w:r>
          </w:p>
        </w:tc>
        <w:tc>
          <w:tcPr>
            <w:tcW w:w="1559" w:type="pct"/>
            <w:vAlign w:val="center"/>
          </w:tcPr>
          <w:p w:rsidR="004F34D9" w:rsidRPr="00123108" w:rsidRDefault="004F34D9">
            <w:pPr>
              <w:rPr>
                <w:rFonts w:ascii="宋体" w:hAnsi="宋体"/>
                <w:bCs/>
                <w:szCs w:val="21"/>
              </w:rPr>
            </w:pPr>
            <w:r w:rsidRPr="00123108">
              <w:rPr>
                <w:rFonts w:ascii="宋体" w:hAnsi="宋体" w:hint="eastAsia"/>
                <w:bCs/>
                <w:szCs w:val="21"/>
              </w:rPr>
              <w:t>杨政达</w:t>
            </w:r>
          </w:p>
        </w:tc>
        <w:tc>
          <w:tcPr>
            <w:tcW w:w="1064" w:type="pct"/>
            <w:vAlign w:val="center"/>
          </w:tcPr>
          <w:p w:rsidR="004F34D9" w:rsidRPr="00123108" w:rsidRDefault="004F34D9">
            <w:pPr>
              <w:rPr>
                <w:rFonts w:ascii="宋体" w:hAnsi="宋体"/>
                <w:bCs/>
                <w:szCs w:val="21"/>
              </w:rPr>
            </w:pPr>
            <w:r w:rsidRPr="00123108">
              <w:rPr>
                <w:rFonts w:ascii="宋体" w:hAnsi="宋体" w:hint="eastAsia"/>
                <w:bCs/>
                <w:szCs w:val="21"/>
              </w:rPr>
              <w:t>企业人数</w:t>
            </w:r>
          </w:p>
        </w:tc>
        <w:tc>
          <w:tcPr>
            <w:tcW w:w="1531" w:type="pct"/>
            <w:vAlign w:val="center"/>
          </w:tcPr>
          <w:p w:rsidR="004F34D9" w:rsidRPr="00123108" w:rsidRDefault="00960EBE">
            <w:pPr>
              <w:rPr>
                <w:rFonts w:ascii="宋体" w:hAnsi="宋体"/>
                <w:bCs/>
                <w:szCs w:val="21"/>
              </w:rPr>
            </w:pPr>
            <w:r w:rsidRPr="00123108">
              <w:rPr>
                <w:rFonts w:ascii="宋体" w:hAnsi="宋体" w:hint="eastAsia"/>
                <w:bCs/>
                <w:szCs w:val="21"/>
              </w:rPr>
              <w:t>93</w:t>
            </w:r>
            <w:r w:rsidR="004F34D9" w:rsidRPr="00123108">
              <w:rPr>
                <w:rFonts w:ascii="宋体" w:hAnsi="宋体" w:hint="eastAsia"/>
                <w:bCs/>
                <w:szCs w:val="21"/>
              </w:rPr>
              <w:t>人</w:t>
            </w:r>
          </w:p>
        </w:tc>
      </w:tr>
      <w:tr w:rsidR="004F34D9" w:rsidRPr="00123108">
        <w:trPr>
          <w:trHeight w:val="397"/>
          <w:jc w:val="center"/>
        </w:trPr>
        <w:tc>
          <w:tcPr>
            <w:tcW w:w="846" w:type="pct"/>
            <w:vAlign w:val="center"/>
          </w:tcPr>
          <w:p w:rsidR="004F34D9" w:rsidRPr="00123108" w:rsidRDefault="004F34D9">
            <w:pPr>
              <w:rPr>
                <w:rFonts w:ascii="宋体" w:hAnsi="宋体"/>
                <w:bCs/>
                <w:szCs w:val="21"/>
              </w:rPr>
            </w:pPr>
            <w:r w:rsidRPr="00123108">
              <w:rPr>
                <w:rFonts w:ascii="宋体" w:hAnsi="宋体" w:hint="eastAsia"/>
                <w:bCs/>
                <w:szCs w:val="21"/>
              </w:rPr>
              <w:t>注册资本</w:t>
            </w:r>
          </w:p>
        </w:tc>
        <w:tc>
          <w:tcPr>
            <w:tcW w:w="1559" w:type="pct"/>
            <w:vAlign w:val="center"/>
          </w:tcPr>
          <w:p w:rsidR="004F34D9" w:rsidRPr="00123108" w:rsidRDefault="004F34D9">
            <w:pPr>
              <w:rPr>
                <w:rFonts w:ascii="宋体" w:hAnsi="宋体"/>
                <w:bCs/>
                <w:szCs w:val="21"/>
              </w:rPr>
            </w:pPr>
            <w:r w:rsidRPr="00123108">
              <w:rPr>
                <w:rFonts w:ascii="宋体" w:hAnsi="宋体" w:hint="eastAsia"/>
                <w:bCs/>
                <w:szCs w:val="21"/>
              </w:rPr>
              <w:t>叁仟陆佰伍拾万美元</w:t>
            </w:r>
          </w:p>
        </w:tc>
        <w:tc>
          <w:tcPr>
            <w:tcW w:w="1064" w:type="pct"/>
            <w:vAlign w:val="center"/>
          </w:tcPr>
          <w:p w:rsidR="004F34D9" w:rsidRPr="00123108" w:rsidRDefault="004F34D9">
            <w:pPr>
              <w:rPr>
                <w:rFonts w:ascii="宋体" w:hAnsi="宋体"/>
                <w:bCs/>
                <w:szCs w:val="21"/>
              </w:rPr>
            </w:pPr>
            <w:r w:rsidRPr="00123108">
              <w:rPr>
                <w:rFonts w:ascii="宋体" w:hAnsi="宋体" w:hint="eastAsia"/>
                <w:bCs/>
                <w:szCs w:val="21"/>
              </w:rPr>
              <w:t>注册日期</w:t>
            </w:r>
          </w:p>
        </w:tc>
        <w:tc>
          <w:tcPr>
            <w:tcW w:w="1531" w:type="pct"/>
            <w:vAlign w:val="center"/>
          </w:tcPr>
          <w:p w:rsidR="004F34D9" w:rsidRPr="00123108" w:rsidRDefault="004F34D9">
            <w:pPr>
              <w:rPr>
                <w:rFonts w:ascii="宋体" w:hAnsi="宋体"/>
                <w:bCs/>
                <w:szCs w:val="21"/>
              </w:rPr>
            </w:pPr>
            <w:r w:rsidRPr="00123108">
              <w:rPr>
                <w:rFonts w:ascii="宋体" w:hAnsi="宋体" w:hint="eastAsia"/>
                <w:bCs/>
                <w:szCs w:val="21"/>
              </w:rPr>
              <w:t>1996年3月21日</w:t>
            </w:r>
          </w:p>
        </w:tc>
      </w:tr>
      <w:tr w:rsidR="004F34D9" w:rsidRPr="00123108">
        <w:trPr>
          <w:trHeight w:val="397"/>
          <w:jc w:val="center"/>
        </w:trPr>
        <w:tc>
          <w:tcPr>
            <w:tcW w:w="846" w:type="pct"/>
            <w:vAlign w:val="center"/>
          </w:tcPr>
          <w:p w:rsidR="004F34D9" w:rsidRPr="00123108" w:rsidRDefault="004F34D9">
            <w:pPr>
              <w:rPr>
                <w:rFonts w:ascii="宋体" w:hAnsi="宋体"/>
                <w:bCs/>
                <w:szCs w:val="21"/>
              </w:rPr>
            </w:pPr>
            <w:r w:rsidRPr="00123108">
              <w:rPr>
                <w:rFonts w:ascii="宋体" w:hAnsi="宋体" w:hint="eastAsia"/>
                <w:bCs/>
                <w:szCs w:val="21"/>
              </w:rPr>
              <w:t>注册地址</w:t>
            </w:r>
          </w:p>
        </w:tc>
        <w:tc>
          <w:tcPr>
            <w:tcW w:w="1559" w:type="pct"/>
            <w:vAlign w:val="center"/>
          </w:tcPr>
          <w:p w:rsidR="004F34D9" w:rsidRPr="00123108" w:rsidRDefault="004F34D9">
            <w:pPr>
              <w:rPr>
                <w:rFonts w:ascii="宋体" w:hAnsi="宋体"/>
                <w:bCs/>
                <w:szCs w:val="21"/>
              </w:rPr>
            </w:pPr>
            <w:r w:rsidRPr="00123108">
              <w:rPr>
                <w:rFonts w:ascii="宋体" w:hAnsi="宋体" w:hint="eastAsia"/>
                <w:bCs/>
                <w:szCs w:val="21"/>
              </w:rPr>
              <w:t>宁波市北仑区金鸡山路98号</w:t>
            </w:r>
          </w:p>
        </w:tc>
        <w:tc>
          <w:tcPr>
            <w:tcW w:w="1064" w:type="pct"/>
            <w:vAlign w:val="center"/>
          </w:tcPr>
          <w:p w:rsidR="004F34D9" w:rsidRPr="00123108" w:rsidRDefault="004F34D9">
            <w:pPr>
              <w:rPr>
                <w:rFonts w:ascii="宋体" w:hAnsi="宋体"/>
                <w:bCs/>
                <w:szCs w:val="21"/>
              </w:rPr>
            </w:pPr>
            <w:r w:rsidRPr="00123108">
              <w:rPr>
                <w:rFonts w:ascii="宋体" w:hAnsi="宋体" w:hint="eastAsia"/>
                <w:bCs/>
                <w:szCs w:val="21"/>
              </w:rPr>
              <w:t>电话</w:t>
            </w:r>
          </w:p>
        </w:tc>
        <w:tc>
          <w:tcPr>
            <w:tcW w:w="1531" w:type="pct"/>
            <w:vAlign w:val="center"/>
          </w:tcPr>
          <w:p w:rsidR="004F34D9" w:rsidRPr="00123108" w:rsidRDefault="004F34D9">
            <w:pPr>
              <w:rPr>
                <w:rFonts w:ascii="宋体" w:hAnsi="宋体"/>
                <w:bCs/>
                <w:szCs w:val="21"/>
              </w:rPr>
            </w:pPr>
            <w:r w:rsidRPr="00123108">
              <w:rPr>
                <w:rFonts w:ascii="宋体" w:hAnsi="宋体" w:hint="eastAsia"/>
                <w:bCs/>
                <w:szCs w:val="21"/>
              </w:rPr>
              <w:t>86229589</w:t>
            </w:r>
          </w:p>
        </w:tc>
      </w:tr>
      <w:tr w:rsidR="004F34D9" w:rsidRPr="00123108">
        <w:trPr>
          <w:trHeight w:val="397"/>
          <w:jc w:val="center"/>
        </w:trPr>
        <w:tc>
          <w:tcPr>
            <w:tcW w:w="846" w:type="pct"/>
            <w:vAlign w:val="center"/>
          </w:tcPr>
          <w:p w:rsidR="004F34D9" w:rsidRPr="00123108" w:rsidRDefault="004F34D9">
            <w:pPr>
              <w:rPr>
                <w:rFonts w:ascii="宋体" w:hAnsi="宋体"/>
                <w:bCs/>
                <w:szCs w:val="21"/>
              </w:rPr>
            </w:pPr>
            <w:r w:rsidRPr="00123108">
              <w:rPr>
                <w:rFonts w:ascii="宋体" w:hAnsi="宋体" w:hint="eastAsia"/>
                <w:bCs/>
                <w:szCs w:val="21"/>
              </w:rPr>
              <w:t>主要负责人</w:t>
            </w:r>
          </w:p>
        </w:tc>
        <w:tc>
          <w:tcPr>
            <w:tcW w:w="1559" w:type="pct"/>
            <w:vAlign w:val="center"/>
          </w:tcPr>
          <w:p w:rsidR="004F34D9" w:rsidRPr="00123108" w:rsidRDefault="004F34D9">
            <w:pPr>
              <w:rPr>
                <w:rFonts w:ascii="宋体" w:hAnsi="宋体"/>
                <w:bCs/>
                <w:szCs w:val="21"/>
              </w:rPr>
            </w:pPr>
            <w:r w:rsidRPr="00123108">
              <w:rPr>
                <w:rFonts w:ascii="宋体" w:hAnsi="宋体" w:hint="eastAsia"/>
                <w:bCs/>
                <w:szCs w:val="21"/>
              </w:rPr>
              <w:t>田志雨</w:t>
            </w:r>
          </w:p>
        </w:tc>
        <w:tc>
          <w:tcPr>
            <w:tcW w:w="1064" w:type="pct"/>
            <w:vAlign w:val="center"/>
          </w:tcPr>
          <w:p w:rsidR="004F34D9" w:rsidRPr="00123108" w:rsidRDefault="004F34D9">
            <w:pPr>
              <w:rPr>
                <w:rFonts w:ascii="宋体" w:hAnsi="宋体"/>
                <w:bCs/>
                <w:szCs w:val="21"/>
              </w:rPr>
            </w:pPr>
            <w:r w:rsidRPr="00123108">
              <w:rPr>
                <w:rFonts w:ascii="宋体" w:hAnsi="宋体" w:hint="eastAsia"/>
                <w:szCs w:val="21"/>
              </w:rPr>
              <w:t>安全生产管理部门</w:t>
            </w:r>
          </w:p>
        </w:tc>
        <w:tc>
          <w:tcPr>
            <w:tcW w:w="1531" w:type="pct"/>
            <w:vAlign w:val="center"/>
          </w:tcPr>
          <w:p w:rsidR="004F34D9" w:rsidRPr="00123108" w:rsidRDefault="004F34D9">
            <w:pPr>
              <w:rPr>
                <w:rFonts w:ascii="宋体" w:hAnsi="宋体"/>
                <w:bCs/>
                <w:szCs w:val="21"/>
              </w:rPr>
            </w:pPr>
            <w:r w:rsidRPr="00123108">
              <w:rPr>
                <w:rFonts w:ascii="宋体" w:hAnsi="宋体" w:hint="eastAsia"/>
                <w:szCs w:val="21"/>
              </w:rPr>
              <w:t>安环课</w:t>
            </w:r>
          </w:p>
        </w:tc>
      </w:tr>
      <w:tr w:rsidR="004F34D9" w:rsidRPr="00123108">
        <w:trPr>
          <w:trHeight w:val="397"/>
          <w:jc w:val="center"/>
        </w:trPr>
        <w:tc>
          <w:tcPr>
            <w:tcW w:w="846" w:type="pct"/>
            <w:vAlign w:val="center"/>
          </w:tcPr>
          <w:p w:rsidR="004F34D9" w:rsidRPr="00123108" w:rsidRDefault="004F34D9">
            <w:pPr>
              <w:rPr>
                <w:rFonts w:ascii="宋体" w:hAnsi="宋体"/>
                <w:szCs w:val="21"/>
              </w:rPr>
            </w:pPr>
            <w:r w:rsidRPr="00123108">
              <w:rPr>
                <w:rFonts w:ascii="宋体" w:hAnsi="宋体" w:hint="eastAsia"/>
                <w:spacing w:val="-8"/>
                <w:szCs w:val="21"/>
              </w:rPr>
              <w:t>专职安全生产管理人员</w:t>
            </w:r>
          </w:p>
        </w:tc>
        <w:tc>
          <w:tcPr>
            <w:tcW w:w="1559" w:type="pct"/>
            <w:vAlign w:val="center"/>
          </w:tcPr>
          <w:p w:rsidR="004F34D9" w:rsidRPr="00123108" w:rsidRDefault="004F34D9">
            <w:pPr>
              <w:rPr>
                <w:rFonts w:ascii="宋体" w:hAnsi="宋体" w:hint="eastAsia"/>
                <w:szCs w:val="21"/>
              </w:rPr>
            </w:pPr>
            <w:r w:rsidRPr="00123108">
              <w:rPr>
                <w:rFonts w:ascii="宋体" w:hAnsi="宋体" w:hint="eastAsia"/>
                <w:szCs w:val="21"/>
              </w:rPr>
              <w:t>2人</w:t>
            </w:r>
          </w:p>
        </w:tc>
        <w:tc>
          <w:tcPr>
            <w:tcW w:w="1064" w:type="pct"/>
            <w:vAlign w:val="center"/>
          </w:tcPr>
          <w:p w:rsidR="004F34D9" w:rsidRPr="00123108" w:rsidRDefault="004F34D9">
            <w:pPr>
              <w:rPr>
                <w:rFonts w:ascii="宋体" w:hAnsi="宋体"/>
                <w:bCs/>
                <w:szCs w:val="21"/>
              </w:rPr>
            </w:pPr>
            <w:r w:rsidRPr="00123108">
              <w:rPr>
                <w:rFonts w:ascii="宋体" w:hAnsi="宋体" w:hint="eastAsia"/>
                <w:szCs w:val="21"/>
              </w:rPr>
              <w:t>注册安全工程师</w:t>
            </w:r>
          </w:p>
        </w:tc>
        <w:tc>
          <w:tcPr>
            <w:tcW w:w="1531" w:type="pct"/>
            <w:vAlign w:val="center"/>
          </w:tcPr>
          <w:p w:rsidR="004F34D9" w:rsidRPr="00123108" w:rsidRDefault="004F34D9">
            <w:pPr>
              <w:rPr>
                <w:rFonts w:ascii="宋体" w:hAnsi="宋体"/>
                <w:bCs/>
                <w:szCs w:val="21"/>
              </w:rPr>
            </w:pPr>
            <w:r w:rsidRPr="00123108">
              <w:rPr>
                <w:rFonts w:ascii="宋体" w:hAnsi="宋体" w:hint="eastAsia"/>
                <w:bCs/>
                <w:szCs w:val="21"/>
              </w:rPr>
              <w:t>2</w:t>
            </w:r>
          </w:p>
        </w:tc>
      </w:tr>
      <w:tr w:rsidR="004F34D9" w:rsidRPr="00123108">
        <w:trPr>
          <w:trHeight w:val="397"/>
          <w:jc w:val="center"/>
        </w:trPr>
        <w:tc>
          <w:tcPr>
            <w:tcW w:w="846" w:type="pct"/>
            <w:vAlign w:val="center"/>
          </w:tcPr>
          <w:p w:rsidR="004F34D9" w:rsidRPr="00123108" w:rsidRDefault="004F34D9">
            <w:pPr>
              <w:rPr>
                <w:rFonts w:ascii="宋体" w:hAnsi="宋体"/>
                <w:bCs/>
                <w:szCs w:val="21"/>
              </w:rPr>
            </w:pPr>
            <w:r w:rsidRPr="00123108">
              <w:rPr>
                <w:rFonts w:ascii="宋体" w:hAnsi="宋体" w:hint="eastAsia"/>
                <w:bCs/>
                <w:szCs w:val="21"/>
              </w:rPr>
              <w:t>占地总面积</w:t>
            </w:r>
          </w:p>
        </w:tc>
        <w:tc>
          <w:tcPr>
            <w:tcW w:w="1559" w:type="pct"/>
            <w:vAlign w:val="center"/>
          </w:tcPr>
          <w:p w:rsidR="004F34D9" w:rsidRPr="00123108" w:rsidRDefault="00E46992" w:rsidP="00E46992">
            <w:pPr>
              <w:rPr>
                <w:rFonts w:ascii="宋体" w:hAnsi="宋体"/>
                <w:bCs/>
                <w:szCs w:val="21"/>
              </w:rPr>
            </w:pPr>
            <w:r w:rsidRPr="00123108">
              <w:rPr>
                <w:rFonts w:ascii="宋体" w:hAnsi="宋体" w:hint="eastAsia"/>
                <w:bCs/>
                <w:szCs w:val="21"/>
              </w:rPr>
              <w:t>53896m</w:t>
            </w:r>
            <w:r w:rsidRPr="00123108">
              <w:rPr>
                <w:rFonts w:ascii="宋体" w:hAnsi="宋体" w:hint="eastAsia"/>
                <w:bCs/>
                <w:szCs w:val="21"/>
                <w:vertAlign w:val="superscript"/>
              </w:rPr>
              <w:t>2</w:t>
            </w:r>
          </w:p>
        </w:tc>
        <w:tc>
          <w:tcPr>
            <w:tcW w:w="1064" w:type="pct"/>
            <w:vAlign w:val="center"/>
          </w:tcPr>
          <w:p w:rsidR="004F34D9" w:rsidRPr="00123108" w:rsidRDefault="004F34D9">
            <w:pPr>
              <w:rPr>
                <w:rFonts w:ascii="宋体" w:hAnsi="宋体"/>
                <w:bCs/>
                <w:szCs w:val="21"/>
              </w:rPr>
            </w:pPr>
            <w:r w:rsidRPr="00123108">
              <w:rPr>
                <w:rFonts w:ascii="宋体" w:hAnsi="宋体" w:hint="eastAsia"/>
                <w:bCs/>
                <w:szCs w:val="21"/>
              </w:rPr>
              <w:t>建筑面积</w:t>
            </w:r>
          </w:p>
        </w:tc>
        <w:tc>
          <w:tcPr>
            <w:tcW w:w="1531" w:type="pct"/>
            <w:vAlign w:val="center"/>
          </w:tcPr>
          <w:p w:rsidR="004F34D9" w:rsidRPr="00123108" w:rsidRDefault="0009008D">
            <w:pPr>
              <w:rPr>
                <w:rFonts w:ascii="宋体" w:hAnsi="宋体"/>
                <w:bCs/>
                <w:szCs w:val="21"/>
              </w:rPr>
            </w:pPr>
            <w:r w:rsidRPr="00123108">
              <w:rPr>
                <w:rFonts w:ascii="宋体" w:hAnsi="宋体"/>
                <w:bCs/>
                <w:szCs w:val="21"/>
              </w:rPr>
              <w:t>26151.57</w:t>
            </w:r>
            <w:r w:rsidR="00E46992" w:rsidRPr="00123108">
              <w:rPr>
                <w:rFonts w:ascii="宋体" w:hAnsi="宋体" w:hint="eastAsia"/>
                <w:bCs/>
                <w:szCs w:val="21"/>
              </w:rPr>
              <w:t xml:space="preserve"> </w:t>
            </w:r>
            <w:r w:rsidR="004F34D9" w:rsidRPr="00123108">
              <w:rPr>
                <w:rFonts w:ascii="宋体" w:hAnsi="宋体" w:hint="eastAsia"/>
                <w:bCs/>
                <w:szCs w:val="21"/>
              </w:rPr>
              <w:t>m</w:t>
            </w:r>
            <w:r w:rsidR="004F34D9" w:rsidRPr="00123108">
              <w:rPr>
                <w:rFonts w:ascii="宋体" w:hAnsi="宋体" w:hint="eastAsia"/>
                <w:bCs/>
                <w:szCs w:val="21"/>
                <w:vertAlign w:val="superscript"/>
              </w:rPr>
              <w:t>2</w:t>
            </w:r>
          </w:p>
        </w:tc>
      </w:tr>
      <w:tr w:rsidR="004F34D9" w:rsidRPr="00123108">
        <w:trPr>
          <w:trHeight w:val="397"/>
          <w:jc w:val="center"/>
        </w:trPr>
        <w:tc>
          <w:tcPr>
            <w:tcW w:w="846" w:type="pct"/>
            <w:vAlign w:val="center"/>
          </w:tcPr>
          <w:p w:rsidR="004F34D9" w:rsidRPr="00123108" w:rsidRDefault="004F34D9">
            <w:pPr>
              <w:rPr>
                <w:rFonts w:ascii="宋体" w:hAnsi="宋体"/>
                <w:bCs/>
                <w:szCs w:val="21"/>
              </w:rPr>
            </w:pPr>
            <w:r w:rsidRPr="00123108">
              <w:rPr>
                <w:rFonts w:ascii="宋体" w:hAnsi="宋体" w:hint="eastAsia"/>
                <w:bCs/>
                <w:szCs w:val="21"/>
              </w:rPr>
              <w:t>经营范围</w:t>
            </w:r>
          </w:p>
        </w:tc>
        <w:tc>
          <w:tcPr>
            <w:tcW w:w="4154" w:type="pct"/>
            <w:gridSpan w:val="3"/>
            <w:vAlign w:val="center"/>
          </w:tcPr>
          <w:p w:rsidR="004F34D9" w:rsidRPr="00123108" w:rsidRDefault="004F34D9">
            <w:pPr>
              <w:rPr>
                <w:rFonts w:ascii="宋体" w:hAnsi="宋体"/>
                <w:bCs/>
                <w:szCs w:val="21"/>
              </w:rPr>
            </w:pPr>
            <w:r w:rsidRPr="00123108">
              <w:rPr>
                <w:rFonts w:ascii="宋体" w:hAnsi="宋体" w:hint="eastAsia"/>
                <w:bCs/>
                <w:szCs w:val="21"/>
              </w:rPr>
              <w:t>工程塑料（可发性聚苯乙烯）的生产（许可证有效期限内经营）；工程塑料（通用级聚苯乙烯及制品）的生产、加工；呋喃树脂制造、加工及咨询服务。（依法须经批准的项目，经相关部门批准后方可开展经营活动）</w:t>
            </w:r>
          </w:p>
        </w:tc>
      </w:tr>
      <w:tr w:rsidR="004F34D9" w:rsidRPr="00123108">
        <w:trPr>
          <w:trHeight w:val="397"/>
          <w:jc w:val="center"/>
        </w:trPr>
        <w:tc>
          <w:tcPr>
            <w:tcW w:w="846" w:type="pct"/>
            <w:vAlign w:val="center"/>
          </w:tcPr>
          <w:p w:rsidR="004F34D9" w:rsidRPr="00123108" w:rsidRDefault="004F34D9">
            <w:pPr>
              <w:rPr>
                <w:rFonts w:ascii="宋体" w:hAnsi="宋体"/>
                <w:bCs/>
                <w:szCs w:val="21"/>
              </w:rPr>
            </w:pPr>
            <w:r w:rsidRPr="00123108">
              <w:rPr>
                <w:rFonts w:ascii="宋体" w:hAnsi="宋体" w:hint="eastAsia"/>
                <w:bCs/>
                <w:szCs w:val="21"/>
              </w:rPr>
              <w:t>生产规模</w:t>
            </w:r>
          </w:p>
        </w:tc>
        <w:tc>
          <w:tcPr>
            <w:tcW w:w="4154" w:type="pct"/>
            <w:gridSpan w:val="3"/>
            <w:vAlign w:val="center"/>
          </w:tcPr>
          <w:p w:rsidR="004F34D9" w:rsidRPr="00123108" w:rsidRDefault="004F34D9">
            <w:pPr>
              <w:rPr>
                <w:rFonts w:ascii="宋体" w:hAnsi="宋体"/>
                <w:bCs/>
                <w:szCs w:val="21"/>
              </w:rPr>
            </w:pPr>
            <w:r w:rsidRPr="00123108">
              <w:rPr>
                <w:rFonts w:ascii="宋体" w:hAnsi="宋体" w:hint="eastAsia"/>
                <w:bCs/>
                <w:szCs w:val="21"/>
              </w:rPr>
              <w:t>年产发泡级聚苯乙烯12万吨</w:t>
            </w:r>
          </w:p>
        </w:tc>
      </w:tr>
    </w:tbl>
    <w:p w:rsidR="004F34D9" w:rsidRPr="00123108" w:rsidRDefault="004F34D9">
      <w:pPr>
        <w:rPr>
          <w:rFonts w:hint="eastAsia"/>
          <w:szCs w:val="21"/>
        </w:rPr>
      </w:pPr>
    </w:p>
    <w:p w:rsidR="00E46992" w:rsidRDefault="00E46992">
      <w:pPr>
        <w:spacing w:line="360" w:lineRule="auto"/>
        <w:jc w:val="center"/>
        <w:rPr>
          <w:rFonts w:ascii="宋体" w:hAnsi="宋体" w:cs="宋体" w:hint="eastAsia"/>
          <w:b/>
          <w:bCs/>
          <w:sz w:val="28"/>
        </w:rPr>
      </w:pPr>
    </w:p>
    <w:p w:rsidR="00E006F5" w:rsidRDefault="00E006F5">
      <w:pPr>
        <w:spacing w:line="360" w:lineRule="auto"/>
        <w:jc w:val="center"/>
        <w:rPr>
          <w:rFonts w:ascii="宋体" w:hAnsi="宋体" w:cs="宋体" w:hint="eastAsia"/>
          <w:b/>
          <w:bCs/>
          <w:sz w:val="28"/>
        </w:rPr>
      </w:pPr>
    </w:p>
    <w:p w:rsidR="00E006F5" w:rsidRDefault="00E006F5">
      <w:pPr>
        <w:spacing w:line="360" w:lineRule="auto"/>
        <w:jc w:val="center"/>
        <w:rPr>
          <w:rFonts w:ascii="宋体" w:hAnsi="宋体" w:cs="宋体" w:hint="eastAsia"/>
          <w:b/>
          <w:bCs/>
          <w:sz w:val="28"/>
        </w:rPr>
      </w:pPr>
    </w:p>
    <w:p w:rsidR="00E006F5" w:rsidRPr="00123108" w:rsidRDefault="00E006F5">
      <w:pPr>
        <w:spacing w:line="360" w:lineRule="auto"/>
        <w:jc w:val="center"/>
        <w:rPr>
          <w:rFonts w:ascii="宋体" w:hAnsi="宋体" w:cs="宋体" w:hint="eastAsia"/>
          <w:b/>
          <w:bCs/>
          <w:sz w:val="28"/>
        </w:rPr>
      </w:pPr>
    </w:p>
    <w:p w:rsidR="004F34D9" w:rsidRPr="00123108" w:rsidRDefault="004F34D9">
      <w:pPr>
        <w:spacing w:line="360" w:lineRule="auto"/>
        <w:jc w:val="center"/>
        <w:rPr>
          <w:rFonts w:ascii="宋体" w:hAnsi="宋体" w:cs="宋体" w:hint="eastAsia"/>
          <w:b/>
          <w:bCs/>
          <w:sz w:val="28"/>
        </w:rPr>
      </w:pPr>
      <w:r w:rsidRPr="00123108">
        <w:rPr>
          <w:rFonts w:ascii="宋体" w:hAnsi="宋体" w:cs="宋体" w:hint="eastAsia"/>
          <w:b/>
          <w:bCs/>
          <w:sz w:val="28"/>
        </w:rPr>
        <w:lastRenderedPageBreak/>
        <w:t>表2.1-2  其他相关证件</w:t>
      </w:r>
    </w:p>
    <w:tbl>
      <w:tblPr>
        <w:tblW w:w="4995"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1"/>
        <w:gridCol w:w="3382"/>
        <w:gridCol w:w="2357"/>
        <w:gridCol w:w="2095"/>
      </w:tblGrid>
      <w:tr w:rsidR="004F34D9" w:rsidRPr="00123108" w:rsidTr="006F2491">
        <w:trPr>
          <w:trHeight w:val="397"/>
          <w:tblHeader/>
          <w:jc w:val="center"/>
        </w:trPr>
        <w:tc>
          <w:tcPr>
            <w:tcW w:w="726" w:type="pct"/>
            <w:tcBorders>
              <w:left w:val="single" w:sz="4" w:space="0" w:color="auto"/>
            </w:tcBorders>
            <w:vAlign w:val="center"/>
          </w:tcPr>
          <w:p w:rsidR="004F34D9" w:rsidRPr="00123108" w:rsidRDefault="004F34D9">
            <w:pPr>
              <w:jc w:val="center"/>
              <w:rPr>
                <w:rFonts w:ascii="宋体" w:hAnsi="宋体" w:cs="宋体" w:hint="eastAsia"/>
                <w:bCs/>
                <w:szCs w:val="21"/>
              </w:rPr>
            </w:pPr>
            <w:r w:rsidRPr="00123108">
              <w:rPr>
                <w:rFonts w:ascii="宋体" w:hAnsi="宋体" w:cs="宋体" w:hint="eastAsia"/>
                <w:bCs/>
                <w:szCs w:val="21"/>
              </w:rPr>
              <w:t>证件名称</w:t>
            </w:r>
          </w:p>
        </w:tc>
        <w:tc>
          <w:tcPr>
            <w:tcW w:w="1845" w:type="pct"/>
            <w:tcBorders>
              <w:lef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编号或注册号</w:t>
            </w:r>
          </w:p>
        </w:tc>
        <w:tc>
          <w:tcPr>
            <w:tcW w:w="1286" w:type="pct"/>
            <w:tcBorders>
              <w:lef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登记日期或有效期</w:t>
            </w:r>
          </w:p>
        </w:tc>
        <w:tc>
          <w:tcPr>
            <w:tcW w:w="1143" w:type="pct"/>
            <w:tcBorders>
              <w:lef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发证机构</w:t>
            </w:r>
          </w:p>
        </w:tc>
      </w:tr>
      <w:tr w:rsidR="004F34D9" w:rsidRPr="00123108" w:rsidTr="006F2491">
        <w:trPr>
          <w:trHeight w:val="397"/>
          <w:jc w:val="center"/>
        </w:trPr>
        <w:tc>
          <w:tcPr>
            <w:tcW w:w="726" w:type="pct"/>
            <w:tcBorders>
              <w:left w:val="single" w:sz="4" w:space="0" w:color="auto"/>
            </w:tcBorders>
            <w:vAlign w:val="center"/>
          </w:tcPr>
          <w:p w:rsidR="004F34D9" w:rsidRPr="00123108" w:rsidRDefault="004F34D9">
            <w:pPr>
              <w:jc w:val="center"/>
              <w:rPr>
                <w:rFonts w:ascii="宋体" w:hAnsi="宋体" w:cs="宋体" w:hint="eastAsia"/>
                <w:bCs/>
                <w:szCs w:val="21"/>
              </w:rPr>
            </w:pPr>
            <w:r w:rsidRPr="00123108">
              <w:rPr>
                <w:rFonts w:ascii="宋体" w:hAnsi="宋体" w:cs="宋体" w:hint="eastAsia"/>
                <w:bCs/>
                <w:szCs w:val="21"/>
              </w:rPr>
              <w:t>营业执照</w:t>
            </w:r>
          </w:p>
        </w:tc>
        <w:tc>
          <w:tcPr>
            <w:tcW w:w="1845" w:type="pct"/>
            <w:tcBorders>
              <w:lef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hint="eastAsia"/>
                <w:bCs/>
                <w:szCs w:val="21"/>
              </w:rPr>
              <w:t>91330206610273794R（1/1）</w:t>
            </w:r>
          </w:p>
        </w:tc>
        <w:tc>
          <w:tcPr>
            <w:tcW w:w="1286" w:type="pct"/>
            <w:tcBorders>
              <w:left w:val="single" w:sz="4" w:space="0" w:color="auto"/>
            </w:tcBorders>
            <w:vAlign w:val="center"/>
          </w:tcPr>
          <w:p w:rsidR="004F34D9" w:rsidRPr="00123108" w:rsidRDefault="004F34D9">
            <w:pPr>
              <w:jc w:val="center"/>
              <w:rPr>
                <w:rFonts w:ascii="宋体" w:hAnsi="宋体" w:cs="宋体"/>
                <w:szCs w:val="21"/>
              </w:rPr>
            </w:pPr>
            <w:r w:rsidRPr="00123108">
              <w:rPr>
                <w:rFonts w:ascii="宋体" w:hAnsi="宋体" w:cs="宋体" w:hint="eastAsia"/>
                <w:szCs w:val="21"/>
              </w:rPr>
              <w:t>1996.3.21-2046.3.20</w:t>
            </w:r>
          </w:p>
        </w:tc>
        <w:tc>
          <w:tcPr>
            <w:tcW w:w="1143" w:type="pct"/>
            <w:tcBorders>
              <w:lef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宁波市北仑区市场监督管理局</w:t>
            </w:r>
          </w:p>
        </w:tc>
      </w:tr>
      <w:tr w:rsidR="004F34D9" w:rsidRPr="00123108" w:rsidTr="006F2491">
        <w:trPr>
          <w:trHeight w:val="397"/>
          <w:jc w:val="center"/>
        </w:trPr>
        <w:tc>
          <w:tcPr>
            <w:tcW w:w="726" w:type="pct"/>
            <w:tcBorders>
              <w:left w:val="single" w:sz="4" w:space="0" w:color="auto"/>
            </w:tcBorders>
            <w:vAlign w:val="center"/>
          </w:tcPr>
          <w:p w:rsidR="004F34D9" w:rsidRPr="00123108" w:rsidRDefault="004F34D9">
            <w:pPr>
              <w:jc w:val="center"/>
              <w:rPr>
                <w:rFonts w:ascii="宋体" w:hAnsi="宋体" w:cs="宋体" w:hint="eastAsia"/>
                <w:bCs/>
                <w:szCs w:val="21"/>
              </w:rPr>
            </w:pPr>
            <w:r w:rsidRPr="00123108">
              <w:rPr>
                <w:rFonts w:ascii="宋体" w:hAnsi="宋体" w:cs="宋体" w:hint="eastAsia"/>
                <w:bCs/>
                <w:szCs w:val="21"/>
              </w:rPr>
              <w:t>安全生产许可证</w:t>
            </w:r>
          </w:p>
        </w:tc>
        <w:tc>
          <w:tcPr>
            <w:tcW w:w="1845" w:type="pct"/>
            <w:tcBorders>
              <w:left w:val="single" w:sz="4" w:space="0" w:color="auto"/>
            </w:tcBorders>
            <w:vAlign w:val="center"/>
          </w:tcPr>
          <w:p w:rsidR="004F34D9" w:rsidRPr="00123108" w:rsidRDefault="004F34D9">
            <w:pPr>
              <w:rPr>
                <w:rFonts w:ascii="宋体" w:hAnsi="宋体" w:hint="eastAsia"/>
              </w:rPr>
            </w:pPr>
            <w:r w:rsidRPr="00123108">
              <w:rPr>
                <w:rFonts w:ascii="宋体" w:hAnsi="宋体" w:hint="eastAsia"/>
              </w:rPr>
              <w:t>（浙）WH安许证字[2021]-B-0741</w:t>
            </w:r>
          </w:p>
        </w:tc>
        <w:tc>
          <w:tcPr>
            <w:tcW w:w="1286" w:type="pct"/>
            <w:tcBorders>
              <w:left w:val="single" w:sz="4" w:space="0" w:color="auto"/>
            </w:tcBorders>
            <w:vAlign w:val="center"/>
          </w:tcPr>
          <w:p w:rsidR="004F34D9" w:rsidRPr="00123108" w:rsidRDefault="004F34D9">
            <w:pPr>
              <w:rPr>
                <w:rFonts w:ascii="宋体" w:hAnsi="宋体"/>
              </w:rPr>
            </w:pPr>
            <w:r w:rsidRPr="00123108">
              <w:rPr>
                <w:rFonts w:ascii="宋体" w:hAnsi="宋体" w:hint="eastAsia"/>
              </w:rPr>
              <w:t>2021.6.25</w:t>
            </w:r>
            <w:r w:rsidRPr="00123108">
              <w:rPr>
                <w:rFonts w:ascii="宋体" w:hAnsi="宋体" w:cs="宋体" w:hint="eastAsia"/>
                <w:szCs w:val="21"/>
              </w:rPr>
              <w:t>-</w:t>
            </w:r>
            <w:r w:rsidRPr="00123108">
              <w:rPr>
                <w:rFonts w:ascii="宋体" w:hAnsi="宋体" w:hint="eastAsia"/>
              </w:rPr>
              <w:t>2024.6.24</w:t>
            </w:r>
          </w:p>
        </w:tc>
        <w:tc>
          <w:tcPr>
            <w:tcW w:w="1143" w:type="pct"/>
            <w:tcBorders>
              <w:lef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浙江省应急管理厅</w:t>
            </w:r>
          </w:p>
        </w:tc>
      </w:tr>
      <w:tr w:rsidR="004F34D9" w:rsidRPr="00123108" w:rsidTr="006F2491">
        <w:trPr>
          <w:trHeight w:val="397"/>
          <w:jc w:val="center"/>
        </w:trPr>
        <w:tc>
          <w:tcPr>
            <w:tcW w:w="726" w:type="pct"/>
            <w:tcBorders>
              <w:left w:val="single" w:sz="4" w:space="0" w:color="auto"/>
            </w:tcBorders>
            <w:vAlign w:val="center"/>
          </w:tcPr>
          <w:p w:rsidR="004F34D9" w:rsidRPr="00123108" w:rsidRDefault="004F34D9">
            <w:pPr>
              <w:rPr>
                <w:rFonts w:ascii="宋体" w:hAnsi="宋体" w:hint="eastAsia"/>
              </w:rPr>
            </w:pPr>
            <w:r w:rsidRPr="00123108">
              <w:rPr>
                <w:rFonts w:ascii="宋体" w:hAnsi="宋体" w:hint="eastAsia"/>
              </w:rPr>
              <w:t>应急预案备案登记表</w:t>
            </w:r>
          </w:p>
        </w:tc>
        <w:tc>
          <w:tcPr>
            <w:tcW w:w="1845" w:type="pct"/>
            <w:tcBorders>
              <w:left w:val="single" w:sz="4" w:space="0" w:color="auto"/>
            </w:tcBorders>
            <w:vAlign w:val="center"/>
          </w:tcPr>
          <w:p w:rsidR="004F34D9" w:rsidRPr="00123108" w:rsidRDefault="004F34D9">
            <w:pPr>
              <w:rPr>
                <w:rFonts w:ascii="宋体" w:hAnsi="宋体" w:hint="eastAsia"/>
              </w:rPr>
            </w:pPr>
            <w:r w:rsidRPr="00123108">
              <w:rPr>
                <w:rFonts w:ascii="宋体" w:hAnsi="宋体" w:hint="eastAsia"/>
              </w:rPr>
              <w:t>33026-2024-063</w:t>
            </w:r>
          </w:p>
        </w:tc>
        <w:tc>
          <w:tcPr>
            <w:tcW w:w="1286" w:type="pct"/>
            <w:tcBorders>
              <w:left w:val="single" w:sz="4" w:space="0" w:color="auto"/>
            </w:tcBorders>
            <w:vAlign w:val="center"/>
          </w:tcPr>
          <w:p w:rsidR="004F34D9" w:rsidRPr="00123108" w:rsidRDefault="004F34D9">
            <w:pPr>
              <w:rPr>
                <w:rFonts w:ascii="宋体" w:hAnsi="宋体" w:hint="eastAsia"/>
              </w:rPr>
            </w:pPr>
            <w:r w:rsidRPr="00123108">
              <w:rPr>
                <w:rFonts w:ascii="宋体" w:hAnsi="宋体" w:hint="eastAsia"/>
              </w:rPr>
              <w:t>2024.3.1-2027.3.1</w:t>
            </w:r>
          </w:p>
        </w:tc>
        <w:tc>
          <w:tcPr>
            <w:tcW w:w="1143" w:type="pct"/>
            <w:tcBorders>
              <w:left w:val="single" w:sz="4" w:space="0" w:color="auto"/>
            </w:tcBorders>
            <w:vAlign w:val="center"/>
          </w:tcPr>
          <w:p w:rsidR="004F34D9" w:rsidRPr="00123108" w:rsidRDefault="004F34D9">
            <w:pPr>
              <w:rPr>
                <w:rFonts w:ascii="宋体" w:hAnsi="宋体" w:hint="eastAsia"/>
              </w:rPr>
            </w:pPr>
            <w:r w:rsidRPr="00123108">
              <w:rPr>
                <w:rFonts w:ascii="宋体" w:hAnsi="宋体" w:hint="eastAsia"/>
              </w:rPr>
              <w:t>宁波市北仑区应急管理局</w:t>
            </w:r>
          </w:p>
        </w:tc>
      </w:tr>
      <w:tr w:rsidR="004F34D9" w:rsidRPr="00123108" w:rsidTr="006F2491">
        <w:trPr>
          <w:trHeight w:val="397"/>
          <w:jc w:val="center"/>
        </w:trPr>
        <w:tc>
          <w:tcPr>
            <w:tcW w:w="726" w:type="pct"/>
            <w:vMerge w:val="restart"/>
            <w:tcBorders>
              <w:left w:val="single" w:sz="4" w:space="0" w:color="auto"/>
            </w:tcBorders>
            <w:vAlign w:val="center"/>
          </w:tcPr>
          <w:p w:rsidR="004F34D9" w:rsidRPr="00123108" w:rsidRDefault="004F34D9">
            <w:pPr>
              <w:ind w:leftChars="-50" w:left="-105" w:rightChars="-50" w:right="-105"/>
              <w:jc w:val="center"/>
              <w:rPr>
                <w:rFonts w:ascii="宋体" w:hAnsi="宋体" w:cs="宋体" w:hint="eastAsia"/>
                <w:bCs/>
                <w:szCs w:val="21"/>
              </w:rPr>
            </w:pPr>
            <w:r w:rsidRPr="00123108">
              <w:rPr>
                <w:rFonts w:ascii="宋体" w:hAnsi="宋体" w:cs="宋体" w:hint="eastAsia"/>
                <w:szCs w:val="21"/>
              </w:rPr>
              <w:t>消防验收意见书</w:t>
            </w:r>
          </w:p>
        </w:tc>
        <w:tc>
          <w:tcPr>
            <w:tcW w:w="1845" w:type="pct"/>
            <w:tcBorders>
              <w:lef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宁开总建纪要【1993】054号</w:t>
            </w:r>
          </w:p>
        </w:tc>
        <w:tc>
          <w:tcPr>
            <w:tcW w:w="1286" w:type="pct"/>
            <w:tcBorders>
              <w:lef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1993.8.5</w:t>
            </w:r>
          </w:p>
        </w:tc>
        <w:tc>
          <w:tcPr>
            <w:tcW w:w="1143" w:type="pct"/>
            <w:tcBorders>
              <w:lef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宁波经济技术开发区开发总公司</w:t>
            </w:r>
          </w:p>
        </w:tc>
      </w:tr>
      <w:tr w:rsidR="004F34D9" w:rsidRPr="00123108" w:rsidTr="006F2491">
        <w:trPr>
          <w:trHeight w:val="397"/>
          <w:jc w:val="center"/>
        </w:trPr>
        <w:tc>
          <w:tcPr>
            <w:tcW w:w="726" w:type="pct"/>
            <w:vMerge/>
            <w:tcBorders>
              <w:left w:val="single" w:sz="4" w:space="0" w:color="auto"/>
            </w:tcBorders>
            <w:vAlign w:val="center"/>
          </w:tcPr>
          <w:p w:rsidR="004F34D9" w:rsidRPr="00123108" w:rsidRDefault="004F34D9">
            <w:pPr>
              <w:ind w:leftChars="-50" w:left="-105" w:rightChars="-50" w:right="-105"/>
              <w:jc w:val="center"/>
              <w:rPr>
                <w:rFonts w:ascii="宋体" w:hAnsi="宋体" w:cs="宋体" w:hint="eastAsia"/>
                <w:szCs w:val="21"/>
              </w:rPr>
            </w:pPr>
          </w:p>
        </w:tc>
        <w:tc>
          <w:tcPr>
            <w:tcW w:w="1845" w:type="pct"/>
            <w:tcBorders>
              <w:left w:val="single" w:sz="4" w:space="0" w:color="auto"/>
            </w:tcBorders>
            <w:vAlign w:val="center"/>
          </w:tcPr>
          <w:p w:rsidR="004F34D9" w:rsidRPr="00123108" w:rsidRDefault="004F34D9">
            <w:pPr>
              <w:rPr>
                <w:rFonts w:ascii="宋体" w:hAnsi="宋体" w:cs="宋体" w:hint="eastAsia"/>
                <w:szCs w:val="21"/>
              </w:rPr>
            </w:pPr>
            <w:r w:rsidRPr="00123108">
              <w:rPr>
                <w:rFonts w:ascii="宋体" w:hAnsi="宋体" w:cs="宋体" w:hint="eastAsia"/>
                <w:szCs w:val="21"/>
              </w:rPr>
              <w:t>（甬仑）公消验（2000）字第238号</w:t>
            </w:r>
          </w:p>
        </w:tc>
        <w:tc>
          <w:tcPr>
            <w:tcW w:w="1286" w:type="pct"/>
            <w:tcBorders>
              <w:lef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2000.12.21</w:t>
            </w:r>
          </w:p>
        </w:tc>
        <w:tc>
          <w:tcPr>
            <w:tcW w:w="1143" w:type="pct"/>
            <w:tcBorders>
              <w:lef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北仑区公安分局消防大队</w:t>
            </w:r>
          </w:p>
        </w:tc>
      </w:tr>
      <w:tr w:rsidR="004F34D9" w:rsidRPr="00123108" w:rsidTr="006F2491">
        <w:trPr>
          <w:trHeight w:val="397"/>
          <w:jc w:val="center"/>
        </w:trPr>
        <w:tc>
          <w:tcPr>
            <w:tcW w:w="726" w:type="pct"/>
            <w:vMerge/>
            <w:tcBorders>
              <w:left w:val="single" w:sz="4" w:space="0" w:color="auto"/>
            </w:tcBorders>
            <w:vAlign w:val="center"/>
          </w:tcPr>
          <w:p w:rsidR="004F34D9" w:rsidRPr="00123108" w:rsidRDefault="004F34D9">
            <w:pPr>
              <w:ind w:leftChars="-50" w:left="-105" w:rightChars="-50" w:right="-105"/>
              <w:jc w:val="center"/>
              <w:rPr>
                <w:rFonts w:ascii="宋体" w:hAnsi="宋体" w:cs="宋体" w:hint="eastAsia"/>
                <w:szCs w:val="21"/>
              </w:rPr>
            </w:pPr>
          </w:p>
        </w:tc>
        <w:tc>
          <w:tcPr>
            <w:tcW w:w="1845" w:type="pct"/>
            <w:tcBorders>
              <w:lef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仑公消验字【2015】第0029号（戊烷储罐）</w:t>
            </w:r>
          </w:p>
        </w:tc>
        <w:tc>
          <w:tcPr>
            <w:tcW w:w="1286" w:type="pct"/>
            <w:tcBorders>
              <w:lef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2015.10.20</w:t>
            </w:r>
          </w:p>
        </w:tc>
        <w:tc>
          <w:tcPr>
            <w:tcW w:w="1143" w:type="pct"/>
            <w:tcBorders>
              <w:lef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宁波市公安消防支队北仑区大队</w:t>
            </w:r>
          </w:p>
        </w:tc>
      </w:tr>
      <w:tr w:rsidR="004F34D9" w:rsidRPr="00123108" w:rsidTr="006F2491">
        <w:trPr>
          <w:trHeight w:val="415"/>
          <w:jc w:val="center"/>
        </w:trPr>
        <w:tc>
          <w:tcPr>
            <w:tcW w:w="726" w:type="pct"/>
            <w:vMerge w:val="restart"/>
            <w:tcBorders>
              <w:left w:val="single" w:sz="4" w:space="0" w:color="auto"/>
            </w:tcBorders>
            <w:vAlign w:val="center"/>
          </w:tcPr>
          <w:p w:rsidR="004F34D9" w:rsidRPr="00123108" w:rsidRDefault="004F34D9">
            <w:pPr>
              <w:ind w:leftChars="-50" w:left="-105" w:rightChars="-50" w:right="-105"/>
              <w:jc w:val="center"/>
              <w:rPr>
                <w:rFonts w:ascii="宋体" w:hAnsi="宋体" w:cs="宋体" w:hint="eastAsia"/>
                <w:szCs w:val="21"/>
              </w:rPr>
            </w:pPr>
            <w:r w:rsidRPr="00123108">
              <w:rPr>
                <w:rFonts w:ascii="宋体" w:hAnsi="宋体" w:cs="宋体" w:hint="eastAsia"/>
                <w:szCs w:val="21"/>
              </w:rPr>
              <w:t>危险化学品</w:t>
            </w:r>
          </w:p>
          <w:p w:rsidR="004F34D9" w:rsidRPr="00123108" w:rsidRDefault="004F34D9">
            <w:pPr>
              <w:ind w:leftChars="-50" w:left="-105" w:rightChars="-50" w:right="-105"/>
              <w:jc w:val="center"/>
              <w:rPr>
                <w:rFonts w:ascii="宋体" w:hAnsi="宋体" w:cs="宋体" w:hint="eastAsia"/>
                <w:szCs w:val="21"/>
              </w:rPr>
            </w:pPr>
            <w:r w:rsidRPr="00123108">
              <w:rPr>
                <w:rFonts w:ascii="宋体" w:hAnsi="宋体" w:cs="宋体" w:hint="eastAsia"/>
                <w:szCs w:val="21"/>
              </w:rPr>
              <w:t>重大危险源</w:t>
            </w:r>
          </w:p>
          <w:p w:rsidR="004F34D9" w:rsidRPr="00123108" w:rsidRDefault="004F34D9">
            <w:pPr>
              <w:ind w:leftChars="-50" w:left="-105" w:rightChars="-50" w:right="-105"/>
              <w:jc w:val="center"/>
              <w:rPr>
                <w:rFonts w:ascii="宋体" w:hAnsi="宋体" w:cs="宋体" w:hint="eastAsia"/>
                <w:szCs w:val="21"/>
              </w:rPr>
            </w:pPr>
            <w:r w:rsidRPr="00123108">
              <w:rPr>
                <w:rFonts w:ascii="宋体" w:hAnsi="宋体" w:cs="宋体" w:hint="eastAsia"/>
                <w:szCs w:val="21"/>
              </w:rPr>
              <w:t>备案登记表</w:t>
            </w:r>
          </w:p>
        </w:tc>
        <w:tc>
          <w:tcPr>
            <w:tcW w:w="1845" w:type="pct"/>
            <w:tcBorders>
              <w:left w:val="single" w:sz="4" w:space="0" w:color="auto"/>
            </w:tcBorders>
            <w:vAlign w:val="center"/>
          </w:tcPr>
          <w:p w:rsidR="004F34D9" w:rsidRPr="00123108" w:rsidRDefault="004F34D9">
            <w:pPr>
              <w:jc w:val="center"/>
              <w:rPr>
                <w:rFonts w:ascii="宋体" w:hAnsi="宋体" w:cs="宋体"/>
                <w:szCs w:val="21"/>
              </w:rPr>
            </w:pPr>
            <w:r w:rsidRPr="00123108">
              <w:rPr>
                <w:rFonts w:ascii="宋体" w:hAnsi="宋体" w:cs="宋体" w:hint="eastAsia"/>
                <w:szCs w:val="21"/>
              </w:rPr>
              <w:t>BA3302062022041成品仓库三级</w:t>
            </w:r>
          </w:p>
        </w:tc>
        <w:tc>
          <w:tcPr>
            <w:tcW w:w="1286" w:type="pct"/>
            <w:vMerge w:val="restart"/>
            <w:tcBorders>
              <w:left w:val="single" w:sz="4" w:space="0" w:color="auto"/>
            </w:tcBorders>
            <w:vAlign w:val="center"/>
          </w:tcPr>
          <w:p w:rsidR="004F34D9" w:rsidRPr="00123108" w:rsidRDefault="004F34D9">
            <w:pPr>
              <w:jc w:val="center"/>
              <w:rPr>
                <w:rFonts w:ascii="宋体" w:hAnsi="宋体" w:cs="宋体"/>
                <w:szCs w:val="21"/>
              </w:rPr>
            </w:pPr>
            <w:r w:rsidRPr="00123108">
              <w:rPr>
                <w:rFonts w:ascii="宋体" w:hAnsi="宋体" w:cs="宋体" w:hint="eastAsia"/>
                <w:szCs w:val="21"/>
              </w:rPr>
              <w:t>2022.9.13-2025.7.17</w:t>
            </w:r>
          </w:p>
        </w:tc>
        <w:tc>
          <w:tcPr>
            <w:tcW w:w="1143" w:type="pct"/>
            <w:vMerge w:val="restart"/>
            <w:tcBorders>
              <w:lef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宁波市北仑区应急管理局</w:t>
            </w:r>
          </w:p>
        </w:tc>
      </w:tr>
      <w:tr w:rsidR="004F34D9" w:rsidRPr="00123108" w:rsidTr="006F2491">
        <w:trPr>
          <w:trHeight w:val="415"/>
          <w:jc w:val="center"/>
        </w:trPr>
        <w:tc>
          <w:tcPr>
            <w:tcW w:w="726" w:type="pct"/>
            <w:vMerge/>
            <w:tcBorders>
              <w:left w:val="single" w:sz="4" w:space="0" w:color="auto"/>
            </w:tcBorders>
            <w:vAlign w:val="center"/>
          </w:tcPr>
          <w:p w:rsidR="004F34D9" w:rsidRPr="00123108" w:rsidRDefault="004F34D9">
            <w:pPr>
              <w:ind w:leftChars="-50" w:left="-105" w:rightChars="-50" w:right="-105"/>
              <w:jc w:val="center"/>
              <w:rPr>
                <w:rFonts w:ascii="宋体" w:hAnsi="宋体" w:cs="宋体" w:hint="eastAsia"/>
                <w:szCs w:val="21"/>
              </w:rPr>
            </w:pPr>
          </w:p>
        </w:tc>
        <w:tc>
          <w:tcPr>
            <w:tcW w:w="1845" w:type="pct"/>
            <w:tcBorders>
              <w:lef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BA3302062022041 苯乙烯罐区</w:t>
            </w:r>
            <w:r w:rsidR="006F2491" w:rsidRPr="00123108">
              <w:rPr>
                <w:rFonts w:ascii="宋体" w:hAnsi="宋体" w:cs="宋体" w:hint="eastAsia"/>
                <w:szCs w:val="21"/>
              </w:rPr>
              <w:t>三级</w:t>
            </w:r>
          </w:p>
        </w:tc>
        <w:tc>
          <w:tcPr>
            <w:tcW w:w="1286" w:type="pct"/>
            <w:vMerge/>
            <w:tcBorders>
              <w:left w:val="single" w:sz="4" w:space="0" w:color="auto"/>
            </w:tcBorders>
            <w:vAlign w:val="center"/>
          </w:tcPr>
          <w:p w:rsidR="004F34D9" w:rsidRPr="00123108" w:rsidRDefault="004F34D9">
            <w:pPr>
              <w:jc w:val="center"/>
              <w:rPr>
                <w:rFonts w:ascii="宋体" w:hAnsi="宋体" w:cs="宋体" w:hint="eastAsia"/>
                <w:szCs w:val="21"/>
              </w:rPr>
            </w:pPr>
          </w:p>
        </w:tc>
        <w:tc>
          <w:tcPr>
            <w:tcW w:w="1143" w:type="pct"/>
            <w:vMerge/>
            <w:tcBorders>
              <w:left w:val="single" w:sz="4" w:space="0" w:color="auto"/>
            </w:tcBorders>
            <w:vAlign w:val="center"/>
          </w:tcPr>
          <w:p w:rsidR="004F34D9" w:rsidRPr="00123108" w:rsidRDefault="004F34D9">
            <w:pPr>
              <w:jc w:val="center"/>
              <w:rPr>
                <w:rFonts w:ascii="宋体" w:hAnsi="宋体" w:cs="宋体" w:hint="eastAsia"/>
                <w:szCs w:val="21"/>
              </w:rPr>
            </w:pPr>
          </w:p>
        </w:tc>
      </w:tr>
      <w:tr w:rsidR="004F34D9" w:rsidRPr="00123108" w:rsidTr="006F2491">
        <w:trPr>
          <w:trHeight w:val="397"/>
          <w:jc w:val="center"/>
        </w:trPr>
        <w:tc>
          <w:tcPr>
            <w:tcW w:w="726" w:type="pct"/>
            <w:tcBorders>
              <w:left w:val="single" w:sz="4" w:space="0" w:color="auto"/>
            </w:tcBorders>
            <w:vAlign w:val="center"/>
          </w:tcPr>
          <w:p w:rsidR="004F34D9" w:rsidRPr="00123108" w:rsidRDefault="004F34D9">
            <w:pPr>
              <w:ind w:leftChars="-50" w:left="-105" w:rightChars="-50" w:right="-105"/>
              <w:jc w:val="center"/>
              <w:rPr>
                <w:rFonts w:ascii="宋体" w:hAnsi="宋体" w:cs="宋体" w:hint="eastAsia"/>
                <w:szCs w:val="21"/>
              </w:rPr>
            </w:pPr>
            <w:r w:rsidRPr="00123108">
              <w:rPr>
                <w:rFonts w:ascii="宋体" w:hAnsi="宋体" w:cs="宋体" w:hint="eastAsia"/>
                <w:szCs w:val="21"/>
              </w:rPr>
              <w:t>危险化学品登记证</w:t>
            </w:r>
          </w:p>
        </w:tc>
        <w:tc>
          <w:tcPr>
            <w:tcW w:w="1845" w:type="pct"/>
            <w:tcBorders>
              <w:left w:val="single" w:sz="4" w:space="0" w:color="auto"/>
            </w:tcBorders>
            <w:vAlign w:val="center"/>
          </w:tcPr>
          <w:p w:rsidR="004F34D9" w:rsidRPr="00123108" w:rsidRDefault="004F34D9">
            <w:pPr>
              <w:jc w:val="center"/>
              <w:rPr>
                <w:rFonts w:ascii="宋体" w:hAnsi="宋体" w:cs="宋体"/>
                <w:szCs w:val="21"/>
              </w:rPr>
            </w:pPr>
            <w:r w:rsidRPr="00123108">
              <w:rPr>
                <w:rFonts w:ascii="宋体" w:hAnsi="宋体" w:cs="宋体" w:hint="eastAsia"/>
                <w:szCs w:val="21"/>
              </w:rPr>
              <w:t>33022200008</w:t>
            </w:r>
          </w:p>
        </w:tc>
        <w:tc>
          <w:tcPr>
            <w:tcW w:w="1286" w:type="pct"/>
            <w:tcBorders>
              <w:lef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2022.6.30-2025.6.29</w:t>
            </w:r>
          </w:p>
        </w:tc>
        <w:tc>
          <w:tcPr>
            <w:tcW w:w="1143" w:type="pct"/>
            <w:tcBorders>
              <w:lef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应急管理部化学品登记中心、浙江省危险化学品登记中心</w:t>
            </w:r>
          </w:p>
        </w:tc>
      </w:tr>
      <w:tr w:rsidR="004F34D9" w:rsidRPr="00123108" w:rsidTr="006F2491">
        <w:trPr>
          <w:trHeight w:val="397"/>
          <w:jc w:val="center"/>
        </w:trPr>
        <w:tc>
          <w:tcPr>
            <w:tcW w:w="726" w:type="pct"/>
            <w:tcBorders>
              <w:left w:val="single" w:sz="4" w:space="0" w:color="auto"/>
            </w:tcBorders>
            <w:vAlign w:val="center"/>
          </w:tcPr>
          <w:p w:rsidR="004F34D9" w:rsidRPr="00123108" w:rsidRDefault="004F34D9">
            <w:pPr>
              <w:ind w:leftChars="-50" w:left="-105" w:rightChars="-50" w:right="-105"/>
              <w:jc w:val="center"/>
              <w:rPr>
                <w:rFonts w:ascii="宋体" w:hAnsi="宋体" w:cs="宋体" w:hint="eastAsia"/>
                <w:szCs w:val="21"/>
              </w:rPr>
            </w:pPr>
            <w:bookmarkStart w:id="330" w:name="_Toc40980757"/>
            <w:bookmarkStart w:id="331" w:name="_Toc252533198"/>
            <w:bookmarkStart w:id="332" w:name="_Toc55021648"/>
            <w:bookmarkStart w:id="333" w:name="_Toc54617567"/>
            <w:bookmarkStart w:id="334" w:name="_Toc40980834"/>
            <w:bookmarkStart w:id="335" w:name="_Toc54617116"/>
            <w:bookmarkStart w:id="336" w:name="_Toc54616958"/>
            <w:bookmarkStart w:id="337" w:name="_Toc219518692"/>
            <w:bookmarkStart w:id="338" w:name="_Toc98815415"/>
            <w:bookmarkStart w:id="339" w:name="_Toc55361560"/>
            <w:bookmarkStart w:id="340" w:name="_Toc41286702"/>
            <w:bookmarkStart w:id="341" w:name="_Toc54618785"/>
            <w:bookmarkStart w:id="342" w:name="_Toc3808986"/>
            <w:bookmarkStart w:id="343" w:name="_Toc54687794"/>
            <w:bookmarkStart w:id="344" w:name="_Toc41286570"/>
            <w:bookmarkStart w:id="345" w:name="_Toc40980680"/>
            <w:bookmarkStart w:id="346" w:name="_Toc55724661"/>
            <w:bookmarkStart w:id="347" w:name="_Toc54687831"/>
            <w:bookmarkStart w:id="348" w:name="_Toc44890649"/>
            <w:bookmarkStart w:id="349" w:name="_Toc55366285"/>
            <w:bookmarkStart w:id="350" w:name="_Toc54617207"/>
            <w:bookmarkStart w:id="351" w:name="_Toc97531132"/>
            <w:r w:rsidRPr="00123108">
              <w:rPr>
                <w:rFonts w:ascii="宋体" w:hAnsi="宋体" w:cs="宋体" w:hint="eastAsia"/>
                <w:szCs w:val="21"/>
              </w:rPr>
              <w:t>安全生产标准化证书</w:t>
            </w:r>
          </w:p>
        </w:tc>
        <w:tc>
          <w:tcPr>
            <w:tcW w:w="1845" w:type="pct"/>
            <w:tcBorders>
              <w:left w:val="single" w:sz="4" w:space="0" w:color="auto"/>
            </w:tcBorders>
            <w:vAlign w:val="center"/>
          </w:tcPr>
          <w:p w:rsidR="004F34D9" w:rsidRPr="00123108" w:rsidRDefault="004F34D9">
            <w:pPr>
              <w:jc w:val="center"/>
              <w:rPr>
                <w:rFonts w:ascii="宋体" w:hAnsi="宋体" w:cs="宋体" w:hint="eastAsia"/>
              </w:rPr>
            </w:pPr>
            <w:r w:rsidRPr="00123108">
              <w:rPr>
                <w:rFonts w:ascii="宋体" w:hAnsi="宋体" w:cs="宋体" w:hint="eastAsia"/>
              </w:rPr>
              <w:t>AQBⅢWS（甬L） 2021001</w:t>
            </w:r>
          </w:p>
          <w:p w:rsidR="004F34D9" w:rsidRPr="00123108" w:rsidRDefault="004F34D9">
            <w:pPr>
              <w:jc w:val="center"/>
              <w:rPr>
                <w:rFonts w:ascii="宋体" w:hAnsi="宋体" w:cs="宋体" w:hint="eastAsia"/>
                <w:szCs w:val="21"/>
              </w:rPr>
            </w:pPr>
            <w:r w:rsidRPr="00123108">
              <w:rPr>
                <w:rFonts w:ascii="宋体" w:hAnsi="宋体" w:cs="宋体" w:hint="eastAsia"/>
                <w:szCs w:val="21"/>
              </w:rPr>
              <w:t>安全生产标准化三级企业</w:t>
            </w:r>
          </w:p>
          <w:p w:rsidR="004F34D9" w:rsidRPr="00123108" w:rsidRDefault="004F34D9">
            <w:pPr>
              <w:jc w:val="center"/>
              <w:rPr>
                <w:rFonts w:ascii="宋体" w:hAnsi="宋体" w:cs="宋体" w:hint="eastAsia"/>
                <w:szCs w:val="21"/>
              </w:rPr>
            </w:pPr>
            <w:r w:rsidRPr="00123108">
              <w:rPr>
                <w:rFonts w:ascii="宋体" w:hAnsi="宋体" w:cs="宋体" w:hint="eastAsia"/>
                <w:szCs w:val="21"/>
              </w:rPr>
              <w:t>（危险化学品）</w:t>
            </w:r>
          </w:p>
        </w:tc>
        <w:tc>
          <w:tcPr>
            <w:tcW w:w="1286" w:type="pct"/>
            <w:tcBorders>
              <w:lef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2021.7.5-2024.7.4</w:t>
            </w:r>
          </w:p>
          <w:p w:rsidR="00DE08CB" w:rsidRPr="00123108" w:rsidRDefault="00DE08CB" w:rsidP="00AD765F">
            <w:pPr>
              <w:rPr>
                <w:rFonts w:ascii="宋体" w:hAnsi="宋体" w:cs="宋体" w:hint="eastAsia"/>
                <w:szCs w:val="21"/>
              </w:rPr>
            </w:pPr>
          </w:p>
        </w:tc>
        <w:tc>
          <w:tcPr>
            <w:tcW w:w="1143" w:type="pct"/>
            <w:tcBorders>
              <w:lef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宁波市应急管理局</w:t>
            </w:r>
          </w:p>
        </w:tc>
      </w:tr>
    </w:tbl>
    <w:p w:rsidR="004F34D9" w:rsidRPr="00123108" w:rsidRDefault="004F34D9">
      <w:pPr>
        <w:rPr>
          <w:rFonts w:hint="eastAsia"/>
          <w:szCs w:val="21"/>
        </w:rPr>
      </w:pPr>
    </w:p>
    <w:p w:rsidR="004F34D9" w:rsidRPr="00123108" w:rsidRDefault="004F34D9" w:rsidP="00D06780">
      <w:pPr>
        <w:pStyle w:val="2"/>
        <w:spacing w:line="500" w:lineRule="exact"/>
        <w:jc w:val="both"/>
        <w:rPr>
          <w:rFonts w:ascii="宋体" w:eastAsia="宋体" w:cs="宋体" w:hint="eastAsia"/>
          <w:sz w:val="28"/>
          <w:szCs w:val="28"/>
        </w:rPr>
      </w:pPr>
      <w:bookmarkStart w:id="352" w:name="_Toc20691"/>
      <w:bookmarkStart w:id="353" w:name="_Toc31626"/>
      <w:bookmarkStart w:id="354" w:name="_Toc29605"/>
      <w:bookmarkStart w:id="355" w:name="_Toc10598"/>
      <w:bookmarkStart w:id="356" w:name="_Toc23194"/>
      <w:bookmarkStart w:id="357" w:name="_Toc25442"/>
      <w:bookmarkStart w:id="358" w:name="_Toc190935726"/>
      <w:r w:rsidRPr="00123108">
        <w:rPr>
          <w:rFonts w:ascii="宋体" w:eastAsia="宋体" w:cs="宋体" w:hint="eastAsia"/>
          <w:sz w:val="28"/>
          <w:szCs w:val="28"/>
        </w:rPr>
        <w:t>2.2  地理位置及自然条件</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4F34D9" w:rsidRPr="00123108" w:rsidRDefault="004F34D9" w:rsidP="00D06780">
      <w:pPr>
        <w:pStyle w:val="3"/>
        <w:spacing w:line="500" w:lineRule="exact"/>
        <w:rPr>
          <w:rFonts w:ascii="宋体" w:eastAsia="宋体" w:hAnsi="宋体" w:cs="宋体" w:hint="eastAsia"/>
          <w:sz w:val="28"/>
          <w:szCs w:val="28"/>
        </w:rPr>
      </w:pPr>
      <w:bookmarkStart w:id="359" w:name="_Toc54617208"/>
      <w:bookmarkStart w:id="360" w:name="_Toc54687832"/>
      <w:bookmarkStart w:id="361" w:name="_Toc12999"/>
      <w:bookmarkStart w:id="362" w:name="_Toc20729"/>
      <w:bookmarkStart w:id="363" w:name="_Toc41286571"/>
      <w:bookmarkStart w:id="364" w:name="_Toc98815416"/>
      <w:bookmarkStart w:id="365" w:name="_Toc25867"/>
      <w:bookmarkStart w:id="366" w:name="_Toc40980681"/>
      <w:bookmarkStart w:id="367" w:name="_Toc54617117"/>
      <w:bookmarkStart w:id="368" w:name="_Toc19284"/>
      <w:bookmarkStart w:id="369" w:name="_Toc3808987"/>
      <w:bookmarkStart w:id="370" w:name="_Toc55724662"/>
      <w:bookmarkStart w:id="371" w:name="_Toc3793"/>
      <w:bookmarkStart w:id="372" w:name="_Toc54618786"/>
      <w:bookmarkStart w:id="373" w:name="_Toc55021649"/>
      <w:bookmarkStart w:id="374" w:name="_Toc44890650"/>
      <w:bookmarkStart w:id="375" w:name="_Toc219518693"/>
      <w:bookmarkStart w:id="376" w:name="_Toc252533199"/>
      <w:bookmarkStart w:id="377" w:name="_Toc54616959"/>
      <w:bookmarkStart w:id="378" w:name="_Toc40980758"/>
      <w:bookmarkStart w:id="379" w:name="_Toc40980835"/>
      <w:bookmarkStart w:id="380" w:name="_Toc55361561"/>
      <w:bookmarkStart w:id="381" w:name="_Toc54617568"/>
      <w:bookmarkStart w:id="382" w:name="_Toc15441"/>
      <w:bookmarkStart w:id="383" w:name="_Toc55366286"/>
      <w:bookmarkStart w:id="384" w:name="_Toc97531133"/>
      <w:bookmarkStart w:id="385" w:name="_Toc41286703"/>
      <w:bookmarkStart w:id="386" w:name="_Toc190935727"/>
      <w:r w:rsidRPr="00123108">
        <w:rPr>
          <w:rFonts w:ascii="宋体" w:eastAsia="宋体" w:hAnsi="宋体" w:cs="宋体" w:hint="eastAsia"/>
          <w:sz w:val="28"/>
          <w:szCs w:val="28"/>
        </w:rPr>
        <w:t>2.2.1  地理位置</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rsidR="004F34D9" w:rsidRPr="00123108" w:rsidRDefault="004F34D9" w:rsidP="00D06780">
      <w:pPr>
        <w:pStyle w:val="2fd"/>
        <w:spacing w:line="500" w:lineRule="exact"/>
        <w:ind w:firstLine="560"/>
        <w:rPr>
          <w:rFonts w:ascii="宋体" w:hAnsi="宋体" w:cs="宋体"/>
          <w:sz w:val="28"/>
        </w:rPr>
      </w:pPr>
      <w:r w:rsidRPr="00123108">
        <w:rPr>
          <w:rFonts w:ascii="宋体" w:hAnsi="宋体" w:cs="宋体" w:hint="eastAsia"/>
          <w:sz w:val="28"/>
        </w:rPr>
        <w:t>新桥化工位于宁波市</w:t>
      </w:r>
      <w:bookmarkStart w:id="387" w:name="OLE_LINK38"/>
      <w:bookmarkStart w:id="388" w:name="OLE_LINK39"/>
      <w:r w:rsidRPr="00123108">
        <w:rPr>
          <w:rFonts w:ascii="宋体" w:hAnsi="宋体" w:cs="宋体" w:hint="eastAsia"/>
          <w:sz w:val="28"/>
        </w:rPr>
        <w:t>北仑区金鸡山路98号</w:t>
      </w:r>
      <w:bookmarkEnd w:id="387"/>
      <w:bookmarkEnd w:id="388"/>
      <w:r w:rsidRPr="00123108">
        <w:rPr>
          <w:rFonts w:ascii="宋体" w:hAnsi="宋体" w:cs="宋体" w:hint="eastAsia"/>
          <w:sz w:val="28"/>
        </w:rPr>
        <w:t>,企业所在地为</w:t>
      </w:r>
      <w:r w:rsidRPr="00123108">
        <w:rPr>
          <w:rFonts w:ascii="宋体" w:hAnsi="宋体" w:hint="eastAsia"/>
          <w:sz w:val="28"/>
        </w:rPr>
        <w:t>经济技术开发区（联合工业区），不属于化工园区或集聚区。</w:t>
      </w:r>
    </w:p>
    <w:p w:rsidR="004F34D9" w:rsidRPr="00123108" w:rsidRDefault="004F34D9" w:rsidP="00D06780">
      <w:pPr>
        <w:pStyle w:val="2fd"/>
        <w:spacing w:line="500" w:lineRule="exact"/>
        <w:ind w:firstLine="560"/>
        <w:rPr>
          <w:rFonts w:ascii="宋体" w:hAnsi="宋体" w:cs="宋体" w:hint="eastAsia"/>
          <w:sz w:val="28"/>
        </w:rPr>
      </w:pPr>
      <w:r w:rsidRPr="00123108">
        <w:rPr>
          <w:rFonts w:ascii="宋体" w:hAnsi="宋体" w:cs="宋体" w:hint="eastAsia"/>
          <w:sz w:val="28"/>
        </w:rPr>
        <w:t>新桥化工地理位置见图2.2-1。</w:t>
      </w:r>
    </w:p>
    <w:p w:rsidR="004F34D9" w:rsidRPr="00123108" w:rsidRDefault="004F34D9">
      <w:pPr>
        <w:pStyle w:val="2fd"/>
        <w:ind w:firstLine="560"/>
        <w:rPr>
          <w:rFonts w:ascii="宋体" w:hAnsi="宋体" w:cs="宋体" w:hint="eastAsia"/>
          <w:sz w:val="28"/>
        </w:rPr>
      </w:pPr>
    </w:p>
    <w:p w:rsidR="004F34D9" w:rsidRPr="00123108" w:rsidRDefault="004F34D9">
      <w:pPr>
        <w:spacing w:line="360" w:lineRule="auto"/>
        <w:rPr>
          <w:rFonts w:ascii="宋体" w:hAnsi="宋体" w:cs="宋体" w:hint="eastAsia"/>
          <w:sz w:val="28"/>
          <w:szCs w:val="28"/>
        </w:rPr>
      </w:pPr>
      <w:bookmarkStart w:id="389" w:name="_Toc32297"/>
      <w:bookmarkStart w:id="390" w:name="_Toc18057"/>
      <w:bookmarkStart w:id="391" w:name="_Toc17957"/>
      <w:bookmarkStart w:id="392" w:name="_Toc16904"/>
      <w:bookmarkStart w:id="393" w:name="_Toc27470"/>
      <w:bookmarkStart w:id="394" w:name="_Toc22904"/>
    </w:p>
    <w:p w:rsidR="004F34D9" w:rsidRPr="00123108" w:rsidRDefault="004F34D9">
      <w:pPr>
        <w:spacing w:line="360" w:lineRule="auto"/>
        <w:jc w:val="center"/>
        <w:rPr>
          <w:rFonts w:ascii="宋体" w:hAnsi="宋体" w:cs="宋体" w:hint="eastAsia"/>
          <w:b/>
          <w:sz w:val="28"/>
          <w:szCs w:val="28"/>
        </w:rPr>
      </w:pPr>
      <w:r w:rsidRPr="00123108">
        <w:rPr>
          <w:rFonts w:ascii="宋体" w:hAnsi="宋体" w:cs="宋体" w:hint="eastAsia"/>
          <w:b/>
          <w:sz w:val="28"/>
          <w:szCs w:val="28"/>
        </w:rPr>
        <w:t>图2.2-1  地理位置图</w:t>
      </w:r>
    </w:p>
    <w:p w:rsidR="004F34D9" w:rsidRPr="00123108" w:rsidRDefault="004F34D9" w:rsidP="00D06780">
      <w:pPr>
        <w:pStyle w:val="2fd"/>
        <w:spacing w:line="500" w:lineRule="exact"/>
        <w:ind w:firstLineChars="0" w:firstLine="0"/>
        <w:jc w:val="left"/>
        <w:outlineLvl w:val="2"/>
        <w:rPr>
          <w:rFonts w:ascii="宋体" w:hAnsi="宋体" w:cs="宋体" w:hint="eastAsia"/>
          <w:b/>
          <w:bCs/>
          <w:sz w:val="28"/>
        </w:rPr>
      </w:pPr>
      <w:bookmarkStart w:id="395" w:name="_Toc190935728"/>
      <w:r w:rsidRPr="00123108">
        <w:rPr>
          <w:rFonts w:ascii="宋体" w:hAnsi="宋体" w:cs="宋体" w:hint="eastAsia"/>
          <w:b/>
          <w:bCs/>
          <w:sz w:val="28"/>
        </w:rPr>
        <w:t>2.2.2  周边环境</w:t>
      </w:r>
      <w:bookmarkEnd w:id="389"/>
      <w:bookmarkEnd w:id="390"/>
      <w:bookmarkEnd w:id="391"/>
      <w:bookmarkEnd w:id="392"/>
      <w:bookmarkEnd w:id="393"/>
      <w:bookmarkEnd w:id="394"/>
      <w:bookmarkEnd w:id="395"/>
    </w:p>
    <w:p w:rsidR="004F34D9" w:rsidRPr="00123108" w:rsidRDefault="004F34D9" w:rsidP="00D06780">
      <w:pPr>
        <w:spacing w:line="500" w:lineRule="exact"/>
        <w:ind w:firstLine="573"/>
        <w:rPr>
          <w:rFonts w:ascii="宋体" w:hAnsi="宋体" w:hint="eastAsia"/>
          <w:sz w:val="28"/>
        </w:rPr>
      </w:pPr>
      <w:r w:rsidRPr="00123108">
        <w:rPr>
          <w:rFonts w:ascii="宋体" w:hAnsi="宋体" w:hint="eastAsia"/>
          <w:sz w:val="28"/>
        </w:rPr>
        <w:t>新桥化工厂区东面隔路为</w:t>
      </w:r>
      <w:r w:rsidRPr="00123108">
        <w:rPr>
          <w:rFonts w:ascii="宋体" w:hAnsi="宋体" w:hint="eastAsia"/>
          <w:sz w:val="28"/>
          <w:szCs w:val="28"/>
        </w:rPr>
        <w:t>宁波盛丰管业集团有限公司</w:t>
      </w:r>
      <w:r w:rsidRPr="00123108">
        <w:rPr>
          <w:rFonts w:ascii="宋体" w:hAnsi="宋体" w:hint="eastAsia"/>
          <w:sz w:val="28"/>
        </w:rPr>
        <w:t>、上海翎昱贸易商行、宁波凯御汽车零部件有限公司及易禾家具有限公司；南面隔金鸡路为众申机械制造有限公司、宁波欣泓塑胶有限公司；西面隔滨江路为已停产的宁波长桥工程塑料有限公司、宁波东方电缆超高压电缆工厂；北面隔共用围墙为宁波斯迈克制药有限公司和浙江安宝药业有限公司。（按建北计）</w:t>
      </w:r>
    </w:p>
    <w:p w:rsidR="004F34D9" w:rsidRPr="00123108" w:rsidRDefault="004F34D9" w:rsidP="0027750A">
      <w:pPr>
        <w:spacing w:line="500" w:lineRule="exact"/>
        <w:ind w:firstLine="573"/>
        <w:rPr>
          <w:rFonts w:ascii="宋体" w:hAnsi="宋体" w:cs="宋体" w:hint="eastAsia"/>
          <w:kern w:val="0"/>
          <w:sz w:val="28"/>
          <w:szCs w:val="28"/>
        </w:rPr>
      </w:pPr>
      <w:r w:rsidRPr="00123108">
        <w:rPr>
          <w:rFonts w:ascii="宋体" w:hAnsi="宋体" w:cs="宋体" w:hint="eastAsia"/>
          <w:sz w:val="28"/>
        </w:rPr>
        <w:lastRenderedPageBreak/>
        <w:t>新桥化工周边情况见图2.2-2、2.2-3</w:t>
      </w:r>
      <w:r w:rsidRPr="00123108">
        <w:rPr>
          <w:rFonts w:ascii="宋体" w:hAnsi="宋体" w:cs="宋体" w:hint="eastAsia"/>
          <w:kern w:val="0"/>
          <w:sz w:val="28"/>
          <w:szCs w:val="28"/>
        </w:rPr>
        <w:t>：</w:t>
      </w:r>
      <w:r w:rsidR="0027750A" w:rsidRPr="00123108">
        <w:t xml:space="preserve"> </w:t>
      </w:r>
      <w:r w:rsidR="0027750A" w:rsidRPr="00123108">
        <w:rPr>
          <w:noProof/>
        </w:rPr>
        <mc:AlternateContent>
          <mc:Choice Requires="wps">
            <w:drawing>
              <wp:anchor distT="0" distB="0" distL="114300" distR="114300" simplePos="0" relativeHeight="251650048" behindDoc="0" locked="0" layoutInCell="1" allowOverlap="1">
                <wp:simplePos x="0" y="0"/>
                <wp:positionH relativeFrom="column">
                  <wp:posOffset>2533650</wp:posOffset>
                </wp:positionH>
                <wp:positionV relativeFrom="paragraph">
                  <wp:posOffset>3133090</wp:posOffset>
                </wp:positionV>
                <wp:extent cx="511175" cy="571500"/>
                <wp:effectExtent l="0" t="0" r="0" b="0"/>
                <wp:wrapNone/>
                <wp:docPr id="155" name="圆角矩形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571500"/>
                        </a:xfrm>
                        <a:prstGeom prst="roundRect">
                          <a:avLst/>
                        </a:prstGeom>
                        <a:noFill/>
                        <a:ln w="25400" cap="flat" cmpd="sng" algn="ctr">
                          <a:noFill/>
                          <a:prstDash val="solid"/>
                        </a:ln>
                      </wps:spPr>
                      <wps:txbx>
                        <w:txbxContent>
                          <w:p w:rsidR="00391F81" w:rsidRDefault="00391F81">
                            <w:pPr>
                              <w:jc w:val="center"/>
                              <w:rPr>
                                <w:b/>
                                <w:bCs/>
                                <w:color w:val="FF0000"/>
                                <w:sz w:val="36"/>
                                <w:szCs w:val="3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oundrect id="圆角矩形 155" o:spid="_x0000_s1026" style="position:absolute;left:0;text-align:left;margin-left:199.5pt;margin-top:246.7pt;width:40.25pt;height: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" filled="f" stroked="f" strokeweight="2pt">
                <v:textbox>
                  <w:txbxContent>
                    <w:p w:rsidR="00391F81" w:rsidRDefault="00391F81">
                      <w:pPr>
                        <w:jc w:val="center"/>
                        <w:rPr>
                          <w:b/>
                          <w:bCs/>
                          <w:color w:val="FF0000"/>
                          <w:sz w:val="36"/>
                          <w:szCs w:val="36"/>
                        </w:rPr>
                      </w:pPr>
                    </w:p>
                  </w:txbxContent>
                </v:textbox>
              </v:roundrect>
            </w:pict>
          </mc:Fallback>
        </mc:AlternateContent>
      </w:r>
      <w:r w:rsidR="0027750A" w:rsidRPr="00123108">
        <w:rPr>
          <w:noProof/>
        </w:rPr>
        <mc:AlternateContent>
          <mc:Choice Requires="wps">
            <w:drawing>
              <wp:anchor distT="0" distB="0" distL="114300" distR="114300" simplePos="0" relativeHeight="251649024" behindDoc="0" locked="0" layoutInCell="1" allowOverlap="1">
                <wp:simplePos x="0" y="0"/>
                <wp:positionH relativeFrom="column">
                  <wp:posOffset>1350645</wp:posOffset>
                </wp:positionH>
                <wp:positionV relativeFrom="paragraph">
                  <wp:posOffset>2030730</wp:posOffset>
                </wp:positionV>
                <wp:extent cx="511175" cy="571500"/>
                <wp:effectExtent l="0" t="0" r="0" b="0"/>
                <wp:wrapNone/>
                <wp:docPr id="153" name="圆角矩形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571500"/>
                        </a:xfrm>
                        <a:prstGeom prst="roundRect">
                          <a:avLst/>
                        </a:prstGeom>
                        <a:noFill/>
                        <a:ln w="25400" cap="flat" cmpd="sng" algn="ctr">
                          <a:noFill/>
                          <a:prstDash val="solid"/>
                        </a:ln>
                      </wps:spPr>
                      <wps:txbx>
                        <w:txbxContent>
                          <w:p w:rsidR="00391F81" w:rsidRDefault="00391F81">
                            <w:pPr>
                              <w:jc w:val="center"/>
                              <w:rPr>
                                <w:sz w:val="36"/>
                                <w:szCs w:val="3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oundrect id="圆角矩形 153" o:spid="_x0000_s1027" style="position:absolute;left:0;text-align:left;margin-left:106.35pt;margin-top:159.9pt;width:40.25pt;height: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" filled="f" stroked="f" strokeweight="2pt">
                <v:textbox>
                  <w:txbxContent>
                    <w:p w:rsidR="00391F81" w:rsidRDefault="00391F81">
                      <w:pPr>
                        <w:jc w:val="center"/>
                        <w:rPr>
                          <w:sz w:val="36"/>
                          <w:szCs w:val="36"/>
                        </w:rPr>
                      </w:pPr>
                    </w:p>
                  </w:txbxContent>
                </v:textbox>
              </v:roundrect>
            </w:pict>
          </mc:Fallback>
        </mc:AlternateContent>
      </w:r>
    </w:p>
    <w:p w:rsidR="004F34D9" w:rsidRPr="00123108" w:rsidRDefault="004F34D9">
      <w:pPr>
        <w:spacing w:line="360" w:lineRule="auto"/>
        <w:jc w:val="center"/>
        <w:rPr>
          <w:rFonts w:ascii="宋体" w:hAnsi="宋体" w:cs="宋体" w:hint="eastAsia"/>
          <w:b/>
          <w:sz w:val="28"/>
          <w:szCs w:val="28"/>
        </w:rPr>
      </w:pPr>
      <w:r w:rsidRPr="00123108">
        <w:rPr>
          <w:rFonts w:ascii="宋体" w:hAnsi="宋体" w:cs="宋体" w:hint="eastAsia"/>
          <w:b/>
          <w:sz w:val="28"/>
          <w:szCs w:val="28"/>
        </w:rPr>
        <w:t>图2.2-2  周边环境示意图</w:t>
      </w:r>
    </w:p>
    <w:p w:rsidR="004F34D9" w:rsidRPr="00123108" w:rsidRDefault="004F34D9">
      <w:pPr>
        <w:autoSpaceDE w:val="0"/>
        <w:autoSpaceDN w:val="0"/>
        <w:adjustRightInd w:val="0"/>
        <w:spacing w:line="360" w:lineRule="auto"/>
        <w:rPr>
          <w:rFonts w:ascii="宋体" w:hAnsi="宋体" w:cs="宋体" w:hint="eastAsia"/>
        </w:rPr>
      </w:pPr>
      <w:r w:rsidRPr="00123108">
        <w:rPr>
          <w:rFonts w:ascii="宋体" w:hAnsi="宋体" w:cs="宋体" w:hint="eastAsia"/>
        </w:rPr>
        <w:t xml:space="preserve">   </w:t>
      </w:r>
    </w:p>
    <w:p w:rsidR="004F34D9" w:rsidRPr="00123108" w:rsidRDefault="004F34D9">
      <w:pPr>
        <w:autoSpaceDE w:val="0"/>
        <w:autoSpaceDN w:val="0"/>
        <w:adjustRightInd w:val="0"/>
        <w:spacing w:line="360" w:lineRule="auto"/>
        <w:ind w:firstLineChars="450" w:firstLine="1265"/>
        <w:rPr>
          <w:rFonts w:ascii="黑体" w:eastAsia="黑体" w:hAnsi="黑体" w:cs="宋体" w:hint="eastAsia"/>
          <w:b/>
          <w:sz w:val="28"/>
          <w:szCs w:val="28"/>
        </w:rPr>
      </w:pPr>
      <w:r w:rsidRPr="00123108">
        <w:rPr>
          <w:rFonts w:ascii="黑体" w:eastAsia="黑体" w:hAnsi="黑体" w:cs="宋体" w:hint="eastAsia"/>
          <w:b/>
          <w:sz w:val="28"/>
          <w:szCs w:val="28"/>
        </w:rPr>
        <w:t>欣泓塑胶                          众申机械</w:t>
      </w:r>
    </w:p>
    <w:p w:rsidR="004F34D9" w:rsidRPr="00123108" w:rsidRDefault="004F34D9">
      <w:pPr>
        <w:autoSpaceDE w:val="0"/>
        <w:autoSpaceDN w:val="0"/>
        <w:adjustRightInd w:val="0"/>
        <w:spacing w:line="360" w:lineRule="auto"/>
        <w:jc w:val="center"/>
        <w:rPr>
          <w:rFonts w:ascii="宋体" w:hAnsi="宋体" w:cs="宋体" w:hint="eastAsia"/>
        </w:rPr>
      </w:pPr>
      <w:r w:rsidRPr="00123108">
        <w:rPr>
          <w:rFonts w:ascii="宋体" w:hAnsi="宋体" w:cs="宋体" w:hint="eastAsia"/>
        </w:rPr>
        <w:t xml:space="preserve">  </w:t>
      </w:r>
    </w:p>
    <w:p w:rsidR="004F34D9" w:rsidRPr="00123108" w:rsidRDefault="004F34D9">
      <w:pPr>
        <w:autoSpaceDE w:val="0"/>
        <w:autoSpaceDN w:val="0"/>
        <w:adjustRightInd w:val="0"/>
        <w:spacing w:line="360" w:lineRule="auto"/>
        <w:jc w:val="center"/>
        <w:rPr>
          <w:rFonts w:ascii="黑体" w:eastAsia="黑体" w:hAnsi="黑体" w:cs="宋体" w:hint="eastAsia"/>
          <w:b/>
        </w:rPr>
      </w:pPr>
      <w:r w:rsidRPr="00123108">
        <w:rPr>
          <w:rFonts w:ascii="黑体" w:eastAsia="黑体" w:hAnsi="黑体" w:hint="eastAsia"/>
          <w:b/>
          <w:sz w:val="28"/>
        </w:rPr>
        <w:t>长桥工程塑料</w:t>
      </w:r>
    </w:p>
    <w:p w:rsidR="004F34D9" w:rsidRPr="00123108" w:rsidRDefault="004F34D9">
      <w:pPr>
        <w:rPr>
          <w:rFonts w:hint="eastAsia"/>
        </w:rPr>
      </w:pPr>
    </w:p>
    <w:p w:rsidR="004F34D9" w:rsidRPr="00123108" w:rsidRDefault="004F34D9">
      <w:pPr>
        <w:spacing w:line="360" w:lineRule="auto"/>
        <w:ind w:firstLineChars="500" w:firstLine="1405"/>
        <w:rPr>
          <w:rFonts w:ascii="宋体" w:hAnsi="宋体" w:cs="宋体" w:hint="eastAsia"/>
          <w:b/>
          <w:sz w:val="28"/>
        </w:rPr>
      </w:pPr>
      <w:r w:rsidRPr="00123108">
        <w:rPr>
          <w:rFonts w:ascii="宋体" w:hAnsi="宋体" w:cs="宋体" w:hint="eastAsia"/>
          <w:b/>
          <w:sz w:val="28"/>
          <w:szCs w:val="28"/>
        </w:rPr>
        <w:t xml:space="preserve">             </w:t>
      </w:r>
      <w:r w:rsidRPr="00123108">
        <w:rPr>
          <w:rFonts w:ascii="宋体" w:hAnsi="宋体" w:cs="宋体" w:hint="eastAsia"/>
          <w:b/>
          <w:sz w:val="28"/>
        </w:rPr>
        <w:t>图2.2-3  周边环境照片</w:t>
      </w:r>
    </w:p>
    <w:p w:rsidR="004F34D9" w:rsidRPr="00123108" w:rsidRDefault="004F34D9" w:rsidP="00D06780">
      <w:pPr>
        <w:pStyle w:val="3"/>
        <w:spacing w:line="500" w:lineRule="exact"/>
        <w:rPr>
          <w:rFonts w:ascii="宋体" w:eastAsia="宋体" w:hAnsi="宋体" w:cs="宋体" w:hint="eastAsia"/>
          <w:sz w:val="28"/>
          <w:szCs w:val="28"/>
        </w:rPr>
      </w:pPr>
      <w:bookmarkStart w:id="396" w:name="_Toc252533200"/>
      <w:bookmarkStart w:id="397" w:name="_Toc54618787"/>
      <w:bookmarkStart w:id="398" w:name="_Toc55724663"/>
      <w:bookmarkStart w:id="399" w:name="_Toc24182"/>
      <w:bookmarkStart w:id="400" w:name="_Toc54617118"/>
      <w:bookmarkStart w:id="401" w:name="_Toc109"/>
      <w:bookmarkStart w:id="402" w:name="_Toc19011"/>
      <w:bookmarkStart w:id="403" w:name="_Toc44890651"/>
      <w:bookmarkStart w:id="404" w:name="_Toc41286572"/>
      <w:bookmarkStart w:id="405" w:name="_Toc219518694"/>
      <w:bookmarkStart w:id="406" w:name="_Toc41286704"/>
      <w:bookmarkStart w:id="407" w:name="_Toc40980836"/>
      <w:bookmarkStart w:id="408" w:name="_Toc55361562"/>
      <w:bookmarkStart w:id="409" w:name="_Toc54617209"/>
      <w:bookmarkStart w:id="410" w:name="_Toc54616960"/>
      <w:bookmarkStart w:id="411" w:name="_Toc1891"/>
      <w:bookmarkStart w:id="412" w:name="_Toc3808988"/>
      <w:bookmarkStart w:id="413" w:name="_Toc98815417"/>
      <w:bookmarkStart w:id="414" w:name="_Toc1122"/>
      <w:bookmarkStart w:id="415" w:name="_Toc54617569"/>
      <w:bookmarkStart w:id="416" w:name="_Toc55366287"/>
      <w:bookmarkStart w:id="417" w:name="_Toc55021650"/>
      <w:bookmarkStart w:id="418" w:name="_Toc40980682"/>
      <w:bookmarkStart w:id="419" w:name="_Toc97531134"/>
      <w:bookmarkStart w:id="420" w:name="_Toc40980759"/>
      <w:bookmarkStart w:id="421" w:name="_Toc12899"/>
      <w:bookmarkStart w:id="422" w:name="_Toc54687833"/>
      <w:bookmarkStart w:id="423" w:name="_Toc190935729"/>
      <w:r w:rsidRPr="00123108">
        <w:rPr>
          <w:rFonts w:ascii="宋体" w:eastAsia="宋体" w:hAnsi="宋体" w:cs="宋体" w:hint="eastAsia"/>
          <w:sz w:val="28"/>
          <w:szCs w:val="28"/>
        </w:rPr>
        <w:t>2.2.3  自然条件</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rsidR="004F34D9" w:rsidRPr="00123108" w:rsidRDefault="004F34D9" w:rsidP="00D06780">
      <w:pPr>
        <w:spacing w:line="500" w:lineRule="exact"/>
        <w:ind w:firstLineChars="200" w:firstLine="560"/>
        <w:rPr>
          <w:rFonts w:ascii="宋体" w:hAnsi="宋体"/>
          <w:kern w:val="0"/>
          <w:sz w:val="29"/>
          <w:szCs w:val="29"/>
        </w:rPr>
      </w:pPr>
      <w:bookmarkStart w:id="424" w:name="_Toc23990"/>
      <w:bookmarkStart w:id="425" w:name="_Toc27643"/>
      <w:bookmarkStart w:id="426" w:name="_Toc22051"/>
      <w:bookmarkStart w:id="427" w:name="_Toc21600"/>
      <w:bookmarkStart w:id="428" w:name="_Toc5826"/>
      <w:bookmarkStart w:id="429" w:name="_Toc393724075"/>
      <w:bookmarkStart w:id="430" w:name="_Toc25590"/>
      <w:bookmarkStart w:id="431" w:name="_Toc3808989"/>
      <w:r w:rsidRPr="00123108">
        <w:rPr>
          <w:rFonts w:ascii="宋体" w:hAnsi="宋体" w:hint="eastAsia"/>
          <w:sz w:val="28"/>
        </w:rPr>
        <w:t>本项目所在区域地形属于滨海丘陵平原区，地貌为丘陵和第四纪滨海淤积平原，大地构造属于新华夏系第二巨型隆起带，基岩属于上侏罗统火山岩，</w:t>
      </w:r>
      <w:r w:rsidRPr="00123108">
        <w:rPr>
          <w:rFonts w:ascii="宋体" w:hAnsi="宋体" w:hint="eastAsia"/>
          <w:spacing w:val="1"/>
          <w:kern w:val="0"/>
          <w:sz w:val="29"/>
          <w:szCs w:val="29"/>
        </w:rPr>
        <w:t>地面标高</w:t>
      </w:r>
      <w:r w:rsidRPr="00123108">
        <w:rPr>
          <w:rFonts w:ascii="宋体" w:hAnsi="宋体"/>
          <w:spacing w:val="1"/>
          <w:kern w:val="0"/>
          <w:sz w:val="29"/>
          <w:szCs w:val="29"/>
        </w:rPr>
        <w:t>3</w:t>
      </w:r>
      <w:r w:rsidRPr="00123108">
        <w:rPr>
          <w:rFonts w:ascii="宋体" w:hAnsi="宋体" w:hint="eastAsia"/>
          <w:spacing w:val="1"/>
          <w:kern w:val="0"/>
          <w:sz w:val="29"/>
          <w:szCs w:val="29"/>
        </w:rPr>
        <w:t>～</w:t>
      </w:r>
      <w:r w:rsidRPr="00123108">
        <w:rPr>
          <w:rFonts w:ascii="宋体" w:hAnsi="宋体"/>
          <w:spacing w:val="1"/>
          <w:kern w:val="0"/>
          <w:sz w:val="29"/>
          <w:szCs w:val="29"/>
        </w:rPr>
        <w:t>5m(</w:t>
      </w:r>
      <w:r w:rsidRPr="00123108">
        <w:rPr>
          <w:rFonts w:ascii="宋体" w:hAnsi="宋体" w:hint="eastAsia"/>
          <w:spacing w:val="1"/>
          <w:kern w:val="0"/>
          <w:sz w:val="29"/>
          <w:szCs w:val="29"/>
        </w:rPr>
        <w:t>吴</w:t>
      </w:r>
      <w:r w:rsidRPr="00123108">
        <w:rPr>
          <w:rFonts w:ascii="宋体" w:hAnsi="宋体" w:hint="eastAsia"/>
          <w:kern w:val="0"/>
          <w:sz w:val="29"/>
          <w:szCs w:val="29"/>
        </w:rPr>
        <w:t>淞标高</w:t>
      </w:r>
      <w:r w:rsidRPr="00123108">
        <w:rPr>
          <w:rFonts w:ascii="宋体" w:hAnsi="宋体"/>
          <w:kern w:val="0"/>
          <w:sz w:val="29"/>
          <w:szCs w:val="29"/>
        </w:rPr>
        <w:t>)</w:t>
      </w:r>
      <w:r w:rsidRPr="00123108">
        <w:rPr>
          <w:rFonts w:ascii="宋体" w:hAnsi="宋体" w:hint="eastAsia"/>
          <w:kern w:val="0"/>
          <w:sz w:val="29"/>
          <w:szCs w:val="29"/>
        </w:rPr>
        <w:t>，山地坡度在</w:t>
      </w:r>
      <w:r w:rsidRPr="00123108">
        <w:rPr>
          <w:rFonts w:ascii="宋体" w:hAnsi="宋体"/>
          <w:kern w:val="0"/>
          <w:sz w:val="29"/>
          <w:szCs w:val="29"/>
        </w:rPr>
        <w:t>20</w:t>
      </w:r>
      <w:r w:rsidRPr="00123108">
        <w:rPr>
          <w:rFonts w:ascii="宋体" w:hAnsi="宋体" w:hint="eastAsia"/>
          <w:kern w:val="0"/>
          <w:sz w:val="29"/>
          <w:szCs w:val="29"/>
        </w:rPr>
        <w:t>～</w:t>
      </w:r>
      <w:r w:rsidRPr="00123108">
        <w:rPr>
          <w:rFonts w:ascii="宋体" w:hAnsi="宋体"/>
          <w:kern w:val="0"/>
          <w:sz w:val="29"/>
          <w:szCs w:val="29"/>
        </w:rPr>
        <w:t>25</w:t>
      </w:r>
      <w:r w:rsidRPr="00123108">
        <w:rPr>
          <w:rFonts w:ascii="宋体" w:hAnsi="宋体" w:hint="eastAsia"/>
          <w:kern w:val="0"/>
          <w:sz w:val="29"/>
          <w:szCs w:val="29"/>
        </w:rPr>
        <w:t>度之间</w:t>
      </w:r>
      <w:r w:rsidRPr="00123108">
        <w:rPr>
          <w:rFonts w:ascii="宋体" w:hAnsi="宋体" w:hint="eastAsia"/>
          <w:spacing w:val="-62"/>
          <w:kern w:val="0"/>
          <w:sz w:val="29"/>
          <w:szCs w:val="29"/>
        </w:rPr>
        <w:t>，</w:t>
      </w:r>
      <w:r w:rsidRPr="00123108">
        <w:rPr>
          <w:rFonts w:ascii="宋体" w:hAnsi="宋体" w:hint="eastAsia"/>
          <w:kern w:val="0"/>
          <w:sz w:val="29"/>
          <w:szCs w:val="29"/>
        </w:rPr>
        <w:t>地基允许承载</w:t>
      </w:r>
      <w:r w:rsidRPr="00123108">
        <w:rPr>
          <w:rFonts w:ascii="宋体" w:hAnsi="宋体"/>
          <w:kern w:val="0"/>
          <w:sz w:val="29"/>
          <w:szCs w:val="29"/>
        </w:rPr>
        <w:t>6</w:t>
      </w:r>
      <w:r w:rsidRPr="00123108">
        <w:rPr>
          <w:rFonts w:ascii="宋体" w:hAnsi="宋体" w:hint="eastAsia"/>
          <w:kern w:val="0"/>
          <w:sz w:val="29"/>
          <w:szCs w:val="29"/>
        </w:rPr>
        <w:t>～</w:t>
      </w:r>
      <w:r w:rsidRPr="00123108">
        <w:rPr>
          <w:rFonts w:ascii="宋体" w:hAnsi="宋体"/>
          <w:kern w:val="0"/>
          <w:sz w:val="29"/>
          <w:szCs w:val="29"/>
        </w:rPr>
        <w:t>8t</w:t>
      </w:r>
      <w:r w:rsidRPr="00123108">
        <w:rPr>
          <w:rFonts w:ascii="宋体" w:hAnsi="宋体" w:hint="eastAsia"/>
          <w:kern w:val="0"/>
          <w:sz w:val="29"/>
          <w:szCs w:val="29"/>
        </w:rPr>
        <w:t>／</w:t>
      </w:r>
      <w:r w:rsidRPr="00123108">
        <w:rPr>
          <w:rFonts w:ascii="宋体" w:hAnsi="宋体"/>
          <w:kern w:val="0"/>
          <w:sz w:val="29"/>
          <w:szCs w:val="29"/>
        </w:rPr>
        <w:t>fIl2</w:t>
      </w:r>
      <w:r w:rsidRPr="00123108">
        <w:rPr>
          <w:rFonts w:ascii="宋体" w:hAnsi="宋体" w:hint="eastAsia"/>
          <w:spacing w:val="-62"/>
          <w:kern w:val="0"/>
          <w:sz w:val="29"/>
          <w:szCs w:val="29"/>
        </w:rPr>
        <w:t>。</w:t>
      </w:r>
      <w:r w:rsidRPr="00123108">
        <w:rPr>
          <w:rFonts w:ascii="宋体" w:hAnsi="宋体" w:hint="eastAsia"/>
          <w:kern w:val="0"/>
          <w:sz w:val="29"/>
          <w:szCs w:val="29"/>
        </w:rPr>
        <w:t>地震基本烈度为Ⅵ度，较稳定。</w:t>
      </w:r>
    </w:p>
    <w:p w:rsidR="004F34D9" w:rsidRPr="00123108" w:rsidRDefault="004F34D9" w:rsidP="00D06780">
      <w:pPr>
        <w:autoSpaceDE w:val="0"/>
        <w:autoSpaceDN w:val="0"/>
        <w:spacing w:line="500" w:lineRule="exact"/>
        <w:ind w:firstLineChars="200" w:firstLine="564"/>
        <w:jc w:val="left"/>
        <w:rPr>
          <w:rFonts w:ascii="宋体" w:hAnsi="宋体"/>
          <w:spacing w:val="-25"/>
          <w:kern w:val="0"/>
          <w:sz w:val="28"/>
          <w:szCs w:val="29"/>
        </w:rPr>
      </w:pPr>
      <w:r w:rsidRPr="00123108">
        <w:rPr>
          <w:rFonts w:ascii="宋体" w:hAnsi="宋体" w:hint="eastAsia"/>
          <w:spacing w:val="1"/>
          <w:kern w:val="0"/>
          <w:sz w:val="28"/>
          <w:szCs w:val="29"/>
        </w:rPr>
        <w:t>地下水主要赋存形式有：浅部孔隙潜水</w:t>
      </w:r>
      <w:r w:rsidRPr="00123108">
        <w:rPr>
          <w:rFonts w:ascii="宋体" w:hAnsi="宋体" w:hint="eastAsia"/>
          <w:kern w:val="0"/>
          <w:sz w:val="28"/>
          <w:szCs w:val="29"/>
        </w:rPr>
        <w:t>和深部</w:t>
      </w:r>
      <w:r w:rsidRPr="00123108">
        <w:rPr>
          <w:rFonts w:ascii="宋体" w:hAnsi="宋体"/>
          <w:kern w:val="0"/>
          <w:sz w:val="28"/>
          <w:szCs w:val="29"/>
        </w:rPr>
        <w:t>(</w:t>
      </w:r>
      <w:r w:rsidRPr="00123108">
        <w:rPr>
          <w:rFonts w:ascii="宋体" w:hAnsi="宋体" w:hint="eastAsia"/>
          <w:kern w:val="0"/>
          <w:sz w:val="28"/>
          <w:szCs w:val="29"/>
        </w:rPr>
        <w:t>Ⅲ</w:t>
      </w:r>
      <w:r w:rsidRPr="00123108">
        <w:rPr>
          <w:rFonts w:ascii="宋体" w:hAnsi="宋体" w:hint="eastAsia"/>
          <w:kern w:val="0"/>
          <w:sz w:val="28"/>
          <w:szCs w:val="29"/>
          <w:vertAlign w:val="subscript"/>
        </w:rPr>
        <w:t>1</w:t>
      </w:r>
      <w:r w:rsidRPr="00123108">
        <w:rPr>
          <w:rFonts w:ascii="宋体" w:hAnsi="宋体" w:hint="eastAsia"/>
          <w:kern w:val="0"/>
          <w:sz w:val="28"/>
          <w:szCs w:val="29"/>
        </w:rPr>
        <w:t>、Ⅲ</w:t>
      </w:r>
      <w:r w:rsidRPr="00123108">
        <w:rPr>
          <w:rFonts w:ascii="宋体" w:hAnsi="宋体" w:hint="eastAsia"/>
          <w:kern w:val="0"/>
          <w:sz w:val="28"/>
          <w:szCs w:val="29"/>
          <w:vertAlign w:val="subscript"/>
        </w:rPr>
        <w:t>2</w:t>
      </w:r>
      <w:r w:rsidRPr="00123108">
        <w:rPr>
          <w:rFonts w:ascii="宋体" w:hAnsi="宋体" w:hint="eastAsia"/>
          <w:kern w:val="0"/>
          <w:sz w:val="28"/>
          <w:szCs w:val="29"/>
        </w:rPr>
        <w:t>层和Ⅳ</w:t>
      </w:r>
      <w:r w:rsidRPr="00123108">
        <w:rPr>
          <w:rFonts w:ascii="宋体" w:hAnsi="宋体" w:hint="eastAsia"/>
          <w:kern w:val="0"/>
          <w:sz w:val="28"/>
          <w:szCs w:val="29"/>
          <w:vertAlign w:val="subscript"/>
        </w:rPr>
        <w:t>2</w:t>
      </w:r>
      <w:r w:rsidRPr="00123108">
        <w:rPr>
          <w:rFonts w:ascii="宋体" w:hAnsi="宋体" w:hint="eastAsia"/>
          <w:kern w:val="0"/>
          <w:sz w:val="28"/>
          <w:szCs w:val="29"/>
        </w:rPr>
        <w:t>层</w:t>
      </w:r>
      <w:r w:rsidRPr="00123108">
        <w:rPr>
          <w:rFonts w:ascii="宋体" w:hAnsi="宋体"/>
          <w:kern w:val="0"/>
          <w:sz w:val="28"/>
          <w:szCs w:val="29"/>
        </w:rPr>
        <w:t>)</w:t>
      </w:r>
      <w:r w:rsidRPr="00123108">
        <w:rPr>
          <w:rFonts w:ascii="宋体" w:hAnsi="宋体" w:hint="eastAsia"/>
          <w:kern w:val="0"/>
          <w:sz w:val="28"/>
          <w:szCs w:val="29"/>
        </w:rPr>
        <w:t>孔隙承压水</w:t>
      </w:r>
      <w:r w:rsidRPr="00123108">
        <w:rPr>
          <w:rFonts w:ascii="宋体" w:hAnsi="宋体" w:hint="eastAsia"/>
          <w:spacing w:val="-65"/>
          <w:kern w:val="0"/>
          <w:sz w:val="28"/>
          <w:szCs w:val="29"/>
        </w:rPr>
        <w:t>，</w:t>
      </w:r>
      <w:r w:rsidRPr="00123108">
        <w:rPr>
          <w:rFonts w:ascii="宋体" w:hAnsi="宋体" w:hint="eastAsia"/>
          <w:kern w:val="0"/>
          <w:sz w:val="28"/>
          <w:szCs w:val="29"/>
        </w:rPr>
        <w:t>浅部孔隙潜水主要赋存于人工填土和浅部淤泥质土层中</w:t>
      </w:r>
      <w:r w:rsidRPr="00123108">
        <w:rPr>
          <w:rFonts w:ascii="宋体" w:hAnsi="宋体" w:hint="eastAsia"/>
          <w:spacing w:val="-17"/>
          <w:kern w:val="0"/>
          <w:sz w:val="28"/>
          <w:szCs w:val="29"/>
        </w:rPr>
        <w:t>，</w:t>
      </w:r>
      <w:r w:rsidRPr="00123108">
        <w:rPr>
          <w:rFonts w:ascii="宋体" w:hAnsi="宋体" w:hint="eastAsia"/>
          <w:kern w:val="0"/>
          <w:sz w:val="28"/>
          <w:szCs w:val="29"/>
        </w:rPr>
        <w:t>透水性差</w:t>
      </w:r>
      <w:r w:rsidRPr="00123108">
        <w:rPr>
          <w:rFonts w:ascii="宋体" w:hAnsi="宋体" w:hint="eastAsia"/>
          <w:spacing w:val="-17"/>
          <w:kern w:val="0"/>
          <w:sz w:val="28"/>
          <w:szCs w:val="29"/>
        </w:rPr>
        <w:t>，</w:t>
      </w:r>
      <w:r w:rsidRPr="00123108">
        <w:rPr>
          <w:rFonts w:ascii="宋体" w:hAnsi="宋体" w:hint="eastAsia"/>
          <w:kern w:val="0"/>
          <w:sz w:val="28"/>
          <w:szCs w:val="29"/>
        </w:rPr>
        <w:t>水量贫乏</w:t>
      </w:r>
      <w:r w:rsidRPr="00123108">
        <w:rPr>
          <w:rFonts w:ascii="宋体" w:hAnsi="宋体" w:hint="eastAsia"/>
          <w:spacing w:val="-17"/>
          <w:kern w:val="0"/>
          <w:sz w:val="28"/>
          <w:szCs w:val="29"/>
        </w:rPr>
        <w:t>，</w:t>
      </w:r>
      <w:r w:rsidRPr="00123108">
        <w:rPr>
          <w:rFonts w:ascii="宋体" w:hAnsi="宋体" w:hint="eastAsia"/>
          <w:kern w:val="0"/>
          <w:sz w:val="28"/>
          <w:szCs w:val="29"/>
        </w:rPr>
        <w:t>潜水位埋</w:t>
      </w:r>
      <w:r w:rsidRPr="00123108">
        <w:rPr>
          <w:rFonts w:ascii="宋体" w:hAnsi="宋体" w:hint="eastAsia"/>
          <w:spacing w:val="1"/>
          <w:kern w:val="0"/>
          <w:sz w:val="28"/>
          <w:szCs w:val="29"/>
        </w:rPr>
        <w:t>深</w:t>
      </w:r>
      <w:r w:rsidRPr="00123108">
        <w:rPr>
          <w:rFonts w:ascii="宋体" w:hAnsi="宋体"/>
          <w:spacing w:val="1"/>
          <w:kern w:val="0"/>
          <w:sz w:val="28"/>
          <w:szCs w:val="29"/>
        </w:rPr>
        <w:t>O</w:t>
      </w:r>
      <w:r w:rsidRPr="00123108">
        <w:rPr>
          <w:rFonts w:ascii="宋体" w:hAnsi="宋体" w:hint="eastAsia"/>
          <w:spacing w:val="-25"/>
          <w:kern w:val="0"/>
          <w:sz w:val="28"/>
          <w:szCs w:val="29"/>
        </w:rPr>
        <w:t>．</w:t>
      </w:r>
      <w:r w:rsidRPr="00123108">
        <w:rPr>
          <w:rFonts w:ascii="宋体" w:hAnsi="宋体"/>
          <w:kern w:val="0"/>
          <w:sz w:val="28"/>
          <w:szCs w:val="29"/>
        </w:rPr>
        <w:t>3</w:t>
      </w:r>
      <w:r w:rsidRPr="00123108">
        <w:rPr>
          <w:rFonts w:ascii="宋体" w:hAnsi="宋体" w:hint="eastAsia"/>
          <w:kern w:val="0"/>
          <w:sz w:val="28"/>
          <w:szCs w:val="29"/>
        </w:rPr>
        <w:t>～</w:t>
      </w:r>
      <w:r w:rsidRPr="00123108">
        <w:rPr>
          <w:rFonts w:ascii="宋体" w:hAnsi="宋体"/>
          <w:kern w:val="0"/>
          <w:sz w:val="28"/>
          <w:szCs w:val="29"/>
        </w:rPr>
        <w:t>O</w:t>
      </w:r>
      <w:r w:rsidRPr="00123108">
        <w:rPr>
          <w:rFonts w:ascii="宋体" w:hAnsi="宋体" w:hint="eastAsia"/>
          <w:spacing w:val="-25"/>
          <w:kern w:val="0"/>
          <w:sz w:val="28"/>
          <w:szCs w:val="29"/>
        </w:rPr>
        <w:t>．</w:t>
      </w:r>
      <w:r w:rsidRPr="00123108">
        <w:rPr>
          <w:rFonts w:ascii="宋体" w:hAnsi="宋体"/>
          <w:kern w:val="0"/>
          <w:sz w:val="28"/>
          <w:szCs w:val="29"/>
        </w:rPr>
        <w:t>6m</w:t>
      </w:r>
      <w:r w:rsidRPr="00123108">
        <w:rPr>
          <w:rFonts w:ascii="宋体" w:hAnsi="宋体" w:hint="eastAsia"/>
          <w:spacing w:val="-25"/>
          <w:kern w:val="0"/>
          <w:sz w:val="28"/>
          <w:szCs w:val="29"/>
        </w:rPr>
        <w:t>，</w:t>
      </w:r>
      <w:r w:rsidRPr="00123108">
        <w:rPr>
          <w:rFonts w:ascii="宋体" w:hAnsi="宋体" w:hint="eastAsia"/>
          <w:kern w:val="0"/>
          <w:sz w:val="28"/>
          <w:szCs w:val="29"/>
        </w:rPr>
        <w:t>随季节变化幅度大</w:t>
      </w:r>
      <w:r w:rsidRPr="00123108">
        <w:rPr>
          <w:rFonts w:ascii="宋体" w:hAnsi="宋体" w:hint="eastAsia"/>
          <w:spacing w:val="-25"/>
          <w:kern w:val="0"/>
          <w:sz w:val="28"/>
          <w:szCs w:val="29"/>
        </w:rPr>
        <w:t>，</w:t>
      </w:r>
      <w:r w:rsidRPr="00123108">
        <w:rPr>
          <w:rFonts w:ascii="宋体" w:hAnsi="宋体" w:hint="eastAsia"/>
          <w:kern w:val="0"/>
          <w:sz w:val="28"/>
          <w:szCs w:val="29"/>
        </w:rPr>
        <w:t>地下水对砼无腐蚀性</w:t>
      </w:r>
      <w:r w:rsidRPr="00123108">
        <w:rPr>
          <w:rFonts w:ascii="宋体" w:hAnsi="宋体" w:hint="eastAsia"/>
          <w:spacing w:val="-25"/>
          <w:kern w:val="0"/>
          <w:sz w:val="28"/>
          <w:szCs w:val="29"/>
        </w:rPr>
        <w:t>。</w:t>
      </w:r>
    </w:p>
    <w:p w:rsidR="004F34D9" w:rsidRPr="00123108" w:rsidRDefault="004F34D9" w:rsidP="00D06780">
      <w:pPr>
        <w:autoSpaceDE w:val="0"/>
        <w:autoSpaceDN w:val="0"/>
        <w:spacing w:line="500" w:lineRule="exact"/>
        <w:ind w:firstLineChars="200" w:firstLine="560"/>
        <w:jc w:val="left"/>
        <w:rPr>
          <w:rFonts w:ascii="宋体" w:hAnsi="宋体"/>
          <w:kern w:val="0"/>
          <w:sz w:val="28"/>
          <w:szCs w:val="29"/>
        </w:rPr>
      </w:pPr>
      <w:r w:rsidRPr="00123108">
        <w:rPr>
          <w:rFonts w:ascii="宋体" w:hAnsi="宋体" w:hint="eastAsia"/>
          <w:kern w:val="0"/>
          <w:sz w:val="28"/>
          <w:szCs w:val="29"/>
        </w:rPr>
        <w:t>甬江口属不规则半日潮型河口</w:t>
      </w:r>
      <w:r w:rsidRPr="00123108">
        <w:rPr>
          <w:rFonts w:ascii="宋体" w:hAnsi="宋体" w:hint="eastAsia"/>
          <w:spacing w:val="-62"/>
          <w:kern w:val="0"/>
          <w:sz w:val="28"/>
          <w:szCs w:val="29"/>
        </w:rPr>
        <w:t>。</w:t>
      </w:r>
      <w:r w:rsidRPr="00123108">
        <w:rPr>
          <w:rFonts w:ascii="宋体" w:hAnsi="宋体" w:hint="eastAsia"/>
          <w:kern w:val="0"/>
          <w:sz w:val="28"/>
          <w:szCs w:val="29"/>
        </w:rPr>
        <w:t>平均高潮位为</w:t>
      </w:r>
      <w:r w:rsidRPr="00123108">
        <w:rPr>
          <w:rFonts w:ascii="宋体" w:hAnsi="宋体"/>
          <w:kern w:val="0"/>
          <w:sz w:val="28"/>
          <w:szCs w:val="29"/>
        </w:rPr>
        <w:t>2</w:t>
      </w:r>
      <w:r w:rsidRPr="00123108">
        <w:rPr>
          <w:rFonts w:ascii="宋体" w:hAnsi="宋体" w:hint="eastAsia"/>
          <w:spacing w:val="-62"/>
          <w:kern w:val="0"/>
          <w:sz w:val="28"/>
          <w:szCs w:val="29"/>
        </w:rPr>
        <w:t>．</w:t>
      </w:r>
      <w:r w:rsidRPr="00123108">
        <w:rPr>
          <w:rFonts w:ascii="宋体" w:hAnsi="宋体"/>
          <w:kern w:val="0"/>
          <w:sz w:val="28"/>
          <w:szCs w:val="29"/>
        </w:rPr>
        <w:t>92m(</w:t>
      </w:r>
      <w:r w:rsidRPr="00123108">
        <w:rPr>
          <w:rFonts w:ascii="宋体" w:hAnsi="宋体" w:hint="eastAsia"/>
          <w:kern w:val="0"/>
          <w:sz w:val="28"/>
          <w:szCs w:val="29"/>
        </w:rPr>
        <w:t>吴</w:t>
      </w:r>
      <w:r w:rsidRPr="00123108">
        <w:rPr>
          <w:rFonts w:ascii="宋体" w:hAnsi="宋体" w:hint="eastAsia"/>
          <w:spacing w:val="1"/>
          <w:kern w:val="0"/>
          <w:sz w:val="28"/>
          <w:szCs w:val="29"/>
        </w:rPr>
        <w:t>淞标高</w:t>
      </w:r>
      <w:r w:rsidRPr="00123108">
        <w:rPr>
          <w:rFonts w:ascii="宋体" w:hAnsi="宋体"/>
          <w:spacing w:val="1"/>
          <w:kern w:val="0"/>
          <w:sz w:val="28"/>
          <w:szCs w:val="29"/>
        </w:rPr>
        <w:t>)</w:t>
      </w:r>
      <w:r w:rsidRPr="00123108">
        <w:rPr>
          <w:rFonts w:ascii="宋体" w:hAnsi="宋体" w:hint="eastAsia"/>
          <w:spacing w:val="1"/>
          <w:kern w:val="0"/>
          <w:sz w:val="28"/>
          <w:szCs w:val="29"/>
        </w:rPr>
        <w:t>，最高潮位</w:t>
      </w:r>
      <w:r w:rsidRPr="00123108">
        <w:rPr>
          <w:rFonts w:ascii="宋体" w:hAnsi="宋体"/>
          <w:spacing w:val="1"/>
          <w:kern w:val="0"/>
          <w:sz w:val="28"/>
          <w:szCs w:val="29"/>
        </w:rPr>
        <w:t>4</w:t>
      </w:r>
      <w:r w:rsidRPr="00123108">
        <w:rPr>
          <w:rFonts w:ascii="宋体" w:hAnsi="宋体" w:hint="eastAsia"/>
          <w:spacing w:val="1"/>
          <w:kern w:val="0"/>
          <w:sz w:val="28"/>
          <w:szCs w:val="29"/>
        </w:rPr>
        <w:t>.</w:t>
      </w:r>
      <w:r w:rsidRPr="00123108">
        <w:rPr>
          <w:rFonts w:ascii="宋体" w:hAnsi="宋体"/>
          <w:spacing w:val="1"/>
          <w:kern w:val="0"/>
          <w:sz w:val="28"/>
          <w:szCs w:val="29"/>
        </w:rPr>
        <w:t>97m</w:t>
      </w:r>
      <w:r w:rsidRPr="00123108">
        <w:rPr>
          <w:rFonts w:ascii="宋体" w:hAnsi="宋体" w:hint="eastAsia"/>
          <w:spacing w:val="1"/>
          <w:kern w:val="0"/>
          <w:sz w:val="28"/>
          <w:szCs w:val="29"/>
        </w:rPr>
        <w:t>；平均低潮位</w:t>
      </w:r>
      <w:r w:rsidRPr="00123108">
        <w:rPr>
          <w:rFonts w:ascii="宋体" w:hAnsi="宋体"/>
          <w:spacing w:val="1"/>
          <w:kern w:val="0"/>
          <w:sz w:val="28"/>
          <w:szCs w:val="29"/>
        </w:rPr>
        <w:t>1</w:t>
      </w:r>
      <w:r w:rsidRPr="00123108">
        <w:rPr>
          <w:rFonts w:ascii="宋体" w:hAnsi="宋体" w:hint="eastAsia"/>
          <w:spacing w:val="1"/>
          <w:kern w:val="0"/>
          <w:sz w:val="28"/>
          <w:szCs w:val="29"/>
        </w:rPr>
        <w:t>.</w:t>
      </w:r>
      <w:r w:rsidRPr="00123108">
        <w:rPr>
          <w:rFonts w:ascii="宋体" w:hAnsi="宋体"/>
          <w:spacing w:val="1"/>
          <w:kern w:val="0"/>
          <w:sz w:val="28"/>
          <w:szCs w:val="29"/>
        </w:rPr>
        <w:t>17m</w:t>
      </w:r>
      <w:r w:rsidRPr="00123108">
        <w:rPr>
          <w:rFonts w:ascii="宋体" w:hAnsi="宋体" w:hint="eastAsia"/>
          <w:spacing w:val="1"/>
          <w:kern w:val="0"/>
          <w:sz w:val="28"/>
          <w:szCs w:val="29"/>
        </w:rPr>
        <w:t>，</w:t>
      </w:r>
      <w:r w:rsidRPr="00123108">
        <w:rPr>
          <w:rFonts w:ascii="宋体" w:hAnsi="宋体" w:hint="eastAsia"/>
          <w:kern w:val="0"/>
          <w:sz w:val="28"/>
          <w:szCs w:val="29"/>
        </w:rPr>
        <w:t>最低潮位</w:t>
      </w:r>
      <w:r w:rsidRPr="00123108">
        <w:rPr>
          <w:rFonts w:ascii="宋体" w:hAnsi="宋体"/>
          <w:spacing w:val="1"/>
          <w:kern w:val="0"/>
          <w:sz w:val="28"/>
          <w:szCs w:val="29"/>
        </w:rPr>
        <w:t>O</w:t>
      </w:r>
      <w:r w:rsidRPr="00123108">
        <w:rPr>
          <w:rFonts w:ascii="宋体" w:hAnsi="宋体" w:hint="eastAsia"/>
          <w:spacing w:val="1"/>
          <w:kern w:val="0"/>
          <w:sz w:val="28"/>
          <w:szCs w:val="29"/>
        </w:rPr>
        <w:t>.</w:t>
      </w:r>
      <w:r w:rsidRPr="00123108">
        <w:rPr>
          <w:rFonts w:ascii="宋体" w:hAnsi="宋体"/>
          <w:spacing w:val="1"/>
          <w:kern w:val="0"/>
          <w:sz w:val="28"/>
          <w:szCs w:val="29"/>
        </w:rPr>
        <w:t>09m</w:t>
      </w:r>
      <w:r w:rsidRPr="00123108">
        <w:rPr>
          <w:rFonts w:ascii="宋体" w:hAnsi="宋体" w:hint="eastAsia"/>
          <w:spacing w:val="1"/>
          <w:kern w:val="0"/>
          <w:sz w:val="28"/>
          <w:szCs w:val="29"/>
        </w:rPr>
        <w:t>。甬江口外泄的年平均径流量为</w:t>
      </w:r>
      <w:r w:rsidRPr="00123108">
        <w:rPr>
          <w:rFonts w:ascii="宋体" w:hAnsi="宋体"/>
          <w:spacing w:val="1"/>
          <w:kern w:val="0"/>
          <w:sz w:val="28"/>
          <w:szCs w:val="29"/>
        </w:rPr>
        <w:t>19</w:t>
      </w:r>
      <w:r w:rsidRPr="00123108">
        <w:rPr>
          <w:rFonts w:ascii="宋体" w:hAnsi="宋体" w:hint="eastAsia"/>
          <w:spacing w:val="1"/>
          <w:kern w:val="0"/>
          <w:sz w:val="28"/>
          <w:szCs w:val="29"/>
        </w:rPr>
        <w:t>.</w:t>
      </w:r>
      <w:r w:rsidRPr="00123108">
        <w:rPr>
          <w:rFonts w:ascii="宋体" w:hAnsi="宋体"/>
          <w:spacing w:val="1"/>
          <w:kern w:val="0"/>
          <w:sz w:val="28"/>
          <w:szCs w:val="29"/>
        </w:rPr>
        <w:t>73</w:t>
      </w:r>
      <w:r w:rsidRPr="00123108">
        <w:rPr>
          <w:rFonts w:ascii="宋体" w:hAnsi="宋体" w:hint="eastAsia"/>
          <w:spacing w:val="1"/>
          <w:kern w:val="0"/>
          <w:sz w:val="28"/>
          <w:szCs w:val="29"/>
        </w:rPr>
        <w:t>亿</w:t>
      </w:r>
      <w:r w:rsidRPr="00123108">
        <w:rPr>
          <w:rFonts w:ascii="宋体" w:hAnsi="宋体"/>
          <w:spacing w:val="1"/>
          <w:kern w:val="0"/>
          <w:sz w:val="28"/>
          <w:szCs w:val="29"/>
        </w:rPr>
        <w:t>m</w:t>
      </w:r>
      <w:r w:rsidRPr="00123108">
        <w:rPr>
          <w:rFonts w:ascii="宋体" w:hAnsi="宋体" w:hint="eastAsia"/>
          <w:spacing w:val="1"/>
          <w:kern w:val="0"/>
          <w:sz w:val="28"/>
          <w:szCs w:val="29"/>
          <w:vertAlign w:val="superscript"/>
        </w:rPr>
        <w:t>3</w:t>
      </w:r>
      <w:r w:rsidRPr="00123108">
        <w:rPr>
          <w:rFonts w:ascii="宋体" w:hAnsi="宋体"/>
          <w:kern w:val="0"/>
          <w:sz w:val="28"/>
          <w:szCs w:val="29"/>
        </w:rPr>
        <w:t>(</w:t>
      </w:r>
      <w:r w:rsidRPr="00123108">
        <w:rPr>
          <w:rFonts w:ascii="宋体" w:hAnsi="宋体" w:hint="eastAsia"/>
          <w:kern w:val="0"/>
          <w:sz w:val="28"/>
          <w:szCs w:val="29"/>
        </w:rPr>
        <w:t>不包括</w:t>
      </w:r>
      <w:r w:rsidRPr="00123108">
        <w:rPr>
          <w:rFonts w:ascii="宋体" w:hAnsi="宋体" w:hint="eastAsia"/>
          <w:spacing w:val="1"/>
          <w:kern w:val="0"/>
          <w:sz w:val="28"/>
          <w:szCs w:val="29"/>
        </w:rPr>
        <w:t>姚江径流</w:t>
      </w:r>
      <w:r w:rsidRPr="00123108">
        <w:rPr>
          <w:rFonts w:ascii="宋体" w:hAnsi="宋体"/>
          <w:spacing w:val="1"/>
          <w:kern w:val="0"/>
          <w:sz w:val="28"/>
          <w:szCs w:val="29"/>
        </w:rPr>
        <w:t>)</w:t>
      </w:r>
      <w:r w:rsidRPr="00123108">
        <w:rPr>
          <w:rFonts w:ascii="宋体" w:hAnsi="宋体" w:hint="eastAsia"/>
          <w:spacing w:val="1"/>
          <w:kern w:val="0"/>
          <w:sz w:val="28"/>
          <w:szCs w:val="29"/>
        </w:rPr>
        <w:t>。冬季平均涨潮量为</w:t>
      </w:r>
      <w:r w:rsidRPr="00123108">
        <w:rPr>
          <w:rFonts w:ascii="宋体" w:hAnsi="宋体"/>
          <w:spacing w:val="1"/>
          <w:kern w:val="0"/>
          <w:sz w:val="28"/>
          <w:szCs w:val="29"/>
        </w:rPr>
        <w:t>1</w:t>
      </w:r>
      <w:r w:rsidRPr="00123108">
        <w:rPr>
          <w:rFonts w:ascii="宋体" w:hAnsi="宋体" w:hint="eastAsia"/>
          <w:spacing w:val="1"/>
          <w:kern w:val="0"/>
          <w:sz w:val="28"/>
          <w:szCs w:val="29"/>
        </w:rPr>
        <w:t>.</w:t>
      </w:r>
      <w:r w:rsidRPr="00123108">
        <w:rPr>
          <w:rFonts w:ascii="宋体" w:hAnsi="宋体"/>
          <w:spacing w:val="1"/>
          <w:kern w:val="0"/>
          <w:sz w:val="28"/>
          <w:szCs w:val="29"/>
        </w:rPr>
        <w:t>083</w:t>
      </w:r>
      <w:r w:rsidRPr="00123108">
        <w:rPr>
          <w:rFonts w:ascii="宋体" w:hAnsi="宋体" w:hint="eastAsia"/>
          <w:spacing w:val="1"/>
          <w:kern w:val="0"/>
          <w:sz w:val="28"/>
          <w:szCs w:val="29"/>
        </w:rPr>
        <w:t>亿</w:t>
      </w:r>
      <w:r w:rsidRPr="00123108">
        <w:rPr>
          <w:rFonts w:ascii="宋体" w:hAnsi="宋体"/>
          <w:spacing w:val="1"/>
          <w:kern w:val="0"/>
          <w:sz w:val="28"/>
          <w:szCs w:val="29"/>
        </w:rPr>
        <w:t>m</w:t>
      </w:r>
      <w:r w:rsidRPr="00123108">
        <w:rPr>
          <w:rFonts w:ascii="宋体" w:hAnsi="宋体" w:hint="eastAsia"/>
          <w:spacing w:val="1"/>
          <w:kern w:val="0"/>
          <w:sz w:val="28"/>
          <w:szCs w:val="29"/>
          <w:vertAlign w:val="superscript"/>
        </w:rPr>
        <w:t>3</w:t>
      </w:r>
      <w:r w:rsidRPr="00123108">
        <w:rPr>
          <w:rFonts w:ascii="宋体" w:hAnsi="宋体" w:hint="eastAsia"/>
          <w:spacing w:val="1"/>
          <w:kern w:val="0"/>
          <w:sz w:val="28"/>
          <w:szCs w:val="29"/>
        </w:rPr>
        <w:t>，平均</w:t>
      </w:r>
      <w:r w:rsidRPr="00123108">
        <w:rPr>
          <w:rFonts w:ascii="宋体" w:hAnsi="宋体" w:hint="eastAsia"/>
          <w:kern w:val="0"/>
          <w:sz w:val="28"/>
          <w:szCs w:val="29"/>
        </w:rPr>
        <w:t>落潮量为</w:t>
      </w:r>
      <w:r w:rsidRPr="00123108">
        <w:rPr>
          <w:rFonts w:ascii="宋体" w:hAnsi="宋体"/>
          <w:spacing w:val="1"/>
          <w:kern w:val="0"/>
          <w:sz w:val="28"/>
          <w:szCs w:val="29"/>
        </w:rPr>
        <w:t>1</w:t>
      </w:r>
      <w:r w:rsidRPr="00123108">
        <w:rPr>
          <w:rFonts w:ascii="宋体" w:hAnsi="宋体" w:hint="eastAsia"/>
          <w:spacing w:val="-24"/>
          <w:kern w:val="0"/>
          <w:sz w:val="28"/>
          <w:szCs w:val="29"/>
        </w:rPr>
        <w:t>.</w:t>
      </w:r>
      <w:r w:rsidRPr="00123108">
        <w:rPr>
          <w:rFonts w:ascii="宋体" w:hAnsi="宋体"/>
          <w:spacing w:val="1"/>
          <w:kern w:val="0"/>
          <w:sz w:val="28"/>
          <w:szCs w:val="29"/>
        </w:rPr>
        <w:t>1</w:t>
      </w:r>
      <w:r w:rsidRPr="00123108">
        <w:rPr>
          <w:rFonts w:ascii="宋体" w:hAnsi="宋体"/>
          <w:kern w:val="0"/>
          <w:sz w:val="28"/>
          <w:szCs w:val="29"/>
        </w:rPr>
        <w:t>98</w:t>
      </w:r>
      <w:r w:rsidRPr="00123108">
        <w:rPr>
          <w:rFonts w:ascii="宋体" w:hAnsi="宋体" w:hint="eastAsia"/>
          <w:kern w:val="0"/>
          <w:sz w:val="28"/>
          <w:szCs w:val="29"/>
        </w:rPr>
        <w:t>亿</w:t>
      </w:r>
      <w:r w:rsidRPr="00123108">
        <w:rPr>
          <w:rFonts w:ascii="宋体" w:hAnsi="宋体"/>
          <w:kern w:val="0"/>
          <w:sz w:val="28"/>
          <w:szCs w:val="29"/>
        </w:rPr>
        <w:t>m</w:t>
      </w:r>
      <w:r w:rsidRPr="00123108">
        <w:rPr>
          <w:rFonts w:ascii="宋体" w:hAnsi="宋体" w:hint="eastAsia"/>
          <w:kern w:val="0"/>
          <w:sz w:val="28"/>
          <w:szCs w:val="29"/>
          <w:vertAlign w:val="superscript"/>
        </w:rPr>
        <w:t>3</w:t>
      </w:r>
      <w:r w:rsidRPr="00123108">
        <w:rPr>
          <w:rFonts w:ascii="宋体" w:hAnsi="宋体" w:hint="eastAsia"/>
          <w:spacing w:val="-25"/>
          <w:kern w:val="0"/>
          <w:sz w:val="28"/>
          <w:szCs w:val="29"/>
        </w:rPr>
        <w:t>，</w:t>
      </w:r>
      <w:r w:rsidRPr="00123108">
        <w:rPr>
          <w:rFonts w:ascii="宋体" w:hAnsi="宋体" w:hint="eastAsia"/>
          <w:kern w:val="0"/>
          <w:sz w:val="28"/>
          <w:szCs w:val="29"/>
        </w:rPr>
        <w:t>夏季平均涨潮量为</w:t>
      </w:r>
      <w:r w:rsidRPr="00123108">
        <w:rPr>
          <w:rFonts w:ascii="宋体" w:hAnsi="宋体"/>
          <w:kern w:val="0"/>
          <w:sz w:val="28"/>
          <w:szCs w:val="29"/>
        </w:rPr>
        <w:t>0</w:t>
      </w:r>
      <w:r w:rsidRPr="00123108">
        <w:rPr>
          <w:rFonts w:ascii="宋体" w:hAnsi="宋体" w:hint="eastAsia"/>
          <w:spacing w:val="-25"/>
          <w:kern w:val="0"/>
          <w:sz w:val="28"/>
          <w:szCs w:val="29"/>
        </w:rPr>
        <w:t>.</w:t>
      </w:r>
      <w:r w:rsidRPr="00123108">
        <w:rPr>
          <w:rFonts w:ascii="宋体" w:hAnsi="宋体"/>
          <w:kern w:val="0"/>
          <w:sz w:val="28"/>
          <w:szCs w:val="29"/>
        </w:rPr>
        <w:t>936</w:t>
      </w:r>
      <w:r w:rsidRPr="00123108">
        <w:rPr>
          <w:rFonts w:ascii="宋体" w:hAnsi="宋体" w:hint="eastAsia"/>
          <w:kern w:val="0"/>
          <w:sz w:val="28"/>
          <w:szCs w:val="29"/>
        </w:rPr>
        <w:t>亿</w:t>
      </w:r>
      <w:r w:rsidRPr="00123108">
        <w:rPr>
          <w:rFonts w:ascii="宋体" w:hAnsi="宋体"/>
          <w:kern w:val="0"/>
          <w:sz w:val="28"/>
          <w:szCs w:val="29"/>
        </w:rPr>
        <w:t>m</w:t>
      </w:r>
      <w:r w:rsidRPr="00123108">
        <w:rPr>
          <w:rFonts w:ascii="宋体" w:hAnsi="宋体" w:hint="eastAsia"/>
          <w:kern w:val="0"/>
          <w:sz w:val="28"/>
          <w:szCs w:val="29"/>
          <w:vertAlign w:val="superscript"/>
        </w:rPr>
        <w:t>3</w:t>
      </w:r>
      <w:r w:rsidRPr="00123108">
        <w:rPr>
          <w:rFonts w:ascii="宋体" w:hAnsi="宋体" w:hint="eastAsia"/>
          <w:spacing w:val="-25"/>
          <w:kern w:val="0"/>
          <w:sz w:val="28"/>
          <w:szCs w:val="29"/>
        </w:rPr>
        <w:t>，</w:t>
      </w:r>
      <w:r w:rsidRPr="00123108">
        <w:rPr>
          <w:rFonts w:ascii="宋体" w:hAnsi="宋体" w:hint="eastAsia"/>
          <w:kern w:val="0"/>
          <w:sz w:val="28"/>
          <w:szCs w:val="29"/>
        </w:rPr>
        <w:t>平均落潮量为</w:t>
      </w:r>
      <w:r w:rsidRPr="00123108">
        <w:rPr>
          <w:rFonts w:ascii="宋体" w:hAnsi="宋体"/>
          <w:kern w:val="0"/>
          <w:sz w:val="28"/>
          <w:szCs w:val="29"/>
        </w:rPr>
        <w:t>1</w:t>
      </w:r>
      <w:r w:rsidRPr="00123108">
        <w:rPr>
          <w:rFonts w:ascii="宋体" w:hAnsi="宋体" w:hint="eastAsia"/>
          <w:kern w:val="0"/>
          <w:sz w:val="28"/>
          <w:szCs w:val="29"/>
        </w:rPr>
        <w:t>.</w:t>
      </w:r>
      <w:r w:rsidRPr="00123108">
        <w:rPr>
          <w:rFonts w:ascii="宋体" w:hAnsi="宋体"/>
          <w:kern w:val="0"/>
          <w:sz w:val="28"/>
          <w:szCs w:val="29"/>
        </w:rPr>
        <w:t>094</w:t>
      </w:r>
      <w:r w:rsidRPr="00123108">
        <w:rPr>
          <w:rFonts w:ascii="宋体" w:hAnsi="宋体" w:hint="eastAsia"/>
          <w:kern w:val="0"/>
          <w:sz w:val="28"/>
          <w:szCs w:val="29"/>
        </w:rPr>
        <w:t>亿</w:t>
      </w:r>
      <w:r w:rsidRPr="00123108">
        <w:rPr>
          <w:rFonts w:ascii="宋体" w:hAnsi="宋体"/>
          <w:kern w:val="0"/>
          <w:sz w:val="28"/>
          <w:szCs w:val="29"/>
        </w:rPr>
        <w:t>m</w:t>
      </w:r>
      <w:r w:rsidRPr="00123108">
        <w:rPr>
          <w:rFonts w:ascii="宋体" w:hAnsi="宋体" w:hint="eastAsia"/>
          <w:kern w:val="0"/>
          <w:sz w:val="28"/>
          <w:szCs w:val="29"/>
          <w:vertAlign w:val="superscript"/>
        </w:rPr>
        <w:t>3</w:t>
      </w:r>
      <w:r w:rsidRPr="00123108">
        <w:rPr>
          <w:rFonts w:ascii="宋体" w:hAnsi="宋体" w:hint="eastAsia"/>
          <w:kern w:val="0"/>
          <w:sz w:val="28"/>
          <w:szCs w:val="29"/>
        </w:rPr>
        <w:t>。</w:t>
      </w:r>
    </w:p>
    <w:p w:rsidR="004F34D9" w:rsidRPr="00123108" w:rsidRDefault="004F34D9" w:rsidP="00D06780">
      <w:pPr>
        <w:autoSpaceDE w:val="0"/>
        <w:autoSpaceDN w:val="0"/>
        <w:spacing w:line="500" w:lineRule="exact"/>
        <w:ind w:firstLine="570"/>
        <w:jc w:val="left"/>
        <w:rPr>
          <w:rFonts w:ascii="宋体" w:hAnsi="宋体"/>
          <w:kern w:val="0"/>
          <w:sz w:val="28"/>
          <w:szCs w:val="29"/>
        </w:rPr>
      </w:pPr>
      <w:r w:rsidRPr="00123108">
        <w:rPr>
          <w:rFonts w:ascii="宋体" w:hAnsi="宋体" w:hint="eastAsia"/>
          <w:kern w:val="0"/>
          <w:sz w:val="28"/>
          <w:szCs w:val="29"/>
        </w:rPr>
        <w:t>小浃江是鄞东地区主要外泄河道之一</w:t>
      </w:r>
      <w:r w:rsidRPr="00123108">
        <w:rPr>
          <w:rFonts w:ascii="宋体" w:hAnsi="宋体" w:hint="eastAsia"/>
          <w:spacing w:val="-58"/>
          <w:kern w:val="0"/>
          <w:sz w:val="28"/>
          <w:szCs w:val="29"/>
        </w:rPr>
        <w:t>，</w:t>
      </w:r>
      <w:r w:rsidRPr="00123108">
        <w:rPr>
          <w:rFonts w:ascii="宋体" w:hAnsi="宋体" w:hint="eastAsia"/>
          <w:kern w:val="0"/>
          <w:sz w:val="28"/>
          <w:szCs w:val="29"/>
        </w:rPr>
        <w:t>年平均径流量为</w:t>
      </w:r>
      <w:r w:rsidRPr="00123108">
        <w:rPr>
          <w:rFonts w:ascii="宋体" w:hAnsi="宋体"/>
          <w:spacing w:val="1"/>
          <w:kern w:val="0"/>
          <w:sz w:val="28"/>
          <w:szCs w:val="29"/>
        </w:rPr>
        <w:t>0</w:t>
      </w:r>
      <w:r w:rsidRPr="00123108">
        <w:rPr>
          <w:rFonts w:ascii="宋体" w:hAnsi="宋体" w:hint="eastAsia"/>
          <w:spacing w:val="-14"/>
          <w:kern w:val="0"/>
          <w:sz w:val="28"/>
          <w:szCs w:val="29"/>
        </w:rPr>
        <w:t>.</w:t>
      </w:r>
      <w:r w:rsidRPr="00123108">
        <w:rPr>
          <w:rFonts w:ascii="宋体" w:hAnsi="宋体"/>
          <w:kern w:val="0"/>
          <w:sz w:val="28"/>
          <w:szCs w:val="29"/>
        </w:rPr>
        <w:t>7</w:t>
      </w:r>
      <w:r w:rsidRPr="00123108">
        <w:rPr>
          <w:rFonts w:ascii="宋体" w:hAnsi="宋体" w:hint="eastAsia"/>
          <w:kern w:val="0"/>
          <w:sz w:val="28"/>
          <w:szCs w:val="29"/>
        </w:rPr>
        <w:t>亿</w:t>
      </w:r>
      <w:r w:rsidRPr="00123108">
        <w:rPr>
          <w:rFonts w:ascii="宋体" w:hAnsi="宋体"/>
          <w:kern w:val="0"/>
          <w:sz w:val="28"/>
          <w:szCs w:val="29"/>
        </w:rPr>
        <w:t>m</w:t>
      </w:r>
      <w:r w:rsidRPr="00123108">
        <w:rPr>
          <w:rFonts w:ascii="宋体" w:hAnsi="宋体" w:hint="eastAsia"/>
          <w:kern w:val="0"/>
          <w:sz w:val="28"/>
          <w:szCs w:val="29"/>
          <w:vertAlign w:val="superscript"/>
        </w:rPr>
        <w:t>3</w:t>
      </w:r>
      <w:r w:rsidRPr="00123108">
        <w:rPr>
          <w:rFonts w:ascii="宋体" w:hAnsi="宋体" w:hint="eastAsia"/>
          <w:spacing w:val="-15"/>
          <w:kern w:val="0"/>
          <w:sz w:val="28"/>
          <w:szCs w:val="29"/>
        </w:rPr>
        <w:t>。</w:t>
      </w:r>
      <w:r w:rsidRPr="00123108">
        <w:rPr>
          <w:rFonts w:ascii="宋体" w:hAnsi="宋体" w:hint="eastAsia"/>
          <w:kern w:val="0"/>
          <w:sz w:val="28"/>
          <w:szCs w:val="29"/>
        </w:rPr>
        <w:t>由南向北横贯开发区</w:t>
      </w:r>
      <w:r w:rsidRPr="00123108">
        <w:rPr>
          <w:rFonts w:ascii="宋体" w:hAnsi="宋体" w:hint="eastAsia"/>
          <w:spacing w:val="-15"/>
          <w:kern w:val="0"/>
          <w:sz w:val="28"/>
          <w:szCs w:val="29"/>
        </w:rPr>
        <w:t>，</w:t>
      </w:r>
      <w:r w:rsidRPr="00123108">
        <w:rPr>
          <w:rFonts w:ascii="宋体" w:hAnsi="宋体" w:hint="eastAsia"/>
          <w:kern w:val="0"/>
          <w:sz w:val="28"/>
          <w:szCs w:val="29"/>
        </w:rPr>
        <w:t>流入甬江口</w:t>
      </w:r>
      <w:r w:rsidRPr="00123108">
        <w:rPr>
          <w:rFonts w:ascii="宋体" w:hAnsi="宋体" w:hint="eastAsia"/>
          <w:spacing w:val="-15"/>
          <w:kern w:val="0"/>
          <w:sz w:val="28"/>
          <w:szCs w:val="29"/>
        </w:rPr>
        <w:t>。</w:t>
      </w:r>
      <w:r w:rsidRPr="00123108">
        <w:rPr>
          <w:rFonts w:ascii="宋体" w:hAnsi="宋体" w:hint="eastAsia"/>
          <w:kern w:val="0"/>
          <w:sz w:val="28"/>
          <w:szCs w:val="29"/>
        </w:rPr>
        <w:t>江口设陌控水</w:t>
      </w:r>
      <w:r w:rsidRPr="00123108">
        <w:rPr>
          <w:rFonts w:ascii="宋体" w:hAnsi="宋体" w:hint="eastAsia"/>
          <w:spacing w:val="-58"/>
          <w:kern w:val="0"/>
          <w:sz w:val="28"/>
          <w:szCs w:val="29"/>
        </w:rPr>
        <w:t>，</w:t>
      </w:r>
      <w:r w:rsidRPr="00123108">
        <w:rPr>
          <w:rFonts w:ascii="宋体" w:hAnsi="宋体" w:hint="eastAsia"/>
          <w:kern w:val="0"/>
          <w:sz w:val="28"/>
          <w:szCs w:val="29"/>
        </w:rPr>
        <w:t>平均蓄水量</w:t>
      </w:r>
      <w:r w:rsidRPr="00123108">
        <w:rPr>
          <w:rFonts w:ascii="宋体" w:hAnsi="宋体"/>
          <w:kern w:val="0"/>
          <w:sz w:val="28"/>
          <w:szCs w:val="29"/>
        </w:rPr>
        <w:t>516</w:t>
      </w:r>
      <w:r w:rsidRPr="00123108">
        <w:rPr>
          <w:rFonts w:ascii="宋体" w:hAnsi="宋体" w:hint="eastAsia"/>
          <w:kern w:val="0"/>
          <w:sz w:val="28"/>
          <w:szCs w:val="29"/>
        </w:rPr>
        <w:t>万</w:t>
      </w:r>
      <w:r w:rsidRPr="00123108">
        <w:rPr>
          <w:rFonts w:ascii="宋体" w:hAnsi="宋体"/>
          <w:kern w:val="0"/>
          <w:sz w:val="28"/>
          <w:szCs w:val="29"/>
        </w:rPr>
        <w:t>m</w:t>
      </w:r>
      <w:r w:rsidRPr="00123108">
        <w:rPr>
          <w:rFonts w:ascii="宋体" w:hAnsi="宋体" w:hint="eastAsia"/>
          <w:kern w:val="0"/>
          <w:sz w:val="28"/>
          <w:szCs w:val="29"/>
          <w:vertAlign w:val="superscript"/>
        </w:rPr>
        <w:t>3</w:t>
      </w:r>
      <w:r w:rsidRPr="00123108">
        <w:rPr>
          <w:rFonts w:ascii="宋体" w:hAnsi="宋体" w:hint="eastAsia"/>
          <w:spacing w:val="-58"/>
          <w:kern w:val="0"/>
          <w:sz w:val="28"/>
          <w:szCs w:val="29"/>
        </w:rPr>
        <w:t>。</w:t>
      </w:r>
      <w:r w:rsidRPr="00123108">
        <w:rPr>
          <w:rFonts w:ascii="宋体" w:hAnsi="宋体" w:hint="eastAsia"/>
          <w:kern w:val="0"/>
          <w:sz w:val="28"/>
          <w:szCs w:val="29"/>
        </w:rPr>
        <w:t>开发区段内长</w:t>
      </w:r>
      <w:r w:rsidRPr="00123108">
        <w:rPr>
          <w:rFonts w:ascii="宋体" w:hAnsi="宋体"/>
          <w:kern w:val="0"/>
          <w:sz w:val="28"/>
          <w:szCs w:val="29"/>
        </w:rPr>
        <w:t>2250m</w:t>
      </w:r>
      <w:r w:rsidRPr="00123108">
        <w:rPr>
          <w:rFonts w:ascii="宋体" w:hAnsi="宋体" w:hint="eastAsia"/>
          <w:spacing w:val="-58"/>
          <w:kern w:val="0"/>
          <w:sz w:val="28"/>
          <w:szCs w:val="29"/>
        </w:rPr>
        <w:t>，</w:t>
      </w:r>
      <w:r w:rsidRPr="00123108">
        <w:rPr>
          <w:rFonts w:ascii="宋体" w:hAnsi="宋体" w:hint="eastAsia"/>
          <w:kern w:val="0"/>
          <w:sz w:val="28"/>
          <w:szCs w:val="29"/>
        </w:rPr>
        <w:t>宽约</w:t>
      </w:r>
      <w:r w:rsidRPr="00123108">
        <w:rPr>
          <w:rFonts w:ascii="宋体" w:hAnsi="宋体"/>
          <w:kern w:val="0"/>
          <w:sz w:val="28"/>
          <w:szCs w:val="29"/>
        </w:rPr>
        <w:t>30m</w:t>
      </w:r>
      <w:r w:rsidRPr="00123108">
        <w:rPr>
          <w:rFonts w:ascii="宋体" w:hAnsi="宋体" w:hint="eastAsia"/>
          <w:kern w:val="0"/>
          <w:sz w:val="28"/>
          <w:szCs w:val="29"/>
        </w:rPr>
        <w:t>～</w:t>
      </w:r>
      <w:r w:rsidRPr="00123108">
        <w:rPr>
          <w:rFonts w:ascii="宋体" w:hAnsi="宋体"/>
          <w:kern w:val="0"/>
          <w:sz w:val="28"/>
          <w:szCs w:val="29"/>
        </w:rPr>
        <w:t>50m</w:t>
      </w:r>
      <w:r w:rsidRPr="00123108">
        <w:rPr>
          <w:rFonts w:ascii="宋体" w:hAnsi="宋体" w:hint="eastAsia"/>
          <w:kern w:val="0"/>
          <w:sz w:val="28"/>
          <w:szCs w:val="29"/>
        </w:rPr>
        <w:t>，水深</w:t>
      </w:r>
      <w:r w:rsidRPr="00123108">
        <w:rPr>
          <w:rFonts w:ascii="宋体" w:hAnsi="宋体"/>
          <w:kern w:val="0"/>
          <w:sz w:val="28"/>
          <w:szCs w:val="29"/>
        </w:rPr>
        <w:t>2</w:t>
      </w:r>
      <w:r w:rsidRPr="00123108">
        <w:rPr>
          <w:rFonts w:ascii="宋体" w:hAnsi="宋体" w:hint="eastAsia"/>
          <w:kern w:val="0"/>
          <w:sz w:val="28"/>
          <w:szCs w:val="29"/>
        </w:rPr>
        <w:t>～</w:t>
      </w:r>
      <w:r w:rsidRPr="00123108">
        <w:rPr>
          <w:rFonts w:ascii="宋体" w:hAnsi="宋体"/>
          <w:kern w:val="0"/>
          <w:sz w:val="28"/>
          <w:szCs w:val="29"/>
        </w:rPr>
        <w:t>3m</w:t>
      </w:r>
      <w:r w:rsidRPr="00123108">
        <w:rPr>
          <w:rFonts w:ascii="宋体" w:hAnsi="宋体" w:hint="eastAsia"/>
          <w:kern w:val="0"/>
          <w:sz w:val="28"/>
          <w:szCs w:val="29"/>
        </w:rPr>
        <w:t>。</w:t>
      </w:r>
    </w:p>
    <w:p w:rsidR="004F34D9" w:rsidRPr="00123108" w:rsidRDefault="004F34D9" w:rsidP="00D06780">
      <w:pPr>
        <w:autoSpaceDE w:val="0"/>
        <w:autoSpaceDN w:val="0"/>
        <w:spacing w:line="500" w:lineRule="exact"/>
        <w:ind w:firstLine="585"/>
        <w:jc w:val="left"/>
        <w:rPr>
          <w:rFonts w:ascii="宋体" w:hAnsi="宋体"/>
          <w:kern w:val="0"/>
          <w:sz w:val="28"/>
          <w:szCs w:val="29"/>
        </w:rPr>
      </w:pPr>
      <w:r w:rsidRPr="00123108">
        <w:rPr>
          <w:rFonts w:ascii="宋体" w:hAnsi="宋体" w:hint="eastAsia"/>
          <w:spacing w:val="1"/>
          <w:kern w:val="0"/>
          <w:sz w:val="28"/>
          <w:szCs w:val="29"/>
        </w:rPr>
        <w:t>开发区的污水排海工程</w:t>
      </w:r>
      <w:r w:rsidRPr="00123108">
        <w:rPr>
          <w:rFonts w:ascii="宋体" w:hAnsi="宋体" w:hint="eastAsia"/>
          <w:kern w:val="0"/>
          <w:sz w:val="28"/>
          <w:szCs w:val="29"/>
        </w:rPr>
        <w:t>设在长跳咀，经</w:t>
      </w:r>
      <w:r w:rsidRPr="00123108">
        <w:rPr>
          <w:rFonts w:ascii="宋体" w:hAnsi="宋体"/>
          <w:kern w:val="0"/>
          <w:sz w:val="28"/>
          <w:szCs w:val="29"/>
        </w:rPr>
        <w:t>l50m</w:t>
      </w:r>
      <w:r w:rsidRPr="00123108">
        <w:rPr>
          <w:rFonts w:ascii="宋体" w:hAnsi="宋体" w:hint="eastAsia"/>
          <w:kern w:val="0"/>
          <w:sz w:val="28"/>
          <w:szCs w:val="29"/>
        </w:rPr>
        <w:t>海底管道通过扩散管均匀排入临近海域</w:t>
      </w:r>
      <w:r w:rsidRPr="00123108">
        <w:rPr>
          <w:rFonts w:ascii="宋体" w:hAnsi="宋体" w:hint="eastAsia"/>
          <w:spacing w:val="-29"/>
          <w:kern w:val="0"/>
          <w:sz w:val="28"/>
          <w:szCs w:val="29"/>
        </w:rPr>
        <w:t>。</w:t>
      </w:r>
      <w:r w:rsidRPr="00123108">
        <w:rPr>
          <w:rFonts w:ascii="宋体" w:hAnsi="宋体" w:hint="eastAsia"/>
          <w:kern w:val="0"/>
          <w:sz w:val="28"/>
          <w:szCs w:val="29"/>
        </w:rPr>
        <w:t>长跳咀临近海域为灰鳖洋</w:t>
      </w:r>
      <w:r w:rsidRPr="00123108">
        <w:rPr>
          <w:rFonts w:ascii="宋体" w:hAnsi="宋体" w:hint="eastAsia"/>
          <w:spacing w:val="-29"/>
          <w:kern w:val="0"/>
          <w:sz w:val="28"/>
          <w:szCs w:val="29"/>
        </w:rPr>
        <w:t>，</w:t>
      </w:r>
      <w:r w:rsidRPr="00123108">
        <w:rPr>
          <w:rFonts w:ascii="宋体" w:hAnsi="宋体" w:hint="eastAsia"/>
          <w:spacing w:val="1"/>
          <w:kern w:val="0"/>
          <w:sz w:val="28"/>
          <w:szCs w:val="29"/>
        </w:rPr>
        <w:t>金塘水道，紧靠东海。长跳咀以</w:t>
      </w:r>
      <w:r w:rsidRPr="00123108">
        <w:rPr>
          <w:rFonts w:ascii="宋体" w:hAnsi="宋体" w:hint="eastAsia"/>
          <w:kern w:val="0"/>
          <w:sz w:val="28"/>
          <w:szCs w:val="29"/>
        </w:rPr>
        <w:t>西水域的水深为</w:t>
      </w:r>
      <w:r w:rsidRPr="00123108">
        <w:rPr>
          <w:rFonts w:ascii="宋体" w:hAnsi="宋体"/>
          <w:kern w:val="0"/>
          <w:sz w:val="28"/>
          <w:szCs w:val="29"/>
        </w:rPr>
        <w:t>10</w:t>
      </w:r>
      <w:r w:rsidRPr="00123108">
        <w:rPr>
          <w:rFonts w:ascii="宋体" w:hAnsi="宋体" w:hint="eastAsia"/>
          <w:kern w:val="0"/>
          <w:sz w:val="28"/>
          <w:szCs w:val="29"/>
        </w:rPr>
        <w:t>～</w:t>
      </w:r>
      <w:r w:rsidRPr="00123108">
        <w:rPr>
          <w:rFonts w:ascii="宋体" w:hAnsi="宋体"/>
          <w:kern w:val="0"/>
          <w:sz w:val="28"/>
          <w:szCs w:val="29"/>
        </w:rPr>
        <w:t>20m</w:t>
      </w:r>
      <w:r w:rsidRPr="00123108">
        <w:rPr>
          <w:rFonts w:ascii="宋体" w:hAnsi="宋体" w:hint="eastAsia"/>
          <w:kern w:val="0"/>
          <w:sz w:val="28"/>
          <w:szCs w:val="29"/>
        </w:rPr>
        <w:t>，东北处有</w:t>
      </w:r>
      <w:r w:rsidRPr="00123108">
        <w:rPr>
          <w:rFonts w:ascii="宋体" w:hAnsi="宋体"/>
          <w:kern w:val="0"/>
          <w:sz w:val="28"/>
          <w:szCs w:val="29"/>
        </w:rPr>
        <w:t>30</w:t>
      </w:r>
      <w:r w:rsidRPr="00123108">
        <w:rPr>
          <w:rFonts w:ascii="宋体" w:hAnsi="宋体" w:hint="eastAsia"/>
          <w:kern w:val="0"/>
          <w:sz w:val="28"/>
          <w:szCs w:val="29"/>
        </w:rPr>
        <w:t>余米的深坑。</w:t>
      </w:r>
    </w:p>
    <w:p w:rsidR="004F34D9" w:rsidRPr="00123108" w:rsidRDefault="004F34D9" w:rsidP="00D06780">
      <w:pPr>
        <w:autoSpaceDE w:val="0"/>
        <w:autoSpaceDN w:val="0"/>
        <w:spacing w:line="500" w:lineRule="exact"/>
        <w:ind w:firstLine="570"/>
        <w:jc w:val="left"/>
        <w:rPr>
          <w:rFonts w:ascii="宋体" w:hAnsi="宋体"/>
          <w:kern w:val="0"/>
          <w:sz w:val="28"/>
          <w:szCs w:val="29"/>
        </w:rPr>
      </w:pPr>
      <w:r w:rsidRPr="00123108">
        <w:rPr>
          <w:rFonts w:ascii="宋体" w:hAnsi="宋体" w:hint="eastAsia"/>
          <w:kern w:val="0"/>
          <w:sz w:val="28"/>
          <w:szCs w:val="29"/>
        </w:rPr>
        <w:t>开发区气候属亚热带季风气候。</w:t>
      </w:r>
    </w:p>
    <w:p w:rsidR="004F34D9" w:rsidRPr="00123108" w:rsidRDefault="004F34D9" w:rsidP="00D06780">
      <w:pPr>
        <w:autoSpaceDE w:val="0"/>
        <w:autoSpaceDN w:val="0"/>
        <w:spacing w:line="500" w:lineRule="exact"/>
        <w:ind w:firstLine="570"/>
        <w:jc w:val="left"/>
        <w:rPr>
          <w:rFonts w:ascii="宋体" w:hAnsi="宋体"/>
          <w:kern w:val="0"/>
          <w:sz w:val="28"/>
          <w:szCs w:val="29"/>
        </w:rPr>
      </w:pPr>
      <w:r w:rsidRPr="00123108">
        <w:rPr>
          <w:rFonts w:ascii="宋体" w:hAnsi="宋体" w:hint="eastAsia"/>
          <w:kern w:val="0"/>
          <w:sz w:val="28"/>
          <w:szCs w:val="29"/>
        </w:rPr>
        <w:t>年平均气温</w:t>
      </w:r>
      <w:r w:rsidRPr="00123108">
        <w:rPr>
          <w:rFonts w:ascii="宋体" w:hAnsi="宋体"/>
          <w:kern w:val="0"/>
          <w:sz w:val="28"/>
          <w:szCs w:val="29"/>
        </w:rPr>
        <w:t>16</w:t>
      </w:r>
      <w:r w:rsidRPr="00123108">
        <w:rPr>
          <w:rFonts w:ascii="宋体" w:hAnsi="宋体" w:hint="eastAsia"/>
          <w:kern w:val="0"/>
          <w:sz w:val="28"/>
          <w:szCs w:val="29"/>
        </w:rPr>
        <w:t>.</w:t>
      </w:r>
      <w:r w:rsidRPr="00123108">
        <w:rPr>
          <w:rFonts w:ascii="宋体" w:hAnsi="宋体"/>
          <w:kern w:val="0"/>
          <w:sz w:val="28"/>
          <w:szCs w:val="29"/>
        </w:rPr>
        <w:t>6</w:t>
      </w:r>
      <w:r w:rsidRPr="00123108">
        <w:rPr>
          <w:rFonts w:ascii="宋体" w:hAnsi="宋体" w:hint="eastAsia"/>
          <w:kern w:val="0"/>
          <w:sz w:val="28"/>
          <w:szCs w:val="29"/>
        </w:rPr>
        <w:t>℃</w:t>
      </w:r>
    </w:p>
    <w:p w:rsidR="004F34D9" w:rsidRPr="00123108" w:rsidRDefault="004F34D9" w:rsidP="00D06780">
      <w:pPr>
        <w:autoSpaceDE w:val="0"/>
        <w:autoSpaceDN w:val="0"/>
        <w:spacing w:line="500" w:lineRule="exact"/>
        <w:ind w:firstLine="570"/>
        <w:jc w:val="left"/>
        <w:rPr>
          <w:rFonts w:ascii="宋体" w:hAnsi="宋体"/>
          <w:kern w:val="0"/>
          <w:sz w:val="28"/>
          <w:szCs w:val="29"/>
        </w:rPr>
      </w:pPr>
      <w:r w:rsidRPr="00123108">
        <w:rPr>
          <w:rFonts w:ascii="宋体" w:hAnsi="宋体" w:hint="eastAsia"/>
          <w:kern w:val="0"/>
          <w:sz w:val="28"/>
          <w:szCs w:val="29"/>
        </w:rPr>
        <w:lastRenderedPageBreak/>
        <w:t>最高气温</w:t>
      </w:r>
      <w:r w:rsidRPr="00123108">
        <w:rPr>
          <w:rFonts w:ascii="宋体" w:hAnsi="宋体"/>
          <w:kern w:val="0"/>
          <w:sz w:val="28"/>
          <w:szCs w:val="29"/>
        </w:rPr>
        <w:t>42.1</w:t>
      </w:r>
      <w:r w:rsidRPr="00123108">
        <w:rPr>
          <w:rFonts w:ascii="宋体" w:hAnsi="宋体" w:hint="eastAsia"/>
          <w:kern w:val="0"/>
          <w:sz w:val="28"/>
          <w:szCs w:val="29"/>
        </w:rPr>
        <w:t>℃</w:t>
      </w:r>
    </w:p>
    <w:p w:rsidR="004F34D9" w:rsidRPr="00123108" w:rsidRDefault="004F34D9" w:rsidP="00D06780">
      <w:pPr>
        <w:autoSpaceDE w:val="0"/>
        <w:autoSpaceDN w:val="0"/>
        <w:spacing w:line="500" w:lineRule="exact"/>
        <w:ind w:firstLine="570"/>
        <w:jc w:val="left"/>
        <w:rPr>
          <w:rFonts w:ascii="宋体" w:hAnsi="宋体"/>
          <w:kern w:val="0"/>
          <w:sz w:val="28"/>
          <w:szCs w:val="29"/>
        </w:rPr>
      </w:pPr>
      <w:r w:rsidRPr="00123108">
        <w:rPr>
          <w:rFonts w:ascii="宋体" w:hAnsi="宋体" w:hint="eastAsia"/>
          <w:kern w:val="0"/>
          <w:sz w:val="28"/>
          <w:szCs w:val="29"/>
        </w:rPr>
        <w:t>最低气温-</w:t>
      </w:r>
      <w:r w:rsidRPr="00123108">
        <w:rPr>
          <w:rFonts w:ascii="宋体" w:hAnsi="宋体"/>
          <w:kern w:val="0"/>
          <w:sz w:val="28"/>
          <w:szCs w:val="29"/>
        </w:rPr>
        <w:t>12.1</w:t>
      </w:r>
      <w:r w:rsidRPr="00123108">
        <w:rPr>
          <w:rFonts w:ascii="宋体" w:hAnsi="宋体" w:hint="eastAsia"/>
          <w:kern w:val="0"/>
          <w:sz w:val="28"/>
          <w:szCs w:val="29"/>
        </w:rPr>
        <w:t>℃</w:t>
      </w:r>
    </w:p>
    <w:p w:rsidR="004F34D9" w:rsidRPr="00123108" w:rsidRDefault="004F34D9" w:rsidP="00D06780">
      <w:pPr>
        <w:autoSpaceDE w:val="0"/>
        <w:autoSpaceDN w:val="0"/>
        <w:spacing w:line="500" w:lineRule="exact"/>
        <w:ind w:firstLine="570"/>
        <w:jc w:val="left"/>
        <w:rPr>
          <w:rFonts w:ascii="宋体" w:hAnsi="宋体"/>
          <w:kern w:val="0"/>
          <w:sz w:val="28"/>
          <w:szCs w:val="29"/>
        </w:rPr>
      </w:pPr>
      <w:r w:rsidRPr="00123108">
        <w:rPr>
          <w:rFonts w:ascii="宋体" w:hAnsi="宋体" w:hint="eastAsia"/>
          <w:kern w:val="0"/>
          <w:sz w:val="28"/>
          <w:szCs w:val="29"/>
        </w:rPr>
        <w:t>年平均降雨量</w:t>
      </w:r>
      <w:r w:rsidRPr="00123108">
        <w:rPr>
          <w:rFonts w:ascii="宋体" w:hAnsi="宋体"/>
          <w:kern w:val="0"/>
          <w:sz w:val="28"/>
          <w:szCs w:val="29"/>
        </w:rPr>
        <w:t>1189</w:t>
      </w:r>
      <w:r w:rsidRPr="00123108">
        <w:rPr>
          <w:rFonts w:ascii="宋体" w:hAnsi="宋体" w:hint="eastAsia"/>
          <w:kern w:val="0"/>
          <w:sz w:val="28"/>
          <w:szCs w:val="29"/>
        </w:rPr>
        <w:t>.</w:t>
      </w:r>
      <w:r w:rsidRPr="00123108">
        <w:rPr>
          <w:rFonts w:ascii="宋体" w:hAnsi="宋体"/>
          <w:kern w:val="0"/>
          <w:sz w:val="28"/>
          <w:szCs w:val="29"/>
        </w:rPr>
        <w:t>7</w:t>
      </w:r>
      <w:r w:rsidRPr="00123108">
        <w:rPr>
          <w:rFonts w:ascii="宋体" w:hAnsi="宋体" w:hint="eastAsia"/>
          <w:kern w:val="0"/>
          <w:sz w:val="28"/>
          <w:szCs w:val="29"/>
        </w:rPr>
        <w:t>mm</w:t>
      </w:r>
    </w:p>
    <w:p w:rsidR="004F34D9" w:rsidRPr="00123108" w:rsidRDefault="004F34D9" w:rsidP="00D06780">
      <w:pPr>
        <w:autoSpaceDE w:val="0"/>
        <w:autoSpaceDN w:val="0"/>
        <w:spacing w:line="500" w:lineRule="exact"/>
        <w:ind w:firstLine="570"/>
        <w:jc w:val="left"/>
        <w:rPr>
          <w:rFonts w:ascii="宋体" w:hAnsi="宋体"/>
          <w:kern w:val="0"/>
          <w:sz w:val="28"/>
          <w:szCs w:val="29"/>
        </w:rPr>
      </w:pPr>
      <w:r w:rsidRPr="00123108">
        <w:rPr>
          <w:rFonts w:ascii="宋体" w:hAnsi="宋体" w:hint="eastAsia"/>
          <w:kern w:val="0"/>
          <w:sz w:val="28"/>
          <w:szCs w:val="29"/>
        </w:rPr>
        <w:t>一次最大降雨量</w:t>
      </w:r>
      <w:r w:rsidRPr="00123108">
        <w:rPr>
          <w:rFonts w:ascii="宋体" w:hAnsi="宋体"/>
          <w:kern w:val="0"/>
          <w:sz w:val="28"/>
          <w:szCs w:val="29"/>
        </w:rPr>
        <w:t>111</w:t>
      </w:r>
      <w:r w:rsidRPr="00123108">
        <w:rPr>
          <w:rFonts w:ascii="宋体" w:hAnsi="宋体" w:hint="eastAsia"/>
          <w:kern w:val="0"/>
          <w:sz w:val="28"/>
          <w:szCs w:val="29"/>
        </w:rPr>
        <w:t>.</w:t>
      </w:r>
      <w:r w:rsidRPr="00123108">
        <w:rPr>
          <w:rFonts w:ascii="宋体" w:hAnsi="宋体"/>
          <w:kern w:val="0"/>
          <w:sz w:val="28"/>
          <w:szCs w:val="29"/>
        </w:rPr>
        <w:t>3mm(</w:t>
      </w:r>
      <w:r w:rsidRPr="00123108">
        <w:rPr>
          <w:rFonts w:ascii="宋体" w:hAnsi="宋体" w:hint="eastAsia"/>
          <w:kern w:val="0"/>
          <w:sz w:val="28"/>
          <w:szCs w:val="29"/>
        </w:rPr>
        <w:t>多年为</w:t>
      </w:r>
      <w:r w:rsidRPr="00123108">
        <w:rPr>
          <w:rFonts w:ascii="宋体" w:hAnsi="宋体"/>
          <w:kern w:val="0"/>
          <w:sz w:val="28"/>
          <w:szCs w:val="29"/>
        </w:rPr>
        <w:t>283mm)</w:t>
      </w:r>
    </w:p>
    <w:p w:rsidR="004F34D9" w:rsidRPr="00123108" w:rsidRDefault="004F34D9" w:rsidP="00D06780">
      <w:pPr>
        <w:autoSpaceDE w:val="0"/>
        <w:autoSpaceDN w:val="0"/>
        <w:spacing w:line="500" w:lineRule="exact"/>
        <w:ind w:firstLine="570"/>
        <w:jc w:val="left"/>
        <w:rPr>
          <w:rFonts w:ascii="宋体" w:hAnsi="宋体"/>
          <w:kern w:val="0"/>
          <w:sz w:val="28"/>
          <w:szCs w:val="29"/>
        </w:rPr>
      </w:pPr>
      <w:r w:rsidRPr="00123108">
        <w:rPr>
          <w:rFonts w:ascii="宋体" w:hAnsi="宋体" w:hint="eastAsia"/>
          <w:kern w:val="0"/>
          <w:sz w:val="28"/>
          <w:szCs w:val="29"/>
        </w:rPr>
        <w:t>常年主导风向为</w:t>
      </w:r>
      <w:r w:rsidRPr="00123108">
        <w:rPr>
          <w:rFonts w:ascii="宋体" w:hAnsi="宋体"/>
          <w:kern w:val="0"/>
          <w:sz w:val="28"/>
          <w:szCs w:val="29"/>
        </w:rPr>
        <w:t>SE</w:t>
      </w:r>
      <w:r w:rsidRPr="00123108">
        <w:rPr>
          <w:rFonts w:ascii="宋体" w:hAnsi="宋体" w:hint="eastAsia"/>
          <w:kern w:val="0"/>
          <w:sz w:val="28"/>
          <w:szCs w:val="29"/>
        </w:rPr>
        <w:t>、</w:t>
      </w:r>
      <w:r w:rsidRPr="00123108">
        <w:rPr>
          <w:rFonts w:ascii="宋体" w:hAnsi="宋体"/>
          <w:kern w:val="0"/>
          <w:sz w:val="28"/>
          <w:szCs w:val="29"/>
        </w:rPr>
        <w:t>N</w:t>
      </w:r>
    </w:p>
    <w:p w:rsidR="004F34D9" w:rsidRPr="00123108" w:rsidRDefault="004F34D9" w:rsidP="00D06780">
      <w:pPr>
        <w:autoSpaceDE w:val="0"/>
        <w:autoSpaceDN w:val="0"/>
        <w:spacing w:line="500" w:lineRule="exact"/>
        <w:ind w:firstLine="570"/>
        <w:jc w:val="left"/>
        <w:rPr>
          <w:rFonts w:ascii="宋体" w:hAnsi="宋体"/>
          <w:kern w:val="0"/>
          <w:sz w:val="28"/>
          <w:szCs w:val="29"/>
        </w:rPr>
      </w:pPr>
      <w:r w:rsidRPr="00123108">
        <w:rPr>
          <w:rFonts w:ascii="宋体" w:hAnsi="宋体" w:hint="eastAsia"/>
          <w:kern w:val="0"/>
          <w:sz w:val="28"/>
          <w:szCs w:val="29"/>
        </w:rPr>
        <w:t>夏季主导风向为</w:t>
      </w:r>
      <w:r w:rsidRPr="00123108">
        <w:rPr>
          <w:rFonts w:ascii="宋体" w:hAnsi="宋体"/>
          <w:kern w:val="0"/>
          <w:sz w:val="28"/>
          <w:szCs w:val="29"/>
        </w:rPr>
        <w:t>S</w:t>
      </w:r>
      <w:r w:rsidRPr="00123108">
        <w:rPr>
          <w:rFonts w:ascii="宋体" w:hAnsi="宋体" w:hint="eastAsia"/>
          <w:kern w:val="0"/>
          <w:sz w:val="28"/>
          <w:szCs w:val="29"/>
        </w:rPr>
        <w:t>，冬季为NW</w:t>
      </w:r>
    </w:p>
    <w:p w:rsidR="004F34D9" w:rsidRPr="00123108" w:rsidRDefault="004F34D9" w:rsidP="00D06780">
      <w:pPr>
        <w:autoSpaceDE w:val="0"/>
        <w:autoSpaceDN w:val="0"/>
        <w:spacing w:line="500" w:lineRule="exact"/>
        <w:ind w:firstLine="570"/>
        <w:jc w:val="left"/>
        <w:rPr>
          <w:rFonts w:ascii="宋体" w:hAnsi="宋体"/>
          <w:kern w:val="0"/>
          <w:sz w:val="28"/>
          <w:szCs w:val="29"/>
        </w:rPr>
      </w:pPr>
      <w:r w:rsidRPr="00123108">
        <w:rPr>
          <w:rFonts w:ascii="宋体" w:hAnsi="宋体" w:hint="eastAsia"/>
          <w:kern w:val="0"/>
          <w:sz w:val="28"/>
          <w:szCs w:val="29"/>
        </w:rPr>
        <w:t>夏秋季节常有台风</w:t>
      </w:r>
    </w:p>
    <w:p w:rsidR="004F34D9" w:rsidRPr="00123108" w:rsidRDefault="004F34D9" w:rsidP="00D06780">
      <w:pPr>
        <w:autoSpaceDE w:val="0"/>
        <w:autoSpaceDN w:val="0"/>
        <w:spacing w:line="500" w:lineRule="exact"/>
        <w:ind w:firstLine="570"/>
        <w:jc w:val="left"/>
        <w:rPr>
          <w:rFonts w:ascii="宋体" w:hAnsi="宋体"/>
          <w:kern w:val="0"/>
          <w:sz w:val="28"/>
          <w:szCs w:val="29"/>
        </w:rPr>
      </w:pPr>
      <w:r w:rsidRPr="00123108">
        <w:rPr>
          <w:rFonts w:ascii="宋体" w:hAnsi="宋体" w:hint="eastAsia"/>
          <w:kern w:val="0"/>
          <w:sz w:val="28"/>
          <w:szCs w:val="29"/>
        </w:rPr>
        <w:t>年平均风速</w:t>
      </w:r>
      <w:r w:rsidRPr="00123108">
        <w:rPr>
          <w:rFonts w:ascii="宋体" w:hAnsi="宋体"/>
          <w:kern w:val="0"/>
          <w:sz w:val="28"/>
          <w:szCs w:val="29"/>
        </w:rPr>
        <w:t>4</w:t>
      </w:r>
      <w:r w:rsidRPr="00123108">
        <w:rPr>
          <w:rFonts w:ascii="宋体" w:hAnsi="宋体" w:hint="eastAsia"/>
          <w:kern w:val="0"/>
          <w:sz w:val="28"/>
          <w:szCs w:val="29"/>
        </w:rPr>
        <w:t>.</w:t>
      </w:r>
      <w:r w:rsidRPr="00123108">
        <w:rPr>
          <w:rFonts w:ascii="宋体" w:hAnsi="宋体"/>
          <w:kern w:val="0"/>
          <w:sz w:val="28"/>
          <w:szCs w:val="29"/>
        </w:rPr>
        <w:t>82m</w:t>
      </w:r>
      <w:r w:rsidRPr="00123108">
        <w:rPr>
          <w:rFonts w:ascii="宋体" w:hAnsi="宋体" w:hint="eastAsia"/>
          <w:kern w:val="0"/>
          <w:sz w:val="28"/>
          <w:szCs w:val="29"/>
        </w:rPr>
        <w:t>／</w:t>
      </w:r>
      <w:r w:rsidRPr="00123108">
        <w:rPr>
          <w:rFonts w:ascii="宋体" w:hAnsi="宋体"/>
          <w:kern w:val="0"/>
          <w:sz w:val="28"/>
          <w:szCs w:val="29"/>
        </w:rPr>
        <w:t>s</w:t>
      </w:r>
    </w:p>
    <w:p w:rsidR="004F34D9" w:rsidRPr="00123108" w:rsidRDefault="004F34D9" w:rsidP="00D06780">
      <w:pPr>
        <w:autoSpaceDE w:val="0"/>
        <w:autoSpaceDN w:val="0"/>
        <w:spacing w:line="500" w:lineRule="exact"/>
        <w:ind w:firstLineChars="200" w:firstLine="560"/>
        <w:rPr>
          <w:rFonts w:ascii="宋体" w:hAnsi="宋体"/>
          <w:kern w:val="0"/>
          <w:sz w:val="28"/>
          <w:szCs w:val="29"/>
        </w:rPr>
      </w:pPr>
      <w:r w:rsidRPr="00123108">
        <w:rPr>
          <w:rFonts w:ascii="宋体" w:hAnsi="宋体" w:hint="eastAsia"/>
          <w:kern w:val="0"/>
          <w:sz w:val="28"/>
          <w:szCs w:val="29"/>
        </w:rPr>
        <w:t>十分钟平均最大风速</w:t>
      </w:r>
      <w:r w:rsidRPr="00123108">
        <w:rPr>
          <w:rFonts w:ascii="宋体" w:hAnsi="宋体"/>
          <w:kern w:val="0"/>
          <w:sz w:val="28"/>
          <w:szCs w:val="29"/>
        </w:rPr>
        <w:t>34.3m</w:t>
      </w:r>
      <w:r w:rsidRPr="00123108">
        <w:rPr>
          <w:rFonts w:ascii="宋体" w:hAnsi="宋体" w:hint="eastAsia"/>
          <w:kern w:val="0"/>
          <w:sz w:val="28"/>
          <w:szCs w:val="29"/>
        </w:rPr>
        <w:t>／</w:t>
      </w:r>
      <w:r w:rsidRPr="00123108">
        <w:rPr>
          <w:rFonts w:ascii="宋体" w:hAnsi="宋体"/>
          <w:kern w:val="0"/>
          <w:sz w:val="28"/>
          <w:szCs w:val="29"/>
        </w:rPr>
        <w:t>s</w:t>
      </w:r>
    </w:p>
    <w:p w:rsidR="004F34D9" w:rsidRPr="00123108" w:rsidRDefault="004F34D9" w:rsidP="00D06780">
      <w:pPr>
        <w:autoSpaceDE w:val="0"/>
        <w:autoSpaceDN w:val="0"/>
        <w:spacing w:line="500" w:lineRule="exact"/>
        <w:ind w:firstLineChars="200" w:firstLine="560"/>
        <w:jc w:val="left"/>
        <w:rPr>
          <w:rFonts w:ascii="宋体" w:hAnsi="宋体"/>
          <w:kern w:val="0"/>
          <w:sz w:val="28"/>
          <w:szCs w:val="29"/>
        </w:rPr>
      </w:pPr>
      <w:r w:rsidRPr="00123108">
        <w:rPr>
          <w:rFonts w:ascii="宋体" w:hAnsi="宋体" w:hint="eastAsia"/>
          <w:kern w:val="0"/>
          <w:sz w:val="28"/>
          <w:szCs w:val="29"/>
        </w:rPr>
        <w:t>年平均日照时数为</w:t>
      </w:r>
      <w:r w:rsidRPr="00123108">
        <w:rPr>
          <w:rFonts w:ascii="宋体" w:hAnsi="宋体"/>
          <w:kern w:val="0"/>
          <w:sz w:val="28"/>
          <w:szCs w:val="29"/>
        </w:rPr>
        <w:t>1907</w:t>
      </w:r>
      <w:r w:rsidRPr="00123108">
        <w:rPr>
          <w:rFonts w:ascii="宋体" w:hAnsi="宋体" w:hint="eastAsia"/>
          <w:kern w:val="0"/>
          <w:sz w:val="28"/>
          <w:szCs w:val="29"/>
        </w:rPr>
        <w:t>.</w:t>
      </w:r>
      <w:r w:rsidRPr="00123108">
        <w:rPr>
          <w:rFonts w:ascii="宋体" w:hAnsi="宋体"/>
          <w:kern w:val="0"/>
          <w:sz w:val="28"/>
          <w:szCs w:val="29"/>
        </w:rPr>
        <w:t>8</w:t>
      </w:r>
      <w:r w:rsidRPr="00123108">
        <w:rPr>
          <w:rFonts w:ascii="宋体" w:hAnsi="宋体" w:hint="eastAsia"/>
          <w:kern w:val="0"/>
          <w:sz w:val="28"/>
          <w:szCs w:val="29"/>
        </w:rPr>
        <w:t>h</w:t>
      </w:r>
      <w:r w:rsidRPr="00123108">
        <w:rPr>
          <w:rFonts w:ascii="宋体" w:hAnsi="宋体"/>
          <w:kern w:val="0"/>
          <w:sz w:val="28"/>
          <w:szCs w:val="29"/>
        </w:rPr>
        <w:t>(</w:t>
      </w:r>
      <w:r w:rsidRPr="00123108">
        <w:rPr>
          <w:rFonts w:ascii="宋体" w:hAnsi="宋体" w:hint="eastAsia"/>
          <w:kern w:val="0"/>
          <w:sz w:val="28"/>
          <w:szCs w:val="29"/>
        </w:rPr>
        <w:t>多年为</w:t>
      </w:r>
      <w:r w:rsidRPr="00123108">
        <w:rPr>
          <w:rFonts w:ascii="宋体" w:hAnsi="宋体"/>
          <w:kern w:val="0"/>
          <w:sz w:val="28"/>
          <w:szCs w:val="29"/>
        </w:rPr>
        <w:t>2078</w:t>
      </w:r>
      <w:r w:rsidRPr="00123108">
        <w:rPr>
          <w:rFonts w:ascii="宋体" w:hAnsi="宋体" w:hint="eastAsia"/>
          <w:kern w:val="0"/>
          <w:sz w:val="28"/>
          <w:szCs w:val="29"/>
        </w:rPr>
        <w:t>h</w:t>
      </w:r>
      <w:r w:rsidRPr="00123108">
        <w:rPr>
          <w:rFonts w:ascii="宋体" w:hAnsi="宋体"/>
          <w:kern w:val="0"/>
          <w:sz w:val="28"/>
          <w:szCs w:val="29"/>
        </w:rPr>
        <w:t>)</w:t>
      </w:r>
    </w:p>
    <w:p w:rsidR="004F34D9" w:rsidRPr="00123108" w:rsidRDefault="004F34D9" w:rsidP="00D06780">
      <w:pPr>
        <w:autoSpaceDE w:val="0"/>
        <w:autoSpaceDN w:val="0"/>
        <w:spacing w:line="500" w:lineRule="exact"/>
        <w:ind w:firstLine="570"/>
        <w:jc w:val="left"/>
        <w:rPr>
          <w:rFonts w:ascii="宋体" w:hAnsi="宋体"/>
          <w:kern w:val="0"/>
          <w:sz w:val="28"/>
          <w:szCs w:val="29"/>
        </w:rPr>
      </w:pPr>
      <w:r w:rsidRPr="00123108">
        <w:rPr>
          <w:rFonts w:ascii="宋体" w:hAnsi="宋体" w:hint="eastAsia"/>
          <w:kern w:val="0"/>
          <w:sz w:val="28"/>
          <w:szCs w:val="29"/>
        </w:rPr>
        <w:t>年均雾日</w:t>
      </w:r>
      <w:r w:rsidRPr="00123108">
        <w:rPr>
          <w:rFonts w:ascii="宋体" w:hAnsi="宋体"/>
          <w:kern w:val="0"/>
          <w:sz w:val="28"/>
          <w:szCs w:val="29"/>
        </w:rPr>
        <w:t>28</w:t>
      </w:r>
      <w:r w:rsidRPr="00123108">
        <w:rPr>
          <w:rFonts w:ascii="宋体" w:hAnsi="宋体" w:hint="eastAsia"/>
          <w:kern w:val="0"/>
          <w:sz w:val="28"/>
          <w:szCs w:val="29"/>
        </w:rPr>
        <w:t>天</w:t>
      </w:r>
      <w:r w:rsidRPr="00123108">
        <w:rPr>
          <w:rFonts w:ascii="宋体" w:hAnsi="宋体"/>
          <w:kern w:val="0"/>
          <w:sz w:val="28"/>
          <w:szCs w:val="29"/>
        </w:rPr>
        <w:t>(</w:t>
      </w:r>
      <w:r w:rsidRPr="00123108">
        <w:rPr>
          <w:rFonts w:ascii="宋体" w:hAnsi="宋体" w:hint="eastAsia"/>
          <w:kern w:val="0"/>
          <w:sz w:val="28"/>
          <w:szCs w:val="29"/>
        </w:rPr>
        <w:t>多年为</w:t>
      </w:r>
      <w:r w:rsidRPr="00123108">
        <w:rPr>
          <w:rFonts w:ascii="宋体" w:hAnsi="宋体"/>
          <w:kern w:val="0"/>
          <w:sz w:val="28"/>
          <w:szCs w:val="29"/>
        </w:rPr>
        <w:t>28</w:t>
      </w:r>
      <w:r w:rsidRPr="00123108">
        <w:rPr>
          <w:rFonts w:ascii="宋体" w:hAnsi="宋体" w:hint="eastAsia"/>
          <w:kern w:val="0"/>
          <w:sz w:val="28"/>
          <w:szCs w:val="29"/>
        </w:rPr>
        <w:t>.</w:t>
      </w:r>
      <w:r w:rsidRPr="00123108">
        <w:rPr>
          <w:rFonts w:ascii="宋体" w:hAnsi="宋体"/>
          <w:kern w:val="0"/>
          <w:sz w:val="28"/>
          <w:szCs w:val="29"/>
        </w:rPr>
        <w:t>7</w:t>
      </w:r>
      <w:r w:rsidRPr="00123108">
        <w:rPr>
          <w:rFonts w:ascii="宋体" w:hAnsi="宋体" w:hint="eastAsia"/>
          <w:kern w:val="0"/>
          <w:sz w:val="28"/>
          <w:szCs w:val="29"/>
        </w:rPr>
        <w:t>天</w:t>
      </w:r>
      <w:r w:rsidRPr="00123108">
        <w:rPr>
          <w:rFonts w:ascii="宋体" w:hAnsi="宋体"/>
          <w:kern w:val="0"/>
          <w:sz w:val="28"/>
          <w:szCs w:val="29"/>
        </w:rPr>
        <w:t>)</w:t>
      </w:r>
    </w:p>
    <w:p w:rsidR="004F34D9" w:rsidRPr="00123108" w:rsidRDefault="004F34D9" w:rsidP="00D06780">
      <w:pPr>
        <w:autoSpaceDE w:val="0"/>
        <w:autoSpaceDN w:val="0"/>
        <w:spacing w:line="500" w:lineRule="exact"/>
        <w:ind w:firstLineChars="200" w:firstLine="560"/>
        <w:rPr>
          <w:rFonts w:ascii="宋体" w:hAnsi="宋体"/>
          <w:kern w:val="0"/>
          <w:sz w:val="28"/>
          <w:szCs w:val="29"/>
        </w:rPr>
      </w:pPr>
      <w:r w:rsidRPr="00123108">
        <w:rPr>
          <w:rFonts w:ascii="宋体" w:hAnsi="宋体" w:hint="eastAsia"/>
          <w:kern w:val="0"/>
          <w:sz w:val="28"/>
          <w:szCs w:val="29"/>
        </w:rPr>
        <w:t>年均雪日</w:t>
      </w:r>
      <w:r w:rsidRPr="00123108">
        <w:rPr>
          <w:rFonts w:ascii="宋体" w:hAnsi="宋体"/>
          <w:kern w:val="0"/>
          <w:sz w:val="28"/>
          <w:szCs w:val="29"/>
        </w:rPr>
        <w:t>7</w:t>
      </w:r>
      <w:r w:rsidRPr="00123108">
        <w:rPr>
          <w:rFonts w:ascii="宋体" w:hAnsi="宋体" w:hint="eastAsia"/>
          <w:kern w:val="0"/>
          <w:sz w:val="28"/>
          <w:szCs w:val="29"/>
        </w:rPr>
        <w:t>.</w:t>
      </w:r>
      <w:r w:rsidRPr="00123108">
        <w:rPr>
          <w:rFonts w:ascii="宋体" w:hAnsi="宋体"/>
          <w:kern w:val="0"/>
          <w:sz w:val="28"/>
          <w:szCs w:val="29"/>
        </w:rPr>
        <w:t>3</w:t>
      </w:r>
      <w:r w:rsidRPr="00123108">
        <w:rPr>
          <w:rFonts w:ascii="宋体" w:hAnsi="宋体" w:hint="eastAsia"/>
          <w:kern w:val="0"/>
          <w:sz w:val="28"/>
          <w:szCs w:val="29"/>
        </w:rPr>
        <w:t>天</w:t>
      </w:r>
      <w:r w:rsidRPr="00123108">
        <w:rPr>
          <w:rFonts w:ascii="宋体" w:hAnsi="宋体"/>
          <w:kern w:val="0"/>
          <w:sz w:val="28"/>
          <w:szCs w:val="29"/>
        </w:rPr>
        <w:t>(</w:t>
      </w:r>
      <w:r w:rsidRPr="00123108">
        <w:rPr>
          <w:rFonts w:ascii="宋体" w:hAnsi="宋体" w:hint="eastAsia"/>
          <w:kern w:val="0"/>
          <w:sz w:val="28"/>
          <w:szCs w:val="29"/>
        </w:rPr>
        <w:t>多年为</w:t>
      </w:r>
      <w:r w:rsidRPr="00123108">
        <w:rPr>
          <w:rFonts w:ascii="宋体" w:hAnsi="宋体"/>
          <w:kern w:val="0"/>
          <w:sz w:val="28"/>
          <w:szCs w:val="29"/>
        </w:rPr>
        <w:t>l1</w:t>
      </w:r>
      <w:r w:rsidRPr="00123108">
        <w:rPr>
          <w:rFonts w:ascii="宋体" w:hAnsi="宋体" w:hint="eastAsia"/>
          <w:kern w:val="0"/>
          <w:sz w:val="28"/>
          <w:szCs w:val="29"/>
        </w:rPr>
        <w:t>.</w:t>
      </w:r>
      <w:r w:rsidRPr="00123108">
        <w:rPr>
          <w:rFonts w:ascii="宋体" w:hAnsi="宋体"/>
          <w:kern w:val="0"/>
          <w:sz w:val="28"/>
          <w:szCs w:val="29"/>
        </w:rPr>
        <w:t>7</w:t>
      </w:r>
      <w:r w:rsidRPr="00123108">
        <w:rPr>
          <w:rFonts w:ascii="宋体" w:hAnsi="宋体" w:hint="eastAsia"/>
          <w:kern w:val="0"/>
          <w:sz w:val="28"/>
          <w:szCs w:val="29"/>
        </w:rPr>
        <w:t>天</w:t>
      </w:r>
      <w:r w:rsidRPr="00123108">
        <w:rPr>
          <w:rFonts w:ascii="宋体" w:hAnsi="宋体"/>
          <w:kern w:val="0"/>
          <w:sz w:val="28"/>
          <w:szCs w:val="29"/>
        </w:rPr>
        <w:t>)</w:t>
      </w:r>
    </w:p>
    <w:p w:rsidR="004F34D9" w:rsidRPr="00123108" w:rsidRDefault="004F34D9" w:rsidP="00D06780">
      <w:pPr>
        <w:autoSpaceDE w:val="0"/>
        <w:autoSpaceDN w:val="0"/>
        <w:spacing w:line="500" w:lineRule="exact"/>
        <w:ind w:firstLineChars="200" w:firstLine="560"/>
        <w:rPr>
          <w:rFonts w:ascii="宋体" w:hAnsi="宋体"/>
          <w:kern w:val="0"/>
          <w:sz w:val="28"/>
          <w:szCs w:val="29"/>
        </w:rPr>
      </w:pPr>
      <w:r w:rsidRPr="00123108">
        <w:rPr>
          <w:rFonts w:ascii="宋体" w:hAnsi="宋体" w:hint="eastAsia"/>
          <w:kern w:val="0"/>
          <w:sz w:val="28"/>
          <w:szCs w:val="29"/>
        </w:rPr>
        <w:t>年均雷暴日40天</w:t>
      </w:r>
    </w:p>
    <w:p w:rsidR="004F34D9" w:rsidRPr="00123108" w:rsidRDefault="004F34D9" w:rsidP="00D06780">
      <w:pPr>
        <w:pStyle w:val="2"/>
        <w:spacing w:line="500" w:lineRule="exact"/>
        <w:jc w:val="both"/>
        <w:rPr>
          <w:rFonts w:ascii="宋体" w:eastAsia="宋体" w:cs="宋体" w:hint="eastAsia"/>
          <w:sz w:val="28"/>
          <w:szCs w:val="28"/>
        </w:rPr>
      </w:pPr>
      <w:bookmarkStart w:id="432" w:name="_Toc190935730"/>
      <w:r w:rsidRPr="00123108">
        <w:rPr>
          <w:rFonts w:ascii="宋体" w:eastAsia="宋体" w:cs="宋体" w:hint="eastAsia"/>
          <w:sz w:val="28"/>
          <w:szCs w:val="28"/>
        </w:rPr>
        <w:t>2.3  总平面布置及建构筑物</w:t>
      </w:r>
      <w:bookmarkEnd w:id="424"/>
      <w:bookmarkEnd w:id="425"/>
      <w:bookmarkEnd w:id="426"/>
      <w:bookmarkEnd w:id="427"/>
      <w:bookmarkEnd w:id="428"/>
      <w:bookmarkEnd w:id="429"/>
      <w:bookmarkEnd w:id="430"/>
      <w:bookmarkEnd w:id="431"/>
      <w:bookmarkEnd w:id="432"/>
    </w:p>
    <w:p w:rsidR="004F34D9" w:rsidRPr="00123108" w:rsidRDefault="004F34D9" w:rsidP="00D06780">
      <w:pPr>
        <w:pStyle w:val="3"/>
        <w:spacing w:line="500" w:lineRule="exact"/>
        <w:rPr>
          <w:rFonts w:ascii="宋体" w:eastAsia="宋体" w:hAnsi="宋体" w:cs="宋体" w:hint="eastAsia"/>
          <w:sz w:val="28"/>
          <w:szCs w:val="28"/>
        </w:rPr>
      </w:pPr>
      <w:bookmarkStart w:id="433" w:name="_Toc3808990"/>
      <w:bookmarkStart w:id="434" w:name="_Toc29846"/>
      <w:bookmarkStart w:id="435" w:name="_Toc393724076"/>
      <w:bookmarkStart w:id="436" w:name="_Toc12768"/>
      <w:bookmarkStart w:id="437" w:name="_Toc8381"/>
      <w:bookmarkStart w:id="438" w:name="_Toc1616"/>
      <w:bookmarkStart w:id="439" w:name="_Toc182"/>
      <w:bookmarkStart w:id="440" w:name="_Toc24978"/>
      <w:bookmarkStart w:id="441" w:name="_Toc190935731"/>
      <w:r w:rsidRPr="00123108">
        <w:rPr>
          <w:rFonts w:ascii="宋体" w:eastAsia="宋体" w:hAnsi="宋体" w:cs="宋体" w:hint="eastAsia"/>
          <w:sz w:val="28"/>
          <w:szCs w:val="28"/>
        </w:rPr>
        <w:t>2.3.1 总平面布置</w:t>
      </w:r>
      <w:bookmarkEnd w:id="433"/>
      <w:bookmarkEnd w:id="434"/>
      <w:bookmarkEnd w:id="435"/>
      <w:bookmarkEnd w:id="436"/>
      <w:bookmarkEnd w:id="437"/>
      <w:bookmarkEnd w:id="438"/>
      <w:bookmarkEnd w:id="439"/>
      <w:bookmarkEnd w:id="440"/>
      <w:bookmarkEnd w:id="441"/>
    </w:p>
    <w:p w:rsidR="004F34D9" w:rsidRPr="00123108" w:rsidRDefault="004F34D9" w:rsidP="00E006F5">
      <w:pPr>
        <w:spacing w:line="500" w:lineRule="exact"/>
        <w:ind w:firstLine="573"/>
        <w:rPr>
          <w:rFonts w:ascii="宋体" w:hAnsi="宋体"/>
          <w:sz w:val="28"/>
        </w:rPr>
      </w:pPr>
      <w:bookmarkStart w:id="442" w:name="_Toc3808991"/>
      <w:bookmarkStart w:id="443" w:name="_Toc393724077"/>
      <w:r w:rsidRPr="00123108">
        <w:rPr>
          <w:rFonts w:ascii="宋体" w:hAnsi="宋体" w:hint="eastAsia"/>
          <w:sz w:val="28"/>
          <w:szCs w:val="28"/>
        </w:rPr>
        <w:t>宁波新桥化工有限公司一期工程</w:t>
      </w:r>
      <w:bookmarkStart w:id="444" w:name="OLE_LINK64"/>
      <w:bookmarkStart w:id="445" w:name="OLE_LINK65"/>
      <w:r w:rsidR="00E006F5" w:rsidRPr="00E006F5">
        <w:rPr>
          <w:rFonts w:ascii="宋体" w:hAnsi="宋体" w:hint="eastAsia"/>
          <w:b/>
          <w:sz w:val="28"/>
          <w:szCs w:val="28"/>
        </w:rPr>
        <w:t>涉及企业机密，不予公开。</w:t>
      </w:r>
      <w:bookmarkEnd w:id="444"/>
      <w:bookmarkEnd w:id="445"/>
    </w:p>
    <w:p w:rsidR="004F34D9" w:rsidRPr="00123108" w:rsidRDefault="004F34D9" w:rsidP="00D06780">
      <w:pPr>
        <w:pStyle w:val="3"/>
        <w:spacing w:line="500" w:lineRule="exact"/>
        <w:jc w:val="both"/>
        <w:rPr>
          <w:sz w:val="28"/>
        </w:rPr>
      </w:pPr>
      <w:bookmarkStart w:id="446" w:name="_Toc375386765"/>
      <w:bookmarkStart w:id="447" w:name="_Toc71582853"/>
      <w:bookmarkStart w:id="448" w:name="_Toc190935732"/>
      <w:r w:rsidRPr="00123108">
        <w:rPr>
          <w:rFonts w:hint="eastAsia"/>
          <w:sz w:val="28"/>
        </w:rPr>
        <w:t>2.3.2 竖向布置</w:t>
      </w:r>
      <w:bookmarkEnd w:id="446"/>
      <w:bookmarkEnd w:id="447"/>
      <w:bookmarkEnd w:id="448"/>
    </w:p>
    <w:p w:rsidR="004F34D9" w:rsidRPr="00123108" w:rsidRDefault="004F34D9" w:rsidP="00D06780">
      <w:pPr>
        <w:spacing w:line="500" w:lineRule="exact"/>
        <w:ind w:firstLine="570"/>
        <w:rPr>
          <w:rFonts w:ascii="宋体" w:hAnsi="宋体"/>
          <w:sz w:val="28"/>
        </w:rPr>
      </w:pPr>
      <w:r w:rsidRPr="00123108">
        <w:rPr>
          <w:rFonts w:ascii="宋体" w:hAnsi="宋体" w:hint="eastAsia"/>
          <w:sz w:val="28"/>
          <w:szCs w:val="28"/>
        </w:rPr>
        <w:t>厂内</w:t>
      </w:r>
      <w:r w:rsidRPr="00123108">
        <w:rPr>
          <w:rFonts w:ascii="宋体" w:hAnsi="宋体" w:hint="eastAsia"/>
          <w:sz w:val="28"/>
        </w:rPr>
        <w:t>采用吴淞标高，</w:t>
      </w:r>
      <w:r w:rsidR="00BC504F" w:rsidRPr="00123108">
        <w:rPr>
          <w:rFonts w:ascii="宋体" w:hAnsi="宋体" w:hint="eastAsia"/>
          <w:sz w:val="28"/>
        </w:rPr>
        <w:t>5#成品库</w:t>
      </w:r>
      <w:r w:rsidRPr="00123108">
        <w:rPr>
          <w:rFonts w:ascii="宋体" w:hAnsi="宋体" w:hint="eastAsia"/>
          <w:sz w:val="28"/>
        </w:rPr>
        <w:t>室内地坪标高</w:t>
      </w:r>
      <w:r w:rsidR="00BC504F" w:rsidRPr="00123108">
        <w:rPr>
          <w:rFonts w:ascii="宋体" w:hAnsi="宋体" w:hint="eastAsia"/>
          <w:sz w:val="28"/>
        </w:rPr>
        <w:t>6.67</w:t>
      </w:r>
      <w:r w:rsidRPr="00123108">
        <w:rPr>
          <w:rFonts w:ascii="宋体" w:hAnsi="宋体" w:hint="eastAsia"/>
          <w:sz w:val="28"/>
        </w:rPr>
        <w:t>m，</w:t>
      </w:r>
      <w:r w:rsidR="00BC504F" w:rsidRPr="00123108">
        <w:rPr>
          <w:rFonts w:ascii="宋体" w:hAnsi="宋体" w:hint="eastAsia"/>
          <w:sz w:val="28"/>
        </w:rPr>
        <w:t>其余车间及仓库室内地坪标高5.47 m，</w:t>
      </w:r>
      <w:r w:rsidRPr="00123108">
        <w:rPr>
          <w:rFonts w:ascii="宋体" w:hAnsi="宋体" w:hint="eastAsia"/>
          <w:sz w:val="28"/>
        </w:rPr>
        <w:t>室外道路地坪标高</w:t>
      </w:r>
      <w:r w:rsidR="00BC504F" w:rsidRPr="00123108">
        <w:rPr>
          <w:rFonts w:ascii="宋体" w:hAnsi="宋体" w:hint="eastAsia"/>
          <w:sz w:val="28"/>
        </w:rPr>
        <w:t>5.17</w:t>
      </w:r>
      <w:r w:rsidRPr="00123108">
        <w:rPr>
          <w:rFonts w:ascii="宋体" w:hAnsi="宋体" w:hint="eastAsia"/>
          <w:sz w:val="28"/>
        </w:rPr>
        <w:t>m。地形较为平坦，竖向采用平坡式竖向布置。</w:t>
      </w:r>
      <w:bookmarkStart w:id="449" w:name="_Hlk63104702"/>
    </w:p>
    <w:bookmarkEnd w:id="449"/>
    <w:p w:rsidR="006F2491" w:rsidRPr="00123108" w:rsidRDefault="006F2491" w:rsidP="00D06780">
      <w:pPr>
        <w:spacing w:line="500" w:lineRule="exact"/>
        <w:ind w:firstLine="570"/>
        <w:rPr>
          <w:rFonts w:ascii="宋体" w:hAnsi="宋体"/>
          <w:sz w:val="28"/>
          <w:szCs w:val="28"/>
        </w:rPr>
      </w:pPr>
      <w:r w:rsidRPr="00123108">
        <w:rPr>
          <w:rFonts w:ascii="宋体" w:hAnsi="宋体" w:hint="eastAsia"/>
          <w:sz w:val="28"/>
          <w:szCs w:val="28"/>
        </w:rPr>
        <w:t>厂区排水采用管道排水方式，道路两侧设雨篦子。雨水通过厂区内的雨水管网汇集到厂区东南侧的雨水收集池（初期雨水泵至污水处理站），排至厂区外的市政雨水管网。厂内排水管网采用混凝土结构。</w:t>
      </w:r>
    </w:p>
    <w:p w:rsidR="004F34D9" w:rsidRPr="00123108" w:rsidRDefault="004F34D9" w:rsidP="00D06780">
      <w:pPr>
        <w:pStyle w:val="3"/>
        <w:spacing w:line="500" w:lineRule="exact"/>
        <w:jc w:val="both"/>
        <w:rPr>
          <w:rFonts w:hint="eastAsia"/>
          <w:sz w:val="28"/>
        </w:rPr>
      </w:pPr>
      <w:bookmarkStart w:id="450" w:name="_Toc190935733"/>
      <w:r w:rsidRPr="00123108">
        <w:rPr>
          <w:rFonts w:hint="eastAsia"/>
          <w:sz w:val="28"/>
        </w:rPr>
        <w:t>2.3.3 厂内道路</w:t>
      </w:r>
      <w:bookmarkEnd w:id="450"/>
    </w:p>
    <w:p w:rsidR="00E006F5" w:rsidRDefault="00E006F5" w:rsidP="00D06780">
      <w:pPr>
        <w:pStyle w:val="3"/>
        <w:spacing w:line="500" w:lineRule="exact"/>
        <w:rPr>
          <w:rFonts w:ascii="宋体" w:hAnsi="宋体" w:hint="eastAsia"/>
          <w:sz w:val="28"/>
          <w:szCs w:val="28"/>
        </w:rPr>
      </w:pPr>
      <w:r w:rsidRPr="00E006F5">
        <w:rPr>
          <w:rFonts w:ascii="宋体" w:hAnsi="宋体" w:hint="eastAsia"/>
          <w:sz w:val="28"/>
          <w:szCs w:val="28"/>
        </w:rPr>
        <w:t>涉及企业机密，不予公开。</w:t>
      </w:r>
    </w:p>
    <w:p w:rsidR="004F34D9" w:rsidRPr="00123108" w:rsidRDefault="004F34D9" w:rsidP="00D06780">
      <w:pPr>
        <w:pStyle w:val="3"/>
        <w:spacing w:line="500" w:lineRule="exact"/>
        <w:rPr>
          <w:rFonts w:ascii="宋体" w:eastAsia="宋体" w:hAnsi="宋体" w:cs="宋体" w:hint="eastAsia"/>
          <w:sz w:val="28"/>
          <w:szCs w:val="28"/>
        </w:rPr>
      </w:pPr>
      <w:bookmarkStart w:id="451" w:name="_Toc27814"/>
      <w:bookmarkStart w:id="452" w:name="_Toc2635"/>
      <w:bookmarkStart w:id="453" w:name="_Toc27683"/>
      <w:bookmarkStart w:id="454" w:name="_Toc21950"/>
      <w:bookmarkStart w:id="455" w:name="_Toc28931"/>
      <w:bookmarkStart w:id="456" w:name="_Toc6491"/>
      <w:bookmarkStart w:id="457" w:name="_Toc190935734"/>
      <w:r w:rsidRPr="00123108">
        <w:rPr>
          <w:rFonts w:ascii="宋体" w:eastAsia="宋体" w:hAnsi="宋体" w:cs="宋体" w:hint="eastAsia"/>
          <w:sz w:val="28"/>
          <w:szCs w:val="28"/>
        </w:rPr>
        <w:t>2.3.4 建构筑物</w:t>
      </w:r>
      <w:bookmarkEnd w:id="442"/>
      <w:bookmarkEnd w:id="443"/>
      <w:bookmarkEnd w:id="451"/>
      <w:bookmarkEnd w:id="452"/>
      <w:bookmarkEnd w:id="453"/>
      <w:bookmarkEnd w:id="454"/>
      <w:bookmarkEnd w:id="455"/>
      <w:bookmarkEnd w:id="456"/>
      <w:bookmarkEnd w:id="457"/>
    </w:p>
    <w:p w:rsidR="004F34D9" w:rsidRPr="00123108" w:rsidRDefault="004F34D9" w:rsidP="00D06780">
      <w:pPr>
        <w:spacing w:line="500" w:lineRule="exact"/>
        <w:ind w:firstLine="570"/>
        <w:rPr>
          <w:rFonts w:ascii="宋体" w:hAnsi="宋体"/>
          <w:sz w:val="28"/>
        </w:rPr>
      </w:pPr>
      <w:r w:rsidRPr="00123108">
        <w:rPr>
          <w:rFonts w:ascii="宋体" w:hAnsi="宋体" w:hint="eastAsia"/>
          <w:sz w:val="28"/>
        </w:rPr>
        <w:t>新桥化工主要建构筑物见表2.3-1。</w:t>
      </w:r>
    </w:p>
    <w:p w:rsidR="004F34D9" w:rsidRDefault="004F34D9" w:rsidP="00D06780">
      <w:pPr>
        <w:spacing w:line="500" w:lineRule="exact"/>
        <w:jc w:val="center"/>
        <w:rPr>
          <w:rFonts w:ascii="宋体" w:hAnsi="宋体" w:hint="eastAsia"/>
          <w:b/>
          <w:bCs/>
          <w:sz w:val="28"/>
          <w:szCs w:val="28"/>
        </w:rPr>
      </w:pPr>
      <w:r w:rsidRPr="00123108">
        <w:rPr>
          <w:rFonts w:ascii="宋体" w:hAnsi="宋体" w:hint="eastAsia"/>
          <w:b/>
          <w:bCs/>
          <w:sz w:val="28"/>
          <w:szCs w:val="28"/>
        </w:rPr>
        <w:t>表2.3-1  主要建构筑物一览表</w:t>
      </w:r>
    </w:p>
    <w:p w:rsidR="00E006F5" w:rsidRDefault="00E006F5" w:rsidP="00D06780">
      <w:pPr>
        <w:spacing w:line="500" w:lineRule="exact"/>
        <w:jc w:val="center"/>
        <w:rPr>
          <w:rFonts w:ascii="宋体" w:hAnsi="宋体" w:hint="eastAsia"/>
          <w:b/>
          <w:bCs/>
          <w:sz w:val="28"/>
          <w:szCs w:val="28"/>
        </w:rPr>
      </w:pPr>
      <w:r>
        <w:rPr>
          <w:rFonts w:ascii="宋体" w:hAnsi="宋体" w:hint="eastAsia"/>
          <w:b/>
          <w:sz w:val="28"/>
          <w:szCs w:val="28"/>
        </w:rPr>
        <w:lastRenderedPageBreak/>
        <w:t>涉及企业机密，不予公开。</w:t>
      </w:r>
    </w:p>
    <w:p w:rsidR="00E006F5" w:rsidRDefault="00E006F5" w:rsidP="00D06780">
      <w:pPr>
        <w:spacing w:line="500" w:lineRule="exact"/>
        <w:jc w:val="center"/>
        <w:rPr>
          <w:rFonts w:ascii="宋体" w:hAnsi="宋体" w:hint="eastAsia"/>
          <w:b/>
          <w:bCs/>
          <w:sz w:val="28"/>
          <w:szCs w:val="28"/>
        </w:rPr>
      </w:pPr>
    </w:p>
    <w:p w:rsidR="004F34D9" w:rsidRPr="00123108" w:rsidRDefault="004F34D9" w:rsidP="00E36E64">
      <w:pPr>
        <w:pStyle w:val="2"/>
        <w:spacing w:line="500" w:lineRule="exact"/>
        <w:jc w:val="both"/>
        <w:rPr>
          <w:rFonts w:ascii="宋体" w:eastAsia="宋体" w:cs="宋体" w:hint="eastAsia"/>
          <w:sz w:val="28"/>
          <w:szCs w:val="28"/>
        </w:rPr>
      </w:pPr>
      <w:bookmarkStart w:id="458" w:name="_Toc3808992"/>
      <w:bookmarkStart w:id="459" w:name="_Toc31945"/>
      <w:bookmarkStart w:id="460" w:name="_Toc22735"/>
      <w:bookmarkStart w:id="461" w:name="_Toc27079"/>
      <w:bookmarkStart w:id="462" w:name="_Toc25528"/>
      <w:bookmarkStart w:id="463" w:name="_Toc13468"/>
      <w:bookmarkStart w:id="464" w:name="_Toc393724078"/>
      <w:bookmarkStart w:id="465" w:name="_Toc29615"/>
      <w:bookmarkStart w:id="466" w:name="_Toc190935735"/>
      <w:r w:rsidRPr="00123108">
        <w:rPr>
          <w:rFonts w:ascii="宋体" w:eastAsia="宋体" w:cs="宋体" w:hint="eastAsia"/>
          <w:sz w:val="28"/>
          <w:szCs w:val="28"/>
        </w:rPr>
        <w:t>2.4  生产概况</w:t>
      </w:r>
      <w:bookmarkEnd w:id="458"/>
      <w:bookmarkEnd w:id="459"/>
      <w:bookmarkEnd w:id="460"/>
      <w:bookmarkEnd w:id="461"/>
      <w:bookmarkEnd w:id="462"/>
      <w:bookmarkEnd w:id="463"/>
      <w:bookmarkEnd w:id="464"/>
      <w:bookmarkEnd w:id="465"/>
      <w:bookmarkEnd w:id="466"/>
    </w:p>
    <w:p w:rsidR="004F34D9" w:rsidRPr="00123108" w:rsidRDefault="004F34D9">
      <w:pPr>
        <w:pStyle w:val="3"/>
        <w:rPr>
          <w:rFonts w:ascii="宋体" w:eastAsia="宋体" w:hAnsi="宋体" w:cs="宋体" w:hint="eastAsia"/>
          <w:sz w:val="28"/>
          <w:szCs w:val="28"/>
        </w:rPr>
      </w:pPr>
      <w:bookmarkStart w:id="467" w:name="_Toc11191"/>
      <w:bookmarkStart w:id="468" w:name="_Toc9897"/>
      <w:bookmarkStart w:id="469" w:name="_Toc4796"/>
      <w:bookmarkStart w:id="470" w:name="_Toc5871"/>
      <w:bookmarkStart w:id="471" w:name="_Toc30194"/>
      <w:bookmarkStart w:id="472" w:name="_Toc16156"/>
      <w:bookmarkStart w:id="473" w:name="_Toc393724079"/>
      <w:bookmarkStart w:id="474" w:name="_Toc3808993"/>
      <w:bookmarkStart w:id="475" w:name="_Toc190935736"/>
      <w:r w:rsidRPr="00123108">
        <w:rPr>
          <w:rFonts w:ascii="宋体" w:eastAsia="宋体" w:hAnsi="宋体" w:cs="宋体" w:hint="eastAsia"/>
          <w:sz w:val="28"/>
          <w:szCs w:val="28"/>
        </w:rPr>
        <w:t>2.4.1  产品、副产品生产及原料使用规模</w:t>
      </w:r>
      <w:bookmarkEnd w:id="467"/>
      <w:bookmarkEnd w:id="468"/>
      <w:bookmarkEnd w:id="469"/>
      <w:bookmarkEnd w:id="470"/>
      <w:bookmarkEnd w:id="471"/>
      <w:bookmarkEnd w:id="472"/>
      <w:bookmarkEnd w:id="475"/>
    </w:p>
    <w:p w:rsidR="004F34D9" w:rsidRPr="00123108" w:rsidRDefault="004F34D9">
      <w:pPr>
        <w:pStyle w:val="0251"/>
        <w:rPr>
          <w:sz w:val="28"/>
        </w:rPr>
      </w:pPr>
      <w:r w:rsidRPr="00123108">
        <w:rPr>
          <w:rFonts w:hint="eastAsia"/>
          <w:sz w:val="28"/>
        </w:rPr>
        <w:t>新桥化工生产过程中使用的主要原料见表2.4-1。</w:t>
      </w:r>
    </w:p>
    <w:p w:rsidR="004F34D9" w:rsidRPr="00123108" w:rsidRDefault="004F34D9">
      <w:pPr>
        <w:tabs>
          <w:tab w:val="left" w:pos="4380"/>
          <w:tab w:val="left" w:pos="4530"/>
        </w:tabs>
        <w:spacing w:line="360" w:lineRule="auto"/>
        <w:jc w:val="center"/>
        <w:rPr>
          <w:rFonts w:ascii="宋体" w:hAnsi="宋体" w:hint="eastAsia"/>
          <w:b/>
          <w:bCs/>
          <w:sz w:val="28"/>
          <w:szCs w:val="28"/>
        </w:rPr>
      </w:pPr>
      <w:bookmarkStart w:id="476" w:name="_Hlk61612763"/>
      <w:bookmarkStart w:id="477" w:name="_Hlk70507494"/>
    </w:p>
    <w:p w:rsidR="004F34D9" w:rsidRPr="00123108" w:rsidRDefault="004F34D9">
      <w:pPr>
        <w:tabs>
          <w:tab w:val="left" w:pos="4380"/>
          <w:tab w:val="left" w:pos="4530"/>
        </w:tabs>
        <w:spacing w:line="360" w:lineRule="auto"/>
        <w:jc w:val="center"/>
        <w:rPr>
          <w:rFonts w:ascii="宋体" w:hAnsi="宋体"/>
          <w:b/>
          <w:bCs/>
          <w:sz w:val="28"/>
          <w:szCs w:val="28"/>
        </w:rPr>
        <w:sectPr w:rsidR="004F34D9" w:rsidRPr="00123108" w:rsidSect="009C23DB">
          <w:pgSz w:w="11906" w:h="16838"/>
          <w:pgMar w:top="782" w:right="1134" w:bottom="1134" w:left="1588" w:header="851" w:footer="709" w:gutter="0"/>
          <w:cols w:space="720"/>
          <w:docGrid w:linePitch="312"/>
        </w:sectPr>
      </w:pPr>
    </w:p>
    <w:p w:rsidR="004F34D9" w:rsidRDefault="004F34D9">
      <w:pPr>
        <w:tabs>
          <w:tab w:val="left" w:pos="4380"/>
          <w:tab w:val="left" w:pos="4530"/>
        </w:tabs>
        <w:spacing w:line="360" w:lineRule="auto"/>
        <w:jc w:val="center"/>
        <w:rPr>
          <w:rFonts w:ascii="黑体" w:eastAsia="黑体" w:hAnsi="黑体" w:hint="eastAsia"/>
          <w:b/>
          <w:bCs/>
          <w:sz w:val="28"/>
          <w:szCs w:val="28"/>
        </w:rPr>
      </w:pPr>
      <w:r w:rsidRPr="00123108">
        <w:rPr>
          <w:rFonts w:ascii="黑体" w:eastAsia="黑体" w:hAnsi="黑体" w:hint="eastAsia"/>
          <w:b/>
          <w:bCs/>
          <w:sz w:val="28"/>
          <w:szCs w:val="28"/>
        </w:rPr>
        <w:lastRenderedPageBreak/>
        <w:t>表2.4-1  主要原料情况一览表</w:t>
      </w:r>
    </w:p>
    <w:p w:rsidR="00E006F5" w:rsidRDefault="00E006F5">
      <w:pPr>
        <w:tabs>
          <w:tab w:val="left" w:pos="4380"/>
          <w:tab w:val="left" w:pos="4530"/>
        </w:tabs>
        <w:spacing w:line="360" w:lineRule="auto"/>
        <w:jc w:val="center"/>
        <w:rPr>
          <w:rFonts w:ascii="黑体" w:eastAsia="黑体" w:hAnsi="黑体" w:hint="eastAsia"/>
          <w:b/>
          <w:bCs/>
          <w:sz w:val="28"/>
          <w:szCs w:val="28"/>
        </w:rPr>
      </w:pPr>
      <w:r>
        <w:rPr>
          <w:rFonts w:ascii="宋体" w:hAnsi="宋体" w:hint="eastAsia"/>
          <w:b/>
          <w:sz w:val="28"/>
          <w:szCs w:val="28"/>
        </w:rPr>
        <w:t>涉及企业机密，不予公开。</w:t>
      </w:r>
    </w:p>
    <w:bookmarkEnd w:id="476"/>
    <w:bookmarkEnd w:id="477"/>
    <w:p w:rsidR="004F34D9" w:rsidRDefault="004F34D9">
      <w:pPr>
        <w:tabs>
          <w:tab w:val="left" w:pos="4380"/>
          <w:tab w:val="left" w:pos="4530"/>
        </w:tabs>
        <w:spacing w:line="360" w:lineRule="auto"/>
        <w:jc w:val="center"/>
        <w:rPr>
          <w:rFonts w:ascii="宋体" w:hAnsi="宋体" w:hint="eastAsia"/>
          <w:b/>
          <w:bCs/>
          <w:sz w:val="28"/>
          <w:szCs w:val="28"/>
        </w:rPr>
      </w:pPr>
      <w:r w:rsidRPr="00123108">
        <w:rPr>
          <w:rFonts w:ascii="宋体" w:hAnsi="宋体" w:hint="eastAsia"/>
          <w:b/>
          <w:bCs/>
          <w:sz w:val="28"/>
          <w:szCs w:val="28"/>
        </w:rPr>
        <w:t>表2.4-2   产品情况一览表</w:t>
      </w:r>
    </w:p>
    <w:p w:rsidR="00E006F5" w:rsidRDefault="00E006F5">
      <w:pPr>
        <w:tabs>
          <w:tab w:val="left" w:pos="4380"/>
          <w:tab w:val="left" w:pos="4530"/>
        </w:tabs>
        <w:spacing w:line="360" w:lineRule="auto"/>
        <w:jc w:val="center"/>
        <w:rPr>
          <w:rFonts w:ascii="宋体" w:hAnsi="宋体" w:hint="eastAsia"/>
          <w:b/>
          <w:bCs/>
          <w:sz w:val="28"/>
          <w:szCs w:val="28"/>
        </w:rPr>
      </w:pPr>
      <w:r>
        <w:rPr>
          <w:rFonts w:ascii="宋体" w:hAnsi="宋体" w:hint="eastAsia"/>
          <w:b/>
          <w:sz w:val="28"/>
          <w:szCs w:val="28"/>
        </w:rPr>
        <w:t>涉及企业机密，不予公开。</w:t>
      </w:r>
    </w:p>
    <w:p w:rsidR="004F34D9" w:rsidRPr="00123108" w:rsidRDefault="004F34D9">
      <w:pPr>
        <w:pStyle w:val="3"/>
        <w:rPr>
          <w:rFonts w:ascii="宋体" w:eastAsia="宋体" w:hAnsi="宋体" w:cs="宋体"/>
          <w:sz w:val="28"/>
          <w:szCs w:val="28"/>
        </w:rPr>
        <w:sectPr w:rsidR="004F34D9" w:rsidRPr="00123108">
          <w:pgSz w:w="16838" w:h="11906" w:orient="landscape"/>
          <w:pgMar w:top="1588" w:right="1134" w:bottom="1134" w:left="1134" w:header="851" w:footer="709" w:gutter="0"/>
          <w:cols w:space="720"/>
          <w:docGrid w:linePitch="312"/>
        </w:sectPr>
      </w:pPr>
      <w:bookmarkStart w:id="478" w:name="_Toc13740"/>
      <w:bookmarkStart w:id="479" w:name="_Toc26938"/>
      <w:bookmarkStart w:id="480" w:name="_Toc18858"/>
      <w:bookmarkStart w:id="481" w:name="_Toc873"/>
      <w:bookmarkStart w:id="482" w:name="_Toc31737"/>
      <w:bookmarkStart w:id="483" w:name="_Toc3808995"/>
      <w:bookmarkStart w:id="484" w:name="_Toc11923"/>
      <w:bookmarkEnd w:id="473"/>
      <w:bookmarkEnd w:id="474"/>
    </w:p>
    <w:p w:rsidR="004F34D9" w:rsidRPr="00123108" w:rsidRDefault="004F34D9" w:rsidP="00D06780">
      <w:pPr>
        <w:pStyle w:val="3"/>
        <w:spacing w:line="500" w:lineRule="exact"/>
        <w:rPr>
          <w:rFonts w:ascii="宋体" w:eastAsia="宋体" w:hAnsi="宋体" w:cs="宋体" w:hint="eastAsia"/>
          <w:sz w:val="28"/>
          <w:szCs w:val="28"/>
        </w:rPr>
      </w:pPr>
      <w:bookmarkStart w:id="485" w:name="_Toc190935737"/>
      <w:r w:rsidRPr="00123108">
        <w:rPr>
          <w:rFonts w:ascii="宋体" w:eastAsia="宋体" w:hAnsi="宋体" w:cs="宋体" w:hint="eastAsia"/>
          <w:sz w:val="28"/>
          <w:szCs w:val="28"/>
        </w:rPr>
        <w:lastRenderedPageBreak/>
        <w:t>2.4.2  本次安全生产许可证换证后取证品种和规模</w:t>
      </w:r>
      <w:bookmarkEnd w:id="478"/>
      <w:bookmarkEnd w:id="479"/>
      <w:bookmarkEnd w:id="480"/>
      <w:bookmarkEnd w:id="481"/>
      <w:bookmarkEnd w:id="482"/>
      <w:bookmarkEnd w:id="483"/>
      <w:bookmarkEnd w:id="484"/>
      <w:bookmarkEnd w:id="485"/>
    </w:p>
    <w:p w:rsidR="004F34D9" w:rsidRPr="00123108" w:rsidRDefault="004F34D9" w:rsidP="00D06780">
      <w:pPr>
        <w:adjustRightInd w:val="0"/>
        <w:snapToGrid w:val="0"/>
        <w:spacing w:line="500" w:lineRule="exact"/>
        <w:ind w:firstLineChars="200" w:firstLine="560"/>
        <w:jc w:val="left"/>
        <w:rPr>
          <w:rFonts w:ascii="宋体" w:hAnsi="宋体" w:hint="eastAsia"/>
          <w:sz w:val="28"/>
          <w:szCs w:val="28"/>
        </w:rPr>
      </w:pPr>
      <w:r w:rsidRPr="00123108">
        <w:rPr>
          <w:rFonts w:ascii="宋体" w:hAnsi="宋体" w:cs="宋体" w:hint="eastAsia"/>
          <w:bCs/>
          <w:sz w:val="28"/>
        </w:rPr>
        <w:t>本周期企业生产工艺、生产能力等未发生改变，延期申领危险化学品经营许可证内容与上期一致，即</w:t>
      </w:r>
      <w:r w:rsidRPr="00123108">
        <w:rPr>
          <w:rFonts w:ascii="宋体" w:hAnsi="宋体" w:cs="宋体" w:hint="eastAsia"/>
          <w:sz w:val="28"/>
          <w:szCs w:val="28"/>
        </w:rPr>
        <w:t>年产：</w:t>
      </w:r>
      <w:r w:rsidRPr="00123108">
        <w:rPr>
          <w:rFonts w:ascii="宋体" w:hAnsi="宋体" w:hint="eastAsia"/>
          <w:sz w:val="28"/>
          <w:szCs w:val="28"/>
        </w:rPr>
        <w:t>可发性聚苯乙烯（EPS）12万吨,见表2.4-2.</w:t>
      </w:r>
    </w:p>
    <w:p w:rsidR="004F34D9" w:rsidRDefault="004F34D9" w:rsidP="00D06780">
      <w:pPr>
        <w:pStyle w:val="2"/>
        <w:spacing w:line="500" w:lineRule="exact"/>
        <w:jc w:val="both"/>
        <w:rPr>
          <w:rFonts w:ascii="宋体" w:eastAsia="宋体" w:cs="宋体" w:hint="eastAsia"/>
          <w:sz w:val="28"/>
          <w:szCs w:val="28"/>
        </w:rPr>
      </w:pPr>
      <w:bookmarkStart w:id="486" w:name="_Toc14883"/>
      <w:bookmarkStart w:id="487" w:name="_Toc28334"/>
      <w:bookmarkStart w:id="488" w:name="_Toc15665"/>
      <w:bookmarkStart w:id="489" w:name="_Toc14335"/>
      <w:bookmarkStart w:id="490" w:name="_Toc3808996"/>
      <w:bookmarkStart w:id="491" w:name="_Toc12764"/>
      <w:bookmarkStart w:id="492" w:name="_Toc9164"/>
      <w:bookmarkStart w:id="493" w:name="_Toc190935738"/>
      <w:r w:rsidRPr="00123108">
        <w:rPr>
          <w:rFonts w:ascii="宋体" w:eastAsia="宋体" w:cs="宋体" w:hint="eastAsia"/>
          <w:sz w:val="28"/>
          <w:szCs w:val="28"/>
        </w:rPr>
        <w:t>2.5 生产工艺流程</w:t>
      </w:r>
      <w:bookmarkEnd w:id="486"/>
      <w:bookmarkEnd w:id="487"/>
      <w:bookmarkEnd w:id="488"/>
      <w:bookmarkEnd w:id="489"/>
      <w:bookmarkEnd w:id="490"/>
      <w:bookmarkEnd w:id="491"/>
      <w:bookmarkEnd w:id="492"/>
      <w:bookmarkEnd w:id="493"/>
    </w:p>
    <w:p w:rsidR="00E006F5" w:rsidRDefault="00E006F5" w:rsidP="00E006F5">
      <w:pPr>
        <w:rPr>
          <w:rFonts w:hint="eastAsia"/>
        </w:rPr>
      </w:pPr>
    </w:p>
    <w:p w:rsidR="00E006F5" w:rsidRDefault="00E006F5" w:rsidP="00E006F5">
      <w:pPr>
        <w:rPr>
          <w:rFonts w:hint="eastAsia"/>
        </w:rPr>
      </w:pPr>
      <w:r>
        <w:rPr>
          <w:rFonts w:ascii="宋体" w:hAnsi="宋体" w:hint="eastAsia"/>
          <w:b/>
          <w:sz w:val="28"/>
          <w:szCs w:val="28"/>
        </w:rPr>
        <w:t>涉及企业机密，不予公开。</w:t>
      </w:r>
    </w:p>
    <w:p w:rsidR="00E006F5" w:rsidRPr="00E006F5" w:rsidRDefault="00E006F5" w:rsidP="00E006F5">
      <w:pPr>
        <w:rPr>
          <w:rFonts w:hint="eastAsia"/>
        </w:rPr>
      </w:pPr>
    </w:p>
    <w:p w:rsidR="004F34D9" w:rsidRPr="00123108" w:rsidRDefault="004F34D9" w:rsidP="00D06780">
      <w:pPr>
        <w:pStyle w:val="3"/>
        <w:spacing w:line="500" w:lineRule="exact"/>
        <w:jc w:val="both"/>
        <w:rPr>
          <w:sz w:val="28"/>
        </w:rPr>
      </w:pPr>
      <w:bookmarkStart w:id="494" w:name="_Toc190935741"/>
      <w:r w:rsidRPr="00123108">
        <w:rPr>
          <w:rFonts w:hint="eastAsia"/>
          <w:sz w:val="28"/>
        </w:rPr>
        <w:t>2.5.3  生产工艺流程图</w:t>
      </w:r>
      <w:bookmarkEnd w:id="494"/>
    </w:p>
    <w:p w:rsidR="00E006F5" w:rsidRDefault="004F34D9" w:rsidP="00D06780">
      <w:pPr>
        <w:pStyle w:val="0251"/>
        <w:spacing w:line="500" w:lineRule="exact"/>
        <w:rPr>
          <w:rFonts w:hint="eastAsia"/>
          <w:sz w:val="21"/>
        </w:rPr>
      </w:pPr>
      <w:r w:rsidRPr="00123108">
        <w:rPr>
          <w:rFonts w:hint="eastAsia"/>
          <w:sz w:val="28"/>
        </w:rPr>
        <w:t>生产工艺见图2</w:t>
      </w:r>
      <w:r w:rsidRPr="00123108">
        <w:rPr>
          <w:sz w:val="28"/>
        </w:rPr>
        <w:t>.</w:t>
      </w:r>
      <w:r w:rsidRPr="00123108">
        <w:rPr>
          <w:rFonts w:hint="eastAsia"/>
          <w:sz w:val="28"/>
        </w:rPr>
        <w:t>5-1、2.5-2.</w:t>
      </w:r>
      <w:r w:rsidRPr="00123108">
        <w:rPr>
          <w:sz w:val="21"/>
        </w:rPr>
        <w:tab/>
      </w:r>
    </w:p>
    <w:p w:rsidR="00E006F5" w:rsidRDefault="00E006F5" w:rsidP="00D06780">
      <w:pPr>
        <w:pStyle w:val="0251"/>
        <w:spacing w:line="500" w:lineRule="exact"/>
        <w:rPr>
          <w:rFonts w:hint="eastAsia"/>
          <w:sz w:val="21"/>
        </w:rPr>
      </w:pPr>
      <w:r>
        <w:rPr>
          <w:rFonts w:hint="eastAsia"/>
          <w:b/>
          <w:sz w:val="28"/>
          <w:szCs w:val="28"/>
        </w:rPr>
        <w:t>涉及企业机密，不予公开。</w:t>
      </w:r>
    </w:p>
    <w:p w:rsidR="00E006F5" w:rsidRDefault="00E006F5" w:rsidP="00D06780">
      <w:pPr>
        <w:pStyle w:val="0251"/>
        <w:spacing w:line="500" w:lineRule="exact"/>
        <w:rPr>
          <w:rFonts w:hint="eastAsia"/>
          <w:sz w:val="21"/>
        </w:rPr>
      </w:pPr>
    </w:p>
    <w:p w:rsidR="004F34D9" w:rsidRPr="00123108" w:rsidRDefault="004F34D9" w:rsidP="00E61F2C">
      <w:pPr>
        <w:pStyle w:val="2"/>
        <w:spacing w:line="500" w:lineRule="exact"/>
        <w:jc w:val="both"/>
        <w:rPr>
          <w:rFonts w:ascii="宋体" w:eastAsia="宋体" w:cs="宋体" w:hint="eastAsia"/>
          <w:sz w:val="28"/>
          <w:szCs w:val="28"/>
        </w:rPr>
      </w:pPr>
      <w:bookmarkStart w:id="495" w:name="_Toc7256"/>
      <w:bookmarkStart w:id="496" w:name="_Toc3809002"/>
      <w:bookmarkStart w:id="497" w:name="_Toc12265"/>
      <w:bookmarkStart w:id="498" w:name="_Toc10599"/>
      <w:bookmarkStart w:id="499" w:name="_Toc6234"/>
      <w:bookmarkStart w:id="500" w:name="_Toc15706"/>
      <w:bookmarkStart w:id="501" w:name="_Toc12107"/>
      <w:bookmarkStart w:id="502" w:name="_Toc190935742"/>
      <w:r w:rsidRPr="00123108">
        <w:rPr>
          <w:rFonts w:ascii="宋体" w:eastAsia="宋体" w:cs="宋体" w:hint="eastAsia"/>
          <w:sz w:val="28"/>
          <w:szCs w:val="28"/>
        </w:rPr>
        <w:t>2.6 主要设备设施</w:t>
      </w:r>
      <w:bookmarkEnd w:id="502"/>
    </w:p>
    <w:p w:rsidR="004F34D9" w:rsidRPr="00123108" w:rsidRDefault="004F34D9" w:rsidP="00E61F2C">
      <w:pPr>
        <w:pStyle w:val="2fd"/>
        <w:snapToGrid w:val="0"/>
        <w:spacing w:line="500" w:lineRule="exact"/>
        <w:ind w:firstLineChars="0" w:firstLine="0"/>
        <w:outlineLvl w:val="2"/>
        <w:rPr>
          <w:rFonts w:ascii="宋体" w:hAnsi="宋体" w:cs="宋体" w:hint="eastAsia"/>
          <w:b/>
          <w:bCs/>
          <w:sz w:val="28"/>
        </w:rPr>
      </w:pPr>
      <w:bookmarkStart w:id="503" w:name="_Toc190935743"/>
      <w:r w:rsidRPr="00123108">
        <w:rPr>
          <w:rFonts w:ascii="宋体" w:hAnsi="宋体" w:cs="宋体" w:hint="eastAsia"/>
          <w:b/>
          <w:bCs/>
          <w:sz w:val="28"/>
        </w:rPr>
        <w:t>2.6.1 主要设备设施</w:t>
      </w:r>
      <w:bookmarkEnd w:id="503"/>
    </w:p>
    <w:p w:rsidR="004F34D9" w:rsidRPr="00123108" w:rsidRDefault="004F34D9" w:rsidP="00E61F2C">
      <w:pPr>
        <w:autoSpaceDE w:val="0"/>
        <w:autoSpaceDN w:val="0"/>
        <w:adjustRightInd w:val="0"/>
        <w:spacing w:line="500" w:lineRule="exact"/>
        <w:ind w:firstLineChars="200" w:firstLine="560"/>
        <w:rPr>
          <w:rFonts w:ascii="宋体" w:hAnsi="宋体"/>
          <w:sz w:val="28"/>
        </w:rPr>
      </w:pPr>
      <w:r w:rsidRPr="00123108">
        <w:rPr>
          <w:rFonts w:ascii="宋体" w:hAnsi="宋体" w:hint="eastAsia"/>
          <w:sz w:val="28"/>
        </w:rPr>
        <w:t>主要设备、设施见表2</w:t>
      </w:r>
      <w:r w:rsidRPr="00123108">
        <w:rPr>
          <w:rFonts w:ascii="宋体" w:hAnsi="宋体"/>
          <w:sz w:val="28"/>
        </w:rPr>
        <w:t>.</w:t>
      </w:r>
      <w:r w:rsidRPr="00123108">
        <w:rPr>
          <w:rFonts w:ascii="宋体" w:hAnsi="宋体" w:hint="eastAsia"/>
          <w:sz w:val="28"/>
        </w:rPr>
        <w:t>6-</w:t>
      </w:r>
      <w:r w:rsidRPr="00123108">
        <w:rPr>
          <w:rFonts w:ascii="宋体" w:hAnsi="宋体"/>
          <w:sz w:val="28"/>
        </w:rPr>
        <w:t>1</w:t>
      </w:r>
      <w:r w:rsidRPr="00123108">
        <w:rPr>
          <w:rFonts w:ascii="宋体" w:hAnsi="宋体" w:hint="eastAsia"/>
          <w:sz w:val="28"/>
        </w:rPr>
        <w:t>。</w:t>
      </w:r>
    </w:p>
    <w:p w:rsidR="00E75535" w:rsidRPr="00123108" w:rsidRDefault="00E75535">
      <w:pPr>
        <w:tabs>
          <w:tab w:val="left" w:pos="4380"/>
          <w:tab w:val="left" w:pos="4530"/>
        </w:tabs>
        <w:spacing w:line="360" w:lineRule="auto"/>
        <w:jc w:val="center"/>
        <w:rPr>
          <w:rFonts w:ascii="宋体" w:hAnsi="宋体"/>
          <w:b/>
          <w:bCs/>
          <w:sz w:val="28"/>
          <w:szCs w:val="28"/>
        </w:rPr>
        <w:sectPr w:rsidR="00E75535" w:rsidRPr="00123108">
          <w:pgSz w:w="11907" w:h="16840"/>
          <w:pgMar w:top="1418" w:right="1134" w:bottom="1134" w:left="1588" w:header="851" w:footer="992" w:gutter="0"/>
          <w:paperSrc w:first="7" w:other="7"/>
          <w:cols w:space="720"/>
          <w:docGrid w:linePitch="435" w:charSpace="2662"/>
        </w:sectPr>
      </w:pPr>
    </w:p>
    <w:p w:rsidR="004F34D9" w:rsidRDefault="004F34D9">
      <w:pPr>
        <w:tabs>
          <w:tab w:val="left" w:pos="4380"/>
          <w:tab w:val="left" w:pos="4530"/>
        </w:tabs>
        <w:spacing w:line="360" w:lineRule="auto"/>
        <w:jc w:val="center"/>
        <w:rPr>
          <w:rFonts w:ascii="黑体" w:eastAsia="黑体" w:hAnsi="黑体" w:hint="eastAsia"/>
          <w:b/>
          <w:bCs/>
          <w:sz w:val="28"/>
          <w:szCs w:val="28"/>
        </w:rPr>
      </w:pPr>
      <w:r w:rsidRPr="00123108">
        <w:rPr>
          <w:rFonts w:ascii="黑体" w:eastAsia="黑体" w:hAnsi="黑体" w:hint="eastAsia"/>
          <w:b/>
          <w:bCs/>
          <w:sz w:val="28"/>
          <w:szCs w:val="28"/>
        </w:rPr>
        <w:lastRenderedPageBreak/>
        <w:t>表2</w:t>
      </w:r>
      <w:r w:rsidRPr="00123108">
        <w:rPr>
          <w:rFonts w:ascii="黑体" w:eastAsia="黑体" w:hAnsi="黑体"/>
          <w:b/>
          <w:bCs/>
          <w:sz w:val="28"/>
          <w:szCs w:val="28"/>
        </w:rPr>
        <w:t>.</w:t>
      </w:r>
      <w:r w:rsidRPr="00123108">
        <w:rPr>
          <w:rFonts w:ascii="黑体" w:eastAsia="黑体" w:hAnsi="黑体" w:hint="eastAsia"/>
          <w:b/>
          <w:bCs/>
          <w:sz w:val="28"/>
          <w:szCs w:val="28"/>
        </w:rPr>
        <w:t>6-</w:t>
      </w:r>
      <w:r w:rsidRPr="00123108">
        <w:rPr>
          <w:rFonts w:ascii="黑体" w:eastAsia="黑体" w:hAnsi="黑体"/>
          <w:b/>
          <w:bCs/>
          <w:sz w:val="28"/>
          <w:szCs w:val="28"/>
        </w:rPr>
        <w:t>1</w:t>
      </w:r>
      <w:r w:rsidRPr="00123108">
        <w:rPr>
          <w:rFonts w:ascii="黑体" w:eastAsia="黑体" w:hAnsi="黑体" w:hint="eastAsia"/>
          <w:b/>
          <w:bCs/>
          <w:sz w:val="28"/>
          <w:szCs w:val="28"/>
        </w:rPr>
        <w:t xml:space="preserve">  主要生产设备一览表</w:t>
      </w:r>
    </w:p>
    <w:p w:rsidR="00E006F5" w:rsidRDefault="00E006F5">
      <w:pPr>
        <w:tabs>
          <w:tab w:val="left" w:pos="4380"/>
          <w:tab w:val="left" w:pos="4530"/>
        </w:tabs>
        <w:spacing w:line="360" w:lineRule="auto"/>
        <w:jc w:val="center"/>
        <w:rPr>
          <w:rFonts w:ascii="黑体" w:eastAsia="黑体" w:hAnsi="黑体" w:hint="eastAsia"/>
          <w:b/>
          <w:bCs/>
          <w:sz w:val="28"/>
          <w:szCs w:val="28"/>
        </w:rPr>
      </w:pPr>
      <w:r>
        <w:rPr>
          <w:rFonts w:ascii="宋体" w:hAnsi="宋体" w:hint="eastAsia"/>
          <w:b/>
          <w:sz w:val="28"/>
          <w:szCs w:val="28"/>
        </w:rPr>
        <w:t>涉及企业机密，不予公开。</w:t>
      </w:r>
    </w:p>
    <w:p w:rsidR="00E006F5" w:rsidRDefault="00E006F5">
      <w:pPr>
        <w:tabs>
          <w:tab w:val="left" w:pos="4380"/>
          <w:tab w:val="left" w:pos="4530"/>
        </w:tabs>
        <w:spacing w:line="360" w:lineRule="auto"/>
        <w:jc w:val="center"/>
        <w:rPr>
          <w:rFonts w:ascii="黑体" w:eastAsia="黑体" w:hAnsi="黑体" w:hint="eastAsia"/>
          <w:b/>
          <w:bCs/>
          <w:sz w:val="28"/>
          <w:szCs w:val="28"/>
        </w:rPr>
      </w:pPr>
    </w:p>
    <w:p w:rsidR="00E75535" w:rsidRPr="00123108" w:rsidRDefault="00E75535" w:rsidP="00D06780">
      <w:pPr>
        <w:pStyle w:val="2fd"/>
        <w:snapToGrid w:val="0"/>
        <w:spacing w:line="500" w:lineRule="exact"/>
        <w:ind w:firstLineChars="0" w:firstLine="0"/>
        <w:outlineLvl w:val="2"/>
        <w:rPr>
          <w:rFonts w:ascii="宋体" w:hAnsi="宋体" w:cs="宋体"/>
          <w:b/>
          <w:bCs/>
          <w:sz w:val="28"/>
        </w:rPr>
        <w:sectPr w:rsidR="00E75535" w:rsidRPr="00123108" w:rsidSect="00BF38D2">
          <w:pgSz w:w="16840" w:h="11907" w:orient="landscape"/>
          <w:pgMar w:top="1141" w:right="1418" w:bottom="1134" w:left="1134" w:header="851" w:footer="992" w:gutter="0"/>
          <w:paperSrc w:first="7" w:other="7"/>
          <w:cols w:space="720"/>
          <w:docGrid w:linePitch="435" w:charSpace="2662"/>
        </w:sectPr>
      </w:pPr>
    </w:p>
    <w:p w:rsidR="004F34D9" w:rsidRPr="00123108" w:rsidRDefault="004F34D9" w:rsidP="00D06780">
      <w:pPr>
        <w:pStyle w:val="2fd"/>
        <w:snapToGrid w:val="0"/>
        <w:spacing w:line="500" w:lineRule="exact"/>
        <w:ind w:firstLineChars="0" w:firstLine="0"/>
        <w:outlineLvl w:val="2"/>
        <w:rPr>
          <w:rFonts w:ascii="宋体" w:hAnsi="宋体" w:cs="宋体" w:hint="eastAsia"/>
          <w:b/>
          <w:bCs/>
          <w:sz w:val="28"/>
        </w:rPr>
      </w:pPr>
      <w:bookmarkStart w:id="504" w:name="_Toc190935744"/>
      <w:r w:rsidRPr="00123108">
        <w:rPr>
          <w:rFonts w:ascii="宋体" w:hAnsi="宋体" w:cs="宋体" w:hint="eastAsia"/>
          <w:b/>
          <w:bCs/>
          <w:sz w:val="28"/>
        </w:rPr>
        <w:lastRenderedPageBreak/>
        <w:t>2.6.2 特种设备</w:t>
      </w:r>
      <w:bookmarkEnd w:id="504"/>
    </w:p>
    <w:p w:rsidR="004F34D9" w:rsidRPr="00123108" w:rsidRDefault="004F34D9" w:rsidP="00D06780">
      <w:pPr>
        <w:pStyle w:val="2fd"/>
        <w:spacing w:line="500" w:lineRule="exact"/>
        <w:ind w:firstLine="560"/>
        <w:rPr>
          <w:rFonts w:ascii="宋体" w:hAnsi="宋体" w:cs="宋体" w:hint="eastAsia"/>
          <w:sz w:val="28"/>
          <w:szCs w:val="28"/>
        </w:rPr>
      </w:pPr>
      <w:r w:rsidRPr="00123108">
        <w:rPr>
          <w:rFonts w:ascii="宋体" w:hAnsi="宋体" w:cs="宋体" w:hint="eastAsia"/>
          <w:sz w:val="28"/>
          <w:szCs w:val="28"/>
        </w:rPr>
        <w:t>本项目涉及的特种设备主要有压力容器、压力管道、场（厂）内专用机动车辆、电梯等，详见2.9.1章节。</w:t>
      </w:r>
    </w:p>
    <w:p w:rsidR="004F34D9" w:rsidRPr="00123108" w:rsidRDefault="004F34D9" w:rsidP="00D06780">
      <w:pPr>
        <w:pStyle w:val="2"/>
        <w:spacing w:line="500" w:lineRule="exact"/>
        <w:jc w:val="both"/>
        <w:rPr>
          <w:rFonts w:ascii="宋体" w:eastAsia="宋体" w:cs="宋体" w:hint="eastAsia"/>
          <w:sz w:val="28"/>
          <w:szCs w:val="28"/>
        </w:rPr>
      </w:pPr>
      <w:bookmarkStart w:id="505" w:name="_Toc190935745"/>
      <w:r w:rsidRPr="00123108">
        <w:rPr>
          <w:rFonts w:ascii="宋体" w:eastAsia="宋体" w:cs="宋体" w:hint="eastAsia"/>
          <w:sz w:val="28"/>
          <w:szCs w:val="28"/>
        </w:rPr>
        <w:t>2.7 储运系统</w:t>
      </w:r>
      <w:bookmarkEnd w:id="505"/>
    </w:p>
    <w:p w:rsidR="004F34D9" w:rsidRPr="00123108" w:rsidRDefault="004F34D9" w:rsidP="00D06780">
      <w:pPr>
        <w:spacing w:line="500" w:lineRule="exact"/>
        <w:outlineLvl w:val="2"/>
        <w:rPr>
          <w:rFonts w:ascii="黑体" w:eastAsia="黑体" w:hAnsi="黑体" w:hint="eastAsia"/>
          <w:b/>
          <w:sz w:val="28"/>
          <w:szCs w:val="28"/>
        </w:rPr>
      </w:pPr>
      <w:bookmarkStart w:id="506" w:name="_Toc190935746"/>
      <w:r w:rsidRPr="00123108">
        <w:rPr>
          <w:rFonts w:ascii="黑体" w:eastAsia="黑体" w:hAnsi="黑体" w:hint="eastAsia"/>
          <w:b/>
          <w:sz w:val="28"/>
          <w:szCs w:val="28"/>
        </w:rPr>
        <w:t>2.7.1 物料运输</w:t>
      </w:r>
      <w:bookmarkEnd w:id="506"/>
    </w:p>
    <w:p w:rsidR="00E006F5" w:rsidRDefault="004F34D9" w:rsidP="00D06780">
      <w:pPr>
        <w:spacing w:line="500" w:lineRule="exact"/>
        <w:ind w:firstLineChars="200" w:firstLine="560"/>
        <w:rPr>
          <w:rFonts w:ascii="宋体" w:hAnsi="宋体" w:hint="eastAsia"/>
          <w:sz w:val="28"/>
        </w:rPr>
      </w:pPr>
      <w:r w:rsidRPr="00123108">
        <w:rPr>
          <w:rFonts w:ascii="宋体" w:hAnsi="宋体" w:hint="eastAsia"/>
          <w:sz w:val="28"/>
        </w:rPr>
        <w:t>新桥化工物料均通过公路进行运输，主要原料</w:t>
      </w:r>
      <w:r w:rsidR="00E006F5">
        <w:rPr>
          <w:rFonts w:ascii="宋体" w:hAnsi="宋体" w:hint="eastAsia"/>
          <w:b/>
          <w:sz w:val="28"/>
          <w:szCs w:val="28"/>
        </w:rPr>
        <w:t>涉及企业机密，不予公开。</w:t>
      </w:r>
    </w:p>
    <w:p w:rsidR="004F34D9" w:rsidRPr="00123108" w:rsidRDefault="004F34D9" w:rsidP="00D06780">
      <w:pPr>
        <w:spacing w:line="500" w:lineRule="exact"/>
        <w:ind w:firstLineChars="200" w:firstLine="560"/>
        <w:rPr>
          <w:rFonts w:ascii="宋体" w:hAnsi="宋体"/>
          <w:sz w:val="28"/>
        </w:rPr>
      </w:pPr>
      <w:r w:rsidRPr="00123108">
        <w:rPr>
          <w:rFonts w:ascii="宋体" w:hAnsi="宋体" w:hint="eastAsia"/>
          <w:sz w:val="28"/>
        </w:rPr>
        <w:t>新桥化工原料、产品的运输方式见表2.7-1。</w:t>
      </w:r>
    </w:p>
    <w:p w:rsidR="004F34D9" w:rsidRDefault="004F34D9" w:rsidP="00D06780">
      <w:pPr>
        <w:spacing w:line="500" w:lineRule="exact"/>
        <w:jc w:val="center"/>
        <w:rPr>
          <w:rFonts w:ascii="宋体" w:hAnsi="宋体" w:hint="eastAsia"/>
          <w:b/>
          <w:bCs/>
          <w:sz w:val="28"/>
          <w:szCs w:val="28"/>
        </w:rPr>
      </w:pPr>
      <w:r w:rsidRPr="00123108">
        <w:rPr>
          <w:rFonts w:ascii="宋体" w:hAnsi="宋体" w:hint="eastAsia"/>
          <w:b/>
          <w:bCs/>
          <w:sz w:val="28"/>
          <w:szCs w:val="28"/>
        </w:rPr>
        <w:t>表2</w:t>
      </w:r>
      <w:r w:rsidRPr="00123108">
        <w:rPr>
          <w:rFonts w:ascii="宋体" w:hAnsi="宋体"/>
          <w:b/>
          <w:bCs/>
          <w:sz w:val="28"/>
          <w:szCs w:val="28"/>
        </w:rPr>
        <w:t>.</w:t>
      </w:r>
      <w:r w:rsidRPr="00123108">
        <w:rPr>
          <w:rFonts w:ascii="宋体" w:hAnsi="宋体" w:hint="eastAsia"/>
          <w:b/>
          <w:bCs/>
          <w:sz w:val="28"/>
          <w:szCs w:val="28"/>
        </w:rPr>
        <w:t>7-1新桥化工运输情况一览表</w:t>
      </w:r>
    </w:p>
    <w:p w:rsidR="00E006F5" w:rsidRDefault="00E006F5" w:rsidP="00D06780">
      <w:pPr>
        <w:spacing w:line="500" w:lineRule="exact"/>
        <w:jc w:val="center"/>
        <w:rPr>
          <w:rFonts w:ascii="宋体" w:hAnsi="宋体" w:hint="eastAsia"/>
          <w:b/>
          <w:bCs/>
          <w:sz w:val="28"/>
          <w:szCs w:val="28"/>
        </w:rPr>
      </w:pPr>
      <w:bookmarkStart w:id="507" w:name="OLE_LINK66"/>
      <w:bookmarkStart w:id="508" w:name="OLE_LINK67"/>
      <w:r>
        <w:rPr>
          <w:rFonts w:ascii="宋体" w:hAnsi="宋体" w:hint="eastAsia"/>
          <w:b/>
          <w:sz w:val="28"/>
          <w:szCs w:val="28"/>
        </w:rPr>
        <w:t>涉及企业机密，不予公开。</w:t>
      </w:r>
    </w:p>
    <w:p w:rsidR="004F34D9" w:rsidRPr="00123108" w:rsidRDefault="004F34D9" w:rsidP="00D06780">
      <w:pPr>
        <w:spacing w:line="500" w:lineRule="exact"/>
        <w:outlineLvl w:val="2"/>
        <w:rPr>
          <w:rFonts w:ascii="黑体" w:eastAsia="黑体" w:hAnsi="黑体" w:hint="eastAsia"/>
          <w:b/>
          <w:sz w:val="28"/>
          <w:szCs w:val="28"/>
        </w:rPr>
      </w:pPr>
      <w:bookmarkStart w:id="509" w:name="_Toc190935747"/>
      <w:bookmarkEnd w:id="507"/>
      <w:bookmarkEnd w:id="508"/>
      <w:r w:rsidRPr="00123108">
        <w:rPr>
          <w:rFonts w:ascii="黑体" w:eastAsia="黑体" w:hAnsi="黑体" w:hint="eastAsia"/>
          <w:b/>
          <w:sz w:val="28"/>
          <w:szCs w:val="28"/>
        </w:rPr>
        <w:t>2.7.2 储罐相关信息</w:t>
      </w:r>
      <w:bookmarkEnd w:id="509"/>
    </w:p>
    <w:p w:rsidR="004F34D9" w:rsidRDefault="004F34D9" w:rsidP="00D06780">
      <w:pPr>
        <w:spacing w:line="500" w:lineRule="exact"/>
        <w:ind w:firstLineChars="200" w:firstLine="560"/>
        <w:rPr>
          <w:rFonts w:ascii="宋体" w:hAnsi="宋体" w:hint="eastAsia"/>
          <w:sz w:val="28"/>
          <w:szCs w:val="28"/>
        </w:rPr>
      </w:pPr>
      <w:r w:rsidRPr="00123108">
        <w:rPr>
          <w:rFonts w:ascii="宋体" w:hAnsi="宋体" w:hint="eastAsia"/>
          <w:sz w:val="28"/>
          <w:szCs w:val="28"/>
        </w:rPr>
        <w:t>新桥化工苯乙烯、二甲苯、戊烷、盐酸、柴油等储存在储罐中，储罐相关内容见表2.7-2、配套泵见表2.7-3。</w:t>
      </w:r>
    </w:p>
    <w:p w:rsidR="00E006F5" w:rsidRPr="00123108" w:rsidRDefault="00E006F5" w:rsidP="00D06780">
      <w:pPr>
        <w:spacing w:line="500" w:lineRule="exact"/>
        <w:ind w:firstLineChars="200" w:firstLine="560"/>
        <w:rPr>
          <w:rFonts w:ascii="宋体" w:hAnsi="宋体"/>
          <w:sz w:val="28"/>
          <w:szCs w:val="28"/>
        </w:rPr>
        <w:sectPr w:rsidR="00E006F5" w:rsidRPr="00123108">
          <w:pgSz w:w="11907" w:h="16840"/>
          <w:pgMar w:top="1418" w:right="1134" w:bottom="1134" w:left="1588" w:header="851" w:footer="992" w:gutter="0"/>
          <w:paperSrc w:first="7" w:other="7"/>
          <w:cols w:space="720"/>
          <w:docGrid w:linePitch="435" w:charSpace="2662"/>
        </w:sectPr>
      </w:pPr>
    </w:p>
    <w:p w:rsidR="004F34D9" w:rsidRDefault="004F34D9">
      <w:pPr>
        <w:tabs>
          <w:tab w:val="left" w:pos="4380"/>
          <w:tab w:val="left" w:pos="4530"/>
        </w:tabs>
        <w:spacing w:line="360" w:lineRule="auto"/>
        <w:jc w:val="center"/>
        <w:rPr>
          <w:rFonts w:ascii="宋体" w:hAnsi="宋体" w:hint="eastAsia"/>
          <w:b/>
          <w:bCs/>
          <w:sz w:val="28"/>
          <w:szCs w:val="28"/>
        </w:rPr>
      </w:pPr>
      <w:r w:rsidRPr="00123108">
        <w:rPr>
          <w:rFonts w:ascii="宋体" w:hAnsi="宋体" w:hint="eastAsia"/>
          <w:b/>
          <w:bCs/>
          <w:sz w:val="28"/>
          <w:szCs w:val="28"/>
        </w:rPr>
        <w:lastRenderedPageBreak/>
        <w:t>表2</w:t>
      </w:r>
      <w:r w:rsidRPr="00123108">
        <w:rPr>
          <w:rFonts w:ascii="宋体" w:hAnsi="宋体"/>
          <w:b/>
          <w:bCs/>
          <w:sz w:val="28"/>
          <w:szCs w:val="28"/>
        </w:rPr>
        <w:t>.</w:t>
      </w:r>
      <w:r w:rsidRPr="00123108">
        <w:rPr>
          <w:rFonts w:ascii="宋体" w:hAnsi="宋体" w:hint="eastAsia"/>
          <w:b/>
          <w:bCs/>
          <w:sz w:val="28"/>
          <w:szCs w:val="28"/>
        </w:rPr>
        <w:t>7</w:t>
      </w:r>
      <w:r w:rsidRPr="00123108">
        <w:rPr>
          <w:rFonts w:ascii="宋体" w:hAnsi="宋体"/>
          <w:b/>
          <w:bCs/>
          <w:sz w:val="28"/>
          <w:szCs w:val="28"/>
        </w:rPr>
        <w:t>-2</w:t>
      </w:r>
      <w:r w:rsidRPr="00123108">
        <w:rPr>
          <w:rFonts w:ascii="宋体" w:hAnsi="宋体" w:hint="eastAsia"/>
          <w:b/>
          <w:bCs/>
          <w:sz w:val="28"/>
          <w:szCs w:val="28"/>
        </w:rPr>
        <w:t>储罐一览表</w:t>
      </w:r>
    </w:p>
    <w:p w:rsidR="00E006F5" w:rsidRDefault="00E006F5" w:rsidP="00E006F5">
      <w:pPr>
        <w:spacing w:line="500" w:lineRule="exact"/>
        <w:jc w:val="center"/>
        <w:rPr>
          <w:rFonts w:ascii="宋体" w:hAnsi="宋体" w:hint="eastAsia"/>
          <w:b/>
          <w:bCs/>
          <w:sz w:val="28"/>
          <w:szCs w:val="28"/>
        </w:rPr>
      </w:pPr>
      <w:r>
        <w:rPr>
          <w:rFonts w:ascii="宋体" w:hAnsi="宋体" w:hint="eastAsia"/>
          <w:b/>
          <w:sz w:val="28"/>
          <w:szCs w:val="28"/>
        </w:rPr>
        <w:t>涉及企业机密，不予公开。</w:t>
      </w:r>
    </w:p>
    <w:p w:rsidR="00E006F5" w:rsidRDefault="00E006F5">
      <w:pPr>
        <w:tabs>
          <w:tab w:val="left" w:pos="4380"/>
          <w:tab w:val="left" w:pos="4530"/>
        </w:tabs>
        <w:spacing w:line="360" w:lineRule="auto"/>
        <w:jc w:val="center"/>
        <w:rPr>
          <w:rFonts w:ascii="宋体" w:hAnsi="宋体" w:hint="eastAsia"/>
          <w:b/>
          <w:bCs/>
          <w:sz w:val="28"/>
          <w:szCs w:val="28"/>
        </w:rPr>
      </w:pPr>
    </w:p>
    <w:p w:rsidR="004F34D9" w:rsidRPr="00123108" w:rsidRDefault="004F34D9">
      <w:pPr>
        <w:pStyle w:val="2fd"/>
        <w:spacing w:line="240" w:lineRule="auto"/>
        <w:ind w:firstLine="420"/>
        <w:rPr>
          <w:rFonts w:ascii="宋体" w:hAnsi="宋体" w:hint="eastAsia"/>
          <w:sz w:val="21"/>
          <w:szCs w:val="21"/>
        </w:rPr>
      </w:pPr>
    </w:p>
    <w:p w:rsidR="004F34D9" w:rsidRPr="00123108" w:rsidRDefault="004F34D9">
      <w:pPr>
        <w:pStyle w:val="2fd"/>
        <w:spacing w:line="240" w:lineRule="auto"/>
        <w:ind w:firstLine="420"/>
        <w:rPr>
          <w:rFonts w:ascii="宋体" w:hAnsi="宋体" w:hint="eastAsia"/>
          <w:sz w:val="21"/>
          <w:szCs w:val="21"/>
        </w:rPr>
      </w:pPr>
    </w:p>
    <w:p w:rsidR="004F34D9" w:rsidRPr="00123108" w:rsidRDefault="004F34D9">
      <w:pPr>
        <w:pStyle w:val="2fd"/>
        <w:spacing w:line="240" w:lineRule="auto"/>
        <w:ind w:firstLineChars="1900" w:firstLine="4560"/>
        <w:rPr>
          <w:rFonts w:ascii="宋体" w:hAnsi="宋体" w:hint="eastAsia"/>
          <w:szCs w:val="21"/>
        </w:rPr>
      </w:pPr>
    </w:p>
    <w:p w:rsidR="004F34D9" w:rsidRPr="00123108" w:rsidRDefault="004F34D9">
      <w:pPr>
        <w:pStyle w:val="2fd"/>
        <w:spacing w:line="240" w:lineRule="auto"/>
        <w:ind w:firstLineChars="1900" w:firstLine="4560"/>
        <w:rPr>
          <w:rFonts w:ascii="宋体" w:hAnsi="宋体" w:hint="eastAsia"/>
        </w:rPr>
      </w:pPr>
      <w:r w:rsidRPr="00123108">
        <w:rPr>
          <w:rFonts w:ascii="宋体" w:hAnsi="宋体" w:hint="eastAsia"/>
          <w:szCs w:val="21"/>
        </w:rPr>
        <w:t>图2.7-1 2021年清罐时内浮盘及</w:t>
      </w:r>
      <w:r w:rsidRPr="00123108">
        <w:rPr>
          <w:rFonts w:ascii="宋体" w:hAnsi="宋体" w:hint="eastAsia"/>
        </w:rPr>
        <w:t>密封情况</w:t>
      </w:r>
    </w:p>
    <w:p w:rsidR="004F34D9" w:rsidRPr="00123108" w:rsidRDefault="004F34D9">
      <w:pPr>
        <w:pStyle w:val="2fd"/>
        <w:spacing w:line="240" w:lineRule="auto"/>
        <w:ind w:firstLineChars="1900" w:firstLine="5341"/>
        <w:rPr>
          <w:rFonts w:ascii="黑体" w:eastAsia="黑体" w:hAnsi="黑体" w:hint="eastAsia"/>
          <w:b/>
          <w:sz w:val="28"/>
          <w:szCs w:val="28"/>
        </w:rPr>
      </w:pPr>
      <w:r w:rsidRPr="00123108">
        <w:rPr>
          <w:rFonts w:ascii="黑体" w:eastAsia="黑体" w:hAnsi="黑体" w:hint="eastAsia"/>
          <w:b/>
          <w:sz w:val="28"/>
          <w:szCs w:val="28"/>
        </w:rPr>
        <w:t>表2.7-3 罐区配套泵一览表</w:t>
      </w:r>
    </w:p>
    <w:tbl>
      <w:tblPr>
        <w:tblW w:w="142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4"/>
        <w:gridCol w:w="1621"/>
        <w:gridCol w:w="1743"/>
        <w:gridCol w:w="1280"/>
        <w:gridCol w:w="1283"/>
        <w:gridCol w:w="1243"/>
        <w:gridCol w:w="1209"/>
        <w:gridCol w:w="1183"/>
        <w:gridCol w:w="1732"/>
        <w:gridCol w:w="1632"/>
      </w:tblGrid>
      <w:tr w:rsidR="004F34D9" w:rsidRPr="00123108">
        <w:trPr>
          <w:cantSplit/>
          <w:trHeight w:val="340"/>
          <w:tblHeader/>
          <w:jc w:val="center"/>
        </w:trPr>
        <w:tc>
          <w:tcPr>
            <w:tcW w:w="455" w:type="pct"/>
            <w:vAlign w:val="center"/>
          </w:tcPr>
          <w:p w:rsidR="004F34D9" w:rsidRPr="00123108" w:rsidRDefault="004F34D9">
            <w:pPr>
              <w:jc w:val="center"/>
              <w:rPr>
                <w:rFonts w:ascii="宋体" w:hAnsi="宋体"/>
                <w:szCs w:val="21"/>
              </w:rPr>
            </w:pPr>
            <w:r w:rsidRPr="00123108">
              <w:rPr>
                <w:rFonts w:ascii="宋体" w:hAnsi="宋体" w:hint="eastAsia"/>
                <w:szCs w:val="21"/>
              </w:rPr>
              <w:t>设备编号</w:t>
            </w:r>
          </w:p>
        </w:tc>
        <w:tc>
          <w:tcPr>
            <w:tcW w:w="570" w:type="pct"/>
            <w:vAlign w:val="center"/>
          </w:tcPr>
          <w:p w:rsidR="004F34D9" w:rsidRPr="00123108" w:rsidRDefault="004F34D9">
            <w:pPr>
              <w:jc w:val="center"/>
              <w:rPr>
                <w:rFonts w:ascii="宋体" w:hAnsi="宋体"/>
                <w:szCs w:val="21"/>
              </w:rPr>
            </w:pPr>
            <w:r w:rsidRPr="00123108">
              <w:rPr>
                <w:rFonts w:ascii="宋体" w:hAnsi="宋体" w:hint="eastAsia"/>
                <w:szCs w:val="21"/>
              </w:rPr>
              <w:t>设备名称</w:t>
            </w:r>
          </w:p>
        </w:tc>
        <w:tc>
          <w:tcPr>
            <w:tcW w:w="613" w:type="pct"/>
            <w:vAlign w:val="center"/>
          </w:tcPr>
          <w:p w:rsidR="004F34D9" w:rsidRPr="00123108" w:rsidRDefault="004F34D9">
            <w:pPr>
              <w:ind w:firstLineChars="100" w:firstLine="210"/>
              <w:jc w:val="center"/>
              <w:rPr>
                <w:rFonts w:ascii="宋体" w:hAnsi="宋体"/>
                <w:szCs w:val="21"/>
              </w:rPr>
            </w:pPr>
            <w:r w:rsidRPr="00123108">
              <w:rPr>
                <w:rFonts w:ascii="宋体" w:hAnsi="宋体" w:hint="eastAsia"/>
                <w:szCs w:val="21"/>
              </w:rPr>
              <w:t>型号</w:t>
            </w:r>
          </w:p>
        </w:tc>
        <w:tc>
          <w:tcPr>
            <w:tcW w:w="450" w:type="pct"/>
            <w:vAlign w:val="center"/>
          </w:tcPr>
          <w:p w:rsidR="004F34D9" w:rsidRPr="00123108" w:rsidRDefault="004F34D9">
            <w:pPr>
              <w:jc w:val="center"/>
              <w:rPr>
                <w:rFonts w:ascii="宋体" w:hAnsi="宋体"/>
                <w:szCs w:val="21"/>
              </w:rPr>
            </w:pPr>
            <w:r w:rsidRPr="00123108">
              <w:rPr>
                <w:rFonts w:ascii="宋体" w:hAnsi="宋体" w:hint="eastAsia"/>
                <w:szCs w:val="21"/>
              </w:rPr>
              <w:t>流量m</w:t>
            </w:r>
            <w:r w:rsidRPr="00123108">
              <w:rPr>
                <w:rFonts w:ascii="宋体" w:hAnsi="宋体" w:hint="eastAsia"/>
                <w:szCs w:val="21"/>
                <w:vertAlign w:val="superscript"/>
              </w:rPr>
              <w:t>3</w:t>
            </w:r>
            <w:r w:rsidRPr="00123108">
              <w:rPr>
                <w:rFonts w:ascii="宋体" w:hAnsi="宋体" w:hint="eastAsia"/>
                <w:szCs w:val="21"/>
              </w:rPr>
              <w:t>/h</w:t>
            </w:r>
          </w:p>
        </w:tc>
        <w:tc>
          <w:tcPr>
            <w:tcW w:w="451" w:type="pct"/>
            <w:vAlign w:val="center"/>
          </w:tcPr>
          <w:p w:rsidR="004F34D9" w:rsidRPr="00123108" w:rsidRDefault="004F34D9">
            <w:pPr>
              <w:jc w:val="center"/>
              <w:rPr>
                <w:rFonts w:ascii="宋体" w:hAnsi="宋体"/>
                <w:szCs w:val="21"/>
              </w:rPr>
            </w:pPr>
            <w:r w:rsidRPr="00123108">
              <w:rPr>
                <w:rFonts w:ascii="宋体" w:hAnsi="宋体" w:hint="eastAsia"/>
                <w:szCs w:val="21"/>
              </w:rPr>
              <w:t>扬程m</w:t>
            </w:r>
          </w:p>
        </w:tc>
        <w:tc>
          <w:tcPr>
            <w:tcW w:w="437" w:type="pct"/>
            <w:vAlign w:val="center"/>
          </w:tcPr>
          <w:p w:rsidR="004F34D9" w:rsidRPr="00123108" w:rsidRDefault="004F34D9">
            <w:pPr>
              <w:jc w:val="center"/>
              <w:rPr>
                <w:rFonts w:ascii="宋体" w:hAnsi="宋体"/>
                <w:szCs w:val="21"/>
              </w:rPr>
            </w:pPr>
            <w:r w:rsidRPr="00123108">
              <w:rPr>
                <w:rFonts w:ascii="宋体" w:hAnsi="宋体" w:hint="eastAsia"/>
                <w:szCs w:val="21"/>
              </w:rPr>
              <w:t>数量</w:t>
            </w:r>
          </w:p>
        </w:tc>
        <w:tc>
          <w:tcPr>
            <w:tcW w:w="425" w:type="pct"/>
            <w:vAlign w:val="center"/>
          </w:tcPr>
          <w:p w:rsidR="004F34D9" w:rsidRPr="00123108" w:rsidRDefault="004F34D9">
            <w:pPr>
              <w:jc w:val="center"/>
              <w:rPr>
                <w:rFonts w:ascii="宋体" w:hAnsi="宋体"/>
                <w:szCs w:val="21"/>
              </w:rPr>
            </w:pPr>
            <w:r w:rsidRPr="00123108">
              <w:rPr>
                <w:rFonts w:ascii="宋体" w:hAnsi="宋体" w:hint="eastAsia"/>
                <w:szCs w:val="21"/>
              </w:rPr>
              <w:t>材料</w:t>
            </w:r>
          </w:p>
        </w:tc>
        <w:tc>
          <w:tcPr>
            <w:tcW w:w="416" w:type="pct"/>
            <w:vAlign w:val="center"/>
          </w:tcPr>
          <w:p w:rsidR="004F34D9" w:rsidRPr="00123108" w:rsidRDefault="004F34D9">
            <w:pPr>
              <w:jc w:val="center"/>
              <w:rPr>
                <w:rFonts w:ascii="宋体" w:hAnsi="宋体"/>
                <w:szCs w:val="21"/>
              </w:rPr>
            </w:pPr>
            <w:r w:rsidRPr="00123108">
              <w:rPr>
                <w:rFonts w:ascii="宋体" w:hAnsi="宋体" w:hint="eastAsia"/>
                <w:szCs w:val="21"/>
              </w:rPr>
              <w:t>功率</w:t>
            </w:r>
          </w:p>
        </w:tc>
        <w:tc>
          <w:tcPr>
            <w:tcW w:w="609" w:type="pct"/>
            <w:vAlign w:val="center"/>
          </w:tcPr>
          <w:p w:rsidR="004F34D9" w:rsidRPr="00123108" w:rsidRDefault="004F34D9">
            <w:pPr>
              <w:jc w:val="center"/>
              <w:rPr>
                <w:rFonts w:ascii="宋体" w:hAnsi="宋体"/>
                <w:szCs w:val="21"/>
              </w:rPr>
            </w:pPr>
            <w:r w:rsidRPr="00123108">
              <w:rPr>
                <w:rFonts w:ascii="宋体" w:hAnsi="宋体" w:hint="eastAsia"/>
                <w:szCs w:val="21"/>
              </w:rPr>
              <w:t>防爆等级</w:t>
            </w:r>
          </w:p>
        </w:tc>
        <w:tc>
          <w:tcPr>
            <w:tcW w:w="576" w:type="pct"/>
            <w:vAlign w:val="center"/>
          </w:tcPr>
          <w:p w:rsidR="004F34D9" w:rsidRPr="00123108" w:rsidRDefault="004F34D9">
            <w:pPr>
              <w:jc w:val="center"/>
              <w:rPr>
                <w:rFonts w:ascii="宋体" w:hAnsi="宋体"/>
                <w:szCs w:val="21"/>
              </w:rPr>
            </w:pPr>
            <w:r w:rsidRPr="00123108">
              <w:rPr>
                <w:rFonts w:ascii="宋体" w:hAnsi="宋体" w:hint="eastAsia"/>
                <w:szCs w:val="21"/>
              </w:rPr>
              <w:t>操作温度/℃</w:t>
            </w:r>
          </w:p>
        </w:tc>
      </w:tr>
      <w:tr w:rsidR="004F34D9" w:rsidRPr="00123108">
        <w:trPr>
          <w:cantSplit/>
          <w:trHeight w:val="340"/>
          <w:jc w:val="center"/>
        </w:trPr>
        <w:tc>
          <w:tcPr>
            <w:tcW w:w="455" w:type="pct"/>
            <w:vAlign w:val="center"/>
          </w:tcPr>
          <w:p w:rsidR="004F34D9" w:rsidRPr="00123108" w:rsidRDefault="004F34D9">
            <w:pPr>
              <w:jc w:val="center"/>
              <w:rPr>
                <w:rFonts w:ascii="宋体" w:hAnsi="宋体"/>
                <w:szCs w:val="21"/>
              </w:rPr>
            </w:pPr>
            <w:r w:rsidRPr="00123108">
              <w:rPr>
                <w:rFonts w:ascii="宋体" w:hAnsi="宋体"/>
                <w:szCs w:val="21"/>
              </w:rPr>
              <w:t>P-101DF</w:t>
            </w:r>
          </w:p>
        </w:tc>
        <w:tc>
          <w:tcPr>
            <w:tcW w:w="570" w:type="pct"/>
            <w:vAlign w:val="center"/>
          </w:tcPr>
          <w:p w:rsidR="004F34D9" w:rsidRPr="00123108" w:rsidRDefault="004F34D9">
            <w:pPr>
              <w:jc w:val="center"/>
              <w:rPr>
                <w:rFonts w:ascii="宋体" w:hAnsi="宋体"/>
                <w:szCs w:val="21"/>
              </w:rPr>
            </w:pPr>
            <w:r w:rsidRPr="00123108">
              <w:rPr>
                <w:rFonts w:ascii="宋体" w:hAnsi="宋体" w:hint="eastAsia"/>
                <w:szCs w:val="21"/>
              </w:rPr>
              <w:t>苯乙烯卸货泵</w:t>
            </w:r>
          </w:p>
        </w:tc>
        <w:tc>
          <w:tcPr>
            <w:tcW w:w="613" w:type="pct"/>
            <w:vAlign w:val="center"/>
          </w:tcPr>
          <w:p w:rsidR="004F34D9" w:rsidRPr="00123108" w:rsidRDefault="004F34D9">
            <w:pPr>
              <w:jc w:val="center"/>
              <w:rPr>
                <w:rFonts w:ascii="宋体" w:hAnsi="宋体"/>
                <w:szCs w:val="21"/>
              </w:rPr>
            </w:pPr>
            <w:r w:rsidRPr="00123108">
              <w:rPr>
                <w:rFonts w:ascii="宋体" w:hAnsi="宋体" w:hint="eastAsia"/>
                <w:szCs w:val="21"/>
              </w:rPr>
              <w:t>IMC100-160L</w:t>
            </w:r>
          </w:p>
        </w:tc>
        <w:tc>
          <w:tcPr>
            <w:tcW w:w="450" w:type="pct"/>
            <w:vAlign w:val="center"/>
          </w:tcPr>
          <w:p w:rsidR="004F34D9" w:rsidRPr="00123108" w:rsidRDefault="004F34D9">
            <w:pPr>
              <w:jc w:val="center"/>
              <w:rPr>
                <w:rFonts w:ascii="宋体" w:hAnsi="宋体"/>
                <w:szCs w:val="21"/>
              </w:rPr>
            </w:pPr>
            <w:r w:rsidRPr="00123108">
              <w:rPr>
                <w:rFonts w:ascii="宋体" w:hAnsi="宋体" w:hint="eastAsia"/>
                <w:szCs w:val="21"/>
              </w:rPr>
              <w:t>100</w:t>
            </w:r>
          </w:p>
        </w:tc>
        <w:tc>
          <w:tcPr>
            <w:tcW w:w="451" w:type="pct"/>
            <w:vAlign w:val="center"/>
          </w:tcPr>
          <w:p w:rsidR="004F34D9" w:rsidRPr="00123108" w:rsidRDefault="004F34D9">
            <w:pPr>
              <w:jc w:val="center"/>
              <w:rPr>
                <w:rFonts w:ascii="宋体" w:hAnsi="宋体"/>
                <w:szCs w:val="21"/>
              </w:rPr>
            </w:pPr>
            <w:r w:rsidRPr="00123108">
              <w:rPr>
                <w:rFonts w:ascii="宋体" w:hAnsi="宋体" w:hint="eastAsia"/>
                <w:szCs w:val="21"/>
              </w:rPr>
              <w:t>32</w:t>
            </w:r>
          </w:p>
        </w:tc>
        <w:tc>
          <w:tcPr>
            <w:tcW w:w="437" w:type="pct"/>
            <w:vAlign w:val="center"/>
          </w:tcPr>
          <w:p w:rsidR="004F34D9" w:rsidRPr="00123108" w:rsidRDefault="004F34D9">
            <w:pPr>
              <w:jc w:val="center"/>
              <w:rPr>
                <w:rFonts w:ascii="宋体" w:hAnsi="宋体"/>
                <w:szCs w:val="21"/>
              </w:rPr>
            </w:pPr>
            <w:r w:rsidRPr="00123108">
              <w:rPr>
                <w:rFonts w:ascii="宋体" w:hAnsi="宋体"/>
                <w:szCs w:val="21"/>
              </w:rPr>
              <w:t>2</w:t>
            </w:r>
            <w:r w:rsidRPr="00123108">
              <w:rPr>
                <w:rFonts w:ascii="宋体" w:hAnsi="宋体" w:hint="eastAsia"/>
                <w:szCs w:val="21"/>
              </w:rPr>
              <w:t>台</w:t>
            </w:r>
          </w:p>
        </w:tc>
        <w:tc>
          <w:tcPr>
            <w:tcW w:w="425" w:type="pct"/>
            <w:vAlign w:val="center"/>
          </w:tcPr>
          <w:p w:rsidR="004F34D9" w:rsidRPr="00123108" w:rsidRDefault="004F34D9">
            <w:pPr>
              <w:jc w:val="center"/>
              <w:rPr>
                <w:rFonts w:ascii="宋体" w:hAnsi="宋体"/>
                <w:szCs w:val="21"/>
              </w:rPr>
            </w:pPr>
            <w:r w:rsidRPr="00123108">
              <w:rPr>
                <w:rFonts w:ascii="宋体" w:hAnsi="宋体"/>
                <w:szCs w:val="21"/>
              </w:rPr>
              <w:t>CS</w:t>
            </w:r>
          </w:p>
        </w:tc>
        <w:tc>
          <w:tcPr>
            <w:tcW w:w="416" w:type="pct"/>
            <w:vAlign w:val="center"/>
          </w:tcPr>
          <w:p w:rsidR="004F34D9" w:rsidRPr="00123108" w:rsidRDefault="004F34D9">
            <w:pPr>
              <w:jc w:val="center"/>
              <w:rPr>
                <w:rFonts w:ascii="宋体" w:hAnsi="宋体"/>
                <w:szCs w:val="21"/>
              </w:rPr>
            </w:pPr>
            <w:r w:rsidRPr="00123108">
              <w:rPr>
                <w:rFonts w:ascii="宋体" w:hAnsi="宋体"/>
                <w:szCs w:val="21"/>
              </w:rPr>
              <w:t>1</w:t>
            </w:r>
            <w:r w:rsidRPr="00123108">
              <w:rPr>
                <w:rFonts w:ascii="宋体" w:hAnsi="宋体" w:hint="eastAsia"/>
                <w:szCs w:val="21"/>
              </w:rPr>
              <w:t>8.5</w:t>
            </w:r>
            <w:r w:rsidRPr="00123108">
              <w:rPr>
                <w:rFonts w:ascii="宋体" w:hAnsi="宋体"/>
                <w:szCs w:val="21"/>
              </w:rPr>
              <w:t>KW</w:t>
            </w:r>
          </w:p>
        </w:tc>
        <w:tc>
          <w:tcPr>
            <w:tcW w:w="609" w:type="pct"/>
            <w:vAlign w:val="center"/>
          </w:tcPr>
          <w:p w:rsidR="004F34D9" w:rsidRPr="00123108" w:rsidRDefault="004F34D9">
            <w:pPr>
              <w:jc w:val="center"/>
              <w:rPr>
                <w:rFonts w:ascii="宋体" w:hAnsi="宋体"/>
                <w:szCs w:val="21"/>
              </w:rPr>
            </w:pPr>
            <w:r w:rsidRPr="00123108">
              <w:rPr>
                <w:rFonts w:ascii="宋体" w:hAnsi="宋体" w:hint="eastAsia"/>
                <w:szCs w:val="21"/>
              </w:rPr>
              <w:t>马达</w:t>
            </w:r>
            <w:r w:rsidRPr="00123108">
              <w:rPr>
                <w:rFonts w:ascii="宋体" w:hAnsi="宋体"/>
                <w:szCs w:val="21"/>
              </w:rPr>
              <w:t>dIIBT4</w:t>
            </w:r>
          </w:p>
        </w:tc>
        <w:tc>
          <w:tcPr>
            <w:tcW w:w="576" w:type="pct"/>
            <w:vAlign w:val="center"/>
          </w:tcPr>
          <w:p w:rsidR="004F34D9" w:rsidRPr="00123108" w:rsidRDefault="004F34D9">
            <w:pPr>
              <w:jc w:val="center"/>
              <w:rPr>
                <w:rFonts w:ascii="宋体" w:hAnsi="宋体"/>
                <w:szCs w:val="21"/>
              </w:rPr>
            </w:pPr>
            <w:r w:rsidRPr="00123108">
              <w:rPr>
                <w:rFonts w:ascii="宋体" w:hAnsi="宋体" w:hint="eastAsia"/>
                <w:szCs w:val="21"/>
              </w:rPr>
              <w:t>常温</w:t>
            </w:r>
          </w:p>
        </w:tc>
      </w:tr>
      <w:tr w:rsidR="004F34D9" w:rsidRPr="00123108">
        <w:trPr>
          <w:cantSplit/>
          <w:trHeight w:val="340"/>
          <w:jc w:val="center"/>
        </w:trPr>
        <w:tc>
          <w:tcPr>
            <w:tcW w:w="455" w:type="pct"/>
            <w:vAlign w:val="center"/>
          </w:tcPr>
          <w:p w:rsidR="004F34D9" w:rsidRPr="00123108" w:rsidRDefault="004F34D9">
            <w:pPr>
              <w:jc w:val="center"/>
              <w:rPr>
                <w:rFonts w:ascii="宋体" w:hAnsi="宋体"/>
                <w:szCs w:val="21"/>
              </w:rPr>
            </w:pPr>
            <w:r w:rsidRPr="00123108">
              <w:rPr>
                <w:rFonts w:ascii="宋体" w:hAnsi="宋体"/>
                <w:szCs w:val="21"/>
              </w:rPr>
              <w:t>P-101EG</w:t>
            </w:r>
          </w:p>
        </w:tc>
        <w:tc>
          <w:tcPr>
            <w:tcW w:w="570" w:type="pct"/>
            <w:vAlign w:val="center"/>
          </w:tcPr>
          <w:p w:rsidR="004F34D9" w:rsidRPr="00123108" w:rsidRDefault="004F34D9">
            <w:pPr>
              <w:jc w:val="center"/>
              <w:rPr>
                <w:rFonts w:ascii="宋体" w:hAnsi="宋体"/>
                <w:szCs w:val="21"/>
              </w:rPr>
            </w:pPr>
            <w:r w:rsidRPr="00123108">
              <w:rPr>
                <w:rFonts w:ascii="宋体" w:hAnsi="宋体" w:hint="eastAsia"/>
                <w:szCs w:val="21"/>
              </w:rPr>
              <w:t>苯乙烯打料泵</w:t>
            </w:r>
          </w:p>
        </w:tc>
        <w:tc>
          <w:tcPr>
            <w:tcW w:w="613" w:type="pct"/>
            <w:vAlign w:val="center"/>
          </w:tcPr>
          <w:p w:rsidR="004F34D9" w:rsidRPr="00123108" w:rsidRDefault="004F34D9">
            <w:pPr>
              <w:jc w:val="center"/>
              <w:rPr>
                <w:rFonts w:ascii="宋体" w:hAnsi="宋体"/>
                <w:szCs w:val="21"/>
              </w:rPr>
            </w:pPr>
            <w:r w:rsidRPr="00123108">
              <w:rPr>
                <w:rFonts w:ascii="宋体" w:hAnsi="宋体"/>
                <w:szCs w:val="21"/>
              </w:rPr>
              <w:t>MC100-160L</w:t>
            </w:r>
          </w:p>
        </w:tc>
        <w:tc>
          <w:tcPr>
            <w:tcW w:w="450" w:type="pct"/>
            <w:vAlign w:val="center"/>
          </w:tcPr>
          <w:p w:rsidR="004F34D9" w:rsidRPr="00123108" w:rsidRDefault="004F34D9">
            <w:pPr>
              <w:jc w:val="center"/>
              <w:rPr>
                <w:rFonts w:ascii="宋体" w:hAnsi="宋体"/>
                <w:szCs w:val="21"/>
              </w:rPr>
            </w:pPr>
            <w:r w:rsidRPr="00123108">
              <w:rPr>
                <w:rFonts w:ascii="宋体" w:hAnsi="宋体"/>
                <w:szCs w:val="21"/>
              </w:rPr>
              <w:t>100</w:t>
            </w:r>
          </w:p>
        </w:tc>
        <w:tc>
          <w:tcPr>
            <w:tcW w:w="451" w:type="pct"/>
            <w:vAlign w:val="center"/>
          </w:tcPr>
          <w:p w:rsidR="004F34D9" w:rsidRPr="00123108" w:rsidRDefault="004F34D9">
            <w:pPr>
              <w:jc w:val="center"/>
              <w:rPr>
                <w:rFonts w:ascii="宋体" w:hAnsi="宋体"/>
                <w:szCs w:val="21"/>
              </w:rPr>
            </w:pPr>
            <w:r w:rsidRPr="00123108">
              <w:rPr>
                <w:rFonts w:ascii="宋体" w:hAnsi="宋体"/>
                <w:szCs w:val="21"/>
              </w:rPr>
              <w:t>32</w:t>
            </w:r>
          </w:p>
        </w:tc>
        <w:tc>
          <w:tcPr>
            <w:tcW w:w="437" w:type="pct"/>
            <w:vAlign w:val="center"/>
          </w:tcPr>
          <w:p w:rsidR="004F34D9" w:rsidRPr="00123108" w:rsidRDefault="004F34D9">
            <w:pPr>
              <w:jc w:val="center"/>
              <w:rPr>
                <w:rFonts w:ascii="宋体" w:hAnsi="宋体"/>
                <w:szCs w:val="21"/>
              </w:rPr>
            </w:pPr>
            <w:r w:rsidRPr="00123108">
              <w:rPr>
                <w:rFonts w:ascii="宋体" w:hAnsi="宋体"/>
                <w:szCs w:val="21"/>
              </w:rPr>
              <w:t>2</w:t>
            </w:r>
            <w:r w:rsidRPr="00123108">
              <w:rPr>
                <w:rFonts w:ascii="宋体" w:hAnsi="宋体" w:hint="eastAsia"/>
                <w:szCs w:val="21"/>
              </w:rPr>
              <w:t>台</w:t>
            </w:r>
          </w:p>
        </w:tc>
        <w:tc>
          <w:tcPr>
            <w:tcW w:w="425" w:type="pct"/>
            <w:vAlign w:val="center"/>
          </w:tcPr>
          <w:p w:rsidR="004F34D9" w:rsidRPr="00123108" w:rsidRDefault="004F34D9">
            <w:pPr>
              <w:jc w:val="center"/>
              <w:rPr>
                <w:rFonts w:ascii="宋体" w:hAnsi="宋体"/>
                <w:szCs w:val="21"/>
              </w:rPr>
            </w:pPr>
            <w:r w:rsidRPr="00123108">
              <w:rPr>
                <w:rFonts w:ascii="宋体" w:hAnsi="宋体"/>
                <w:szCs w:val="21"/>
              </w:rPr>
              <w:t>CS</w:t>
            </w:r>
          </w:p>
        </w:tc>
        <w:tc>
          <w:tcPr>
            <w:tcW w:w="416" w:type="pct"/>
            <w:vAlign w:val="center"/>
          </w:tcPr>
          <w:p w:rsidR="004F34D9" w:rsidRPr="00123108" w:rsidRDefault="004F34D9">
            <w:pPr>
              <w:jc w:val="center"/>
              <w:rPr>
                <w:rFonts w:ascii="宋体" w:hAnsi="宋体"/>
                <w:szCs w:val="21"/>
              </w:rPr>
            </w:pPr>
            <w:r w:rsidRPr="00123108">
              <w:rPr>
                <w:rFonts w:ascii="宋体" w:hAnsi="宋体"/>
                <w:szCs w:val="21"/>
              </w:rPr>
              <w:t>1</w:t>
            </w:r>
            <w:r w:rsidRPr="00123108">
              <w:rPr>
                <w:rFonts w:ascii="宋体" w:hAnsi="宋体" w:hint="eastAsia"/>
                <w:szCs w:val="21"/>
              </w:rPr>
              <w:t>8.5</w:t>
            </w:r>
            <w:r w:rsidRPr="00123108">
              <w:rPr>
                <w:rFonts w:ascii="宋体" w:hAnsi="宋体"/>
                <w:szCs w:val="21"/>
              </w:rPr>
              <w:t>KW</w:t>
            </w:r>
          </w:p>
        </w:tc>
        <w:tc>
          <w:tcPr>
            <w:tcW w:w="609" w:type="pct"/>
            <w:vAlign w:val="center"/>
          </w:tcPr>
          <w:p w:rsidR="004F34D9" w:rsidRPr="00123108" w:rsidRDefault="004F34D9">
            <w:pPr>
              <w:jc w:val="center"/>
              <w:rPr>
                <w:rFonts w:ascii="宋体" w:hAnsi="宋体"/>
                <w:szCs w:val="21"/>
              </w:rPr>
            </w:pPr>
            <w:r w:rsidRPr="00123108">
              <w:rPr>
                <w:rFonts w:ascii="宋体" w:hAnsi="宋体" w:hint="eastAsia"/>
                <w:szCs w:val="21"/>
              </w:rPr>
              <w:t>马达</w:t>
            </w:r>
            <w:r w:rsidRPr="00123108">
              <w:rPr>
                <w:rFonts w:ascii="宋体" w:hAnsi="宋体"/>
                <w:szCs w:val="21"/>
              </w:rPr>
              <w:t>dIIBT4</w:t>
            </w:r>
          </w:p>
        </w:tc>
        <w:tc>
          <w:tcPr>
            <w:tcW w:w="576" w:type="pct"/>
            <w:vAlign w:val="center"/>
          </w:tcPr>
          <w:p w:rsidR="004F34D9" w:rsidRPr="00123108" w:rsidRDefault="004F34D9">
            <w:pPr>
              <w:jc w:val="center"/>
              <w:rPr>
                <w:rFonts w:ascii="宋体" w:hAnsi="宋体"/>
                <w:szCs w:val="21"/>
              </w:rPr>
            </w:pPr>
            <w:r w:rsidRPr="00123108">
              <w:rPr>
                <w:rFonts w:ascii="宋体" w:hAnsi="宋体" w:hint="eastAsia"/>
                <w:szCs w:val="21"/>
              </w:rPr>
              <w:t>常温</w:t>
            </w:r>
          </w:p>
        </w:tc>
      </w:tr>
      <w:tr w:rsidR="004F34D9" w:rsidRPr="00123108">
        <w:trPr>
          <w:cantSplit/>
          <w:trHeight w:val="340"/>
          <w:jc w:val="center"/>
        </w:trPr>
        <w:tc>
          <w:tcPr>
            <w:tcW w:w="455" w:type="pct"/>
            <w:vAlign w:val="center"/>
          </w:tcPr>
          <w:p w:rsidR="004F34D9" w:rsidRPr="00123108" w:rsidRDefault="004F34D9">
            <w:pPr>
              <w:jc w:val="center"/>
              <w:rPr>
                <w:rFonts w:ascii="宋体" w:hAnsi="宋体"/>
                <w:szCs w:val="21"/>
              </w:rPr>
            </w:pPr>
            <w:r w:rsidRPr="00123108">
              <w:rPr>
                <w:rFonts w:ascii="宋体" w:hAnsi="宋体"/>
                <w:szCs w:val="21"/>
              </w:rPr>
              <w:t>P-102C</w:t>
            </w:r>
          </w:p>
        </w:tc>
        <w:tc>
          <w:tcPr>
            <w:tcW w:w="570" w:type="pct"/>
            <w:vAlign w:val="center"/>
          </w:tcPr>
          <w:p w:rsidR="004F34D9" w:rsidRPr="00123108" w:rsidRDefault="004F34D9">
            <w:pPr>
              <w:jc w:val="center"/>
              <w:rPr>
                <w:rFonts w:ascii="宋体" w:hAnsi="宋体"/>
                <w:szCs w:val="21"/>
              </w:rPr>
            </w:pPr>
            <w:r w:rsidRPr="00123108">
              <w:rPr>
                <w:rFonts w:ascii="宋体" w:hAnsi="宋体" w:hint="eastAsia"/>
                <w:szCs w:val="21"/>
              </w:rPr>
              <w:t>戊烷卸货泵</w:t>
            </w:r>
          </w:p>
        </w:tc>
        <w:tc>
          <w:tcPr>
            <w:tcW w:w="613" w:type="pct"/>
            <w:vAlign w:val="center"/>
          </w:tcPr>
          <w:p w:rsidR="004F34D9" w:rsidRPr="00123108" w:rsidRDefault="004F34D9">
            <w:pPr>
              <w:jc w:val="center"/>
              <w:rPr>
                <w:rFonts w:ascii="宋体" w:hAnsi="宋体"/>
                <w:szCs w:val="21"/>
              </w:rPr>
            </w:pPr>
            <w:r w:rsidRPr="00123108">
              <w:rPr>
                <w:rFonts w:ascii="宋体" w:hAnsi="宋体" w:hint="eastAsia"/>
                <w:szCs w:val="21"/>
              </w:rPr>
              <w:t>LYB80-40/60</w:t>
            </w:r>
          </w:p>
        </w:tc>
        <w:tc>
          <w:tcPr>
            <w:tcW w:w="450" w:type="pct"/>
            <w:vAlign w:val="center"/>
          </w:tcPr>
          <w:p w:rsidR="004F34D9" w:rsidRPr="00123108" w:rsidRDefault="004F34D9">
            <w:pPr>
              <w:jc w:val="center"/>
              <w:rPr>
                <w:rFonts w:ascii="宋体" w:hAnsi="宋体"/>
                <w:szCs w:val="21"/>
              </w:rPr>
            </w:pPr>
            <w:r w:rsidRPr="00123108">
              <w:rPr>
                <w:rFonts w:ascii="宋体" w:hAnsi="宋体" w:hint="eastAsia"/>
                <w:szCs w:val="21"/>
              </w:rPr>
              <w:t>40</w:t>
            </w:r>
          </w:p>
        </w:tc>
        <w:tc>
          <w:tcPr>
            <w:tcW w:w="451" w:type="pct"/>
            <w:vAlign w:val="center"/>
          </w:tcPr>
          <w:p w:rsidR="004F34D9" w:rsidRPr="00123108" w:rsidRDefault="004F34D9">
            <w:pPr>
              <w:jc w:val="center"/>
              <w:rPr>
                <w:rFonts w:ascii="宋体" w:hAnsi="宋体"/>
                <w:szCs w:val="21"/>
              </w:rPr>
            </w:pPr>
          </w:p>
        </w:tc>
        <w:tc>
          <w:tcPr>
            <w:tcW w:w="437" w:type="pct"/>
            <w:vAlign w:val="center"/>
          </w:tcPr>
          <w:p w:rsidR="004F34D9" w:rsidRPr="00123108" w:rsidRDefault="004F34D9">
            <w:pPr>
              <w:jc w:val="center"/>
              <w:rPr>
                <w:rFonts w:ascii="宋体" w:hAnsi="宋体"/>
                <w:szCs w:val="21"/>
              </w:rPr>
            </w:pPr>
            <w:r w:rsidRPr="00123108">
              <w:rPr>
                <w:rFonts w:ascii="宋体" w:hAnsi="宋体"/>
                <w:szCs w:val="21"/>
              </w:rPr>
              <w:t>1</w:t>
            </w:r>
            <w:r w:rsidRPr="00123108">
              <w:rPr>
                <w:rFonts w:ascii="宋体" w:hAnsi="宋体" w:hint="eastAsia"/>
                <w:szCs w:val="21"/>
              </w:rPr>
              <w:t>台</w:t>
            </w:r>
          </w:p>
        </w:tc>
        <w:tc>
          <w:tcPr>
            <w:tcW w:w="425" w:type="pct"/>
            <w:vAlign w:val="center"/>
          </w:tcPr>
          <w:p w:rsidR="004F34D9" w:rsidRPr="00123108" w:rsidRDefault="004F34D9">
            <w:pPr>
              <w:jc w:val="center"/>
              <w:rPr>
                <w:rFonts w:ascii="宋体" w:hAnsi="宋体"/>
                <w:szCs w:val="21"/>
              </w:rPr>
            </w:pPr>
            <w:r w:rsidRPr="00123108">
              <w:rPr>
                <w:rFonts w:ascii="宋体" w:hAnsi="宋体"/>
                <w:szCs w:val="21"/>
              </w:rPr>
              <w:t>CS</w:t>
            </w:r>
          </w:p>
        </w:tc>
        <w:tc>
          <w:tcPr>
            <w:tcW w:w="416" w:type="pct"/>
            <w:vAlign w:val="center"/>
          </w:tcPr>
          <w:p w:rsidR="004F34D9" w:rsidRPr="00123108" w:rsidRDefault="004F34D9">
            <w:pPr>
              <w:jc w:val="center"/>
              <w:rPr>
                <w:rFonts w:ascii="宋体" w:hAnsi="宋体"/>
                <w:szCs w:val="21"/>
              </w:rPr>
            </w:pPr>
            <w:r w:rsidRPr="00123108">
              <w:rPr>
                <w:rFonts w:ascii="宋体" w:hAnsi="宋体" w:hint="eastAsia"/>
                <w:szCs w:val="21"/>
              </w:rPr>
              <w:t>5.6</w:t>
            </w:r>
            <w:r w:rsidRPr="00123108">
              <w:rPr>
                <w:rFonts w:ascii="宋体" w:hAnsi="宋体"/>
                <w:szCs w:val="21"/>
              </w:rPr>
              <w:t>KW</w:t>
            </w:r>
          </w:p>
        </w:tc>
        <w:tc>
          <w:tcPr>
            <w:tcW w:w="609" w:type="pct"/>
            <w:vAlign w:val="center"/>
          </w:tcPr>
          <w:p w:rsidR="004F34D9" w:rsidRPr="00123108" w:rsidRDefault="004F34D9">
            <w:pPr>
              <w:jc w:val="center"/>
              <w:rPr>
                <w:rFonts w:ascii="宋体" w:hAnsi="宋体"/>
                <w:szCs w:val="21"/>
              </w:rPr>
            </w:pPr>
            <w:r w:rsidRPr="00123108">
              <w:rPr>
                <w:rFonts w:ascii="宋体" w:hAnsi="宋体" w:hint="eastAsia"/>
                <w:szCs w:val="21"/>
              </w:rPr>
              <w:t>马达</w:t>
            </w:r>
            <w:r w:rsidRPr="00123108">
              <w:rPr>
                <w:rFonts w:ascii="宋体" w:hAnsi="宋体"/>
                <w:szCs w:val="21"/>
              </w:rPr>
              <w:t>d11BT4</w:t>
            </w:r>
          </w:p>
        </w:tc>
        <w:tc>
          <w:tcPr>
            <w:tcW w:w="576" w:type="pct"/>
            <w:vAlign w:val="center"/>
          </w:tcPr>
          <w:p w:rsidR="004F34D9" w:rsidRPr="00123108" w:rsidRDefault="004F34D9">
            <w:pPr>
              <w:jc w:val="center"/>
              <w:rPr>
                <w:rFonts w:ascii="宋体" w:hAnsi="宋体"/>
                <w:szCs w:val="21"/>
              </w:rPr>
            </w:pPr>
            <w:r w:rsidRPr="00123108">
              <w:rPr>
                <w:rFonts w:ascii="宋体" w:hAnsi="宋体" w:hint="eastAsia"/>
                <w:szCs w:val="21"/>
              </w:rPr>
              <w:t>常温</w:t>
            </w:r>
          </w:p>
        </w:tc>
      </w:tr>
      <w:tr w:rsidR="004F34D9" w:rsidRPr="00123108">
        <w:trPr>
          <w:cantSplit/>
          <w:trHeight w:val="340"/>
          <w:jc w:val="center"/>
        </w:trPr>
        <w:tc>
          <w:tcPr>
            <w:tcW w:w="455" w:type="pct"/>
            <w:vAlign w:val="center"/>
          </w:tcPr>
          <w:p w:rsidR="004F34D9" w:rsidRPr="00123108" w:rsidRDefault="004F34D9">
            <w:pPr>
              <w:jc w:val="center"/>
              <w:rPr>
                <w:rFonts w:ascii="宋体" w:hAnsi="宋体"/>
                <w:szCs w:val="21"/>
              </w:rPr>
            </w:pPr>
            <w:r w:rsidRPr="00123108">
              <w:rPr>
                <w:rFonts w:ascii="宋体" w:hAnsi="宋体"/>
                <w:szCs w:val="21"/>
              </w:rPr>
              <w:t>P-102ABDE</w:t>
            </w:r>
          </w:p>
        </w:tc>
        <w:tc>
          <w:tcPr>
            <w:tcW w:w="570" w:type="pct"/>
            <w:vAlign w:val="center"/>
          </w:tcPr>
          <w:p w:rsidR="004F34D9" w:rsidRPr="00123108" w:rsidRDefault="004F34D9">
            <w:pPr>
              <w:jc w:val="center"/>
              <w:rPr>
                <w:rFonts w:ascii="宋体" w:hAnsi="宋体"/>
                <w:szCs w:val="21"/>
              </w:rPr>
            </w:pPr>
            <w:r w:rsidRPr="00123108">
              <w:rPr>
                <w:rFonts w:ascii="宋体" w:hAnsi="宋体" w:hint="eastAsia"/>
                <w:szCs w:val="21"/>
              </w:rPr>
              <w:t>戊烷打料泵</w:t>
            </w:r>
          </w:p>
        </w:tc>
        <w:tc>
          <w:tcPr>
            <w:tcW w:w="613" w:type="pct"/>
            <w:vAlign w:val="center"/>
          </w:tcPr>
          <w:p w:rsidR="004F34D9" w:rsidRPr="00123108" w:rsidRDefault="004F34D9">
            <w:pPr>
              <w:jc w:val="center"/>
              <w:rPr>
                <w:rFonts w:ascii="宋体" w:hAnsi="宋体"/>
                <w:szCs w:val="21"/>
              </w:rPr>
            </w:pPr>
            <w:r w:rsidRPr="00123108">
              <w:rPr>
                <w:rFonts w:ascii="宋体" w:hAnsi="宋体" w:hint="eastAsia"/>
                <w:szCs w:val="21"/>
              </w:rPr>
              <w:t>VSP-65A-304</w:t>
            </w:r>
          </w:p>
        </w:tc>
        <w:tc>
          <w:tcPr>
            <w:tcW w:w="450" w:type="pct"/>
            <w:vAlign w:val="center"/>
          </w:tcPr>
          <w:p w:rsidR="004F34D9" w:rsidRPr="00123108" w:rsidRDefault="004F34D9">
            <w:pPr>
              <w:jc w:val="center"/>
              <w:rPr>
                <w:rFonts w:ascii="宋体" w:hAnsi="宋体"/>
                <w:szCs w:val="21"/>
              </w:rPr>
            </w:pPr>
            <w:r w:rsidRPr="00123108">
              <w:rPr>
                <w:rFonts w:ascii="宋体" w:hAnsi="宋体" w:hint="eastAsia"/>
                <w:szCs w:val="21"/>
              </w:rPr>
              <w:t>35-50</w:t>
            </w:r>
          </w:p>
        </w:tc>
        <w:tc>
          <w:tcPr>
            <w:tcW w:w="451" w:type="pct"/>
            <w:vAlign w:val="center"/>
          </w:tcPr>
          <w:p w:rsidR="004F34D9" w:rsidRPr="00123108" w:rsidRDefault="004F34D9">
            <w:pPr>
              <w:jc w:val="center"/>
              <w:rPr>
                <w:rFonts w:ascii="宋体" w:hAnsi="宋体"/>
                <w:szCs w:val="21"/>
              </w:rPr>
            </w:pPr>
            <w:r w:rsidRPr="00123108">
              <w:rPr>
                <w:rFonts w:ascii="宋体" w:hAnsi="宋体" w:hint="eastAsia"/>
                <w:szCs w:val="21"/>
              </w:rPr>
              <w:t>8.4-31</w:t>
            </w:r>
          </w:p>
        </w:tc>
        <w:tc>
          <w:tcPr>
            <w:tcW w:w="437" w:type="pct"/>
            <w:vAlign w:val="center"/>
          </w:tcPr>
          <w:p w:rsidR="004F34D9" w:rsidRPr="00123108" w:rsidRDefault="004F34D9">
            <w:pPr>
              <w:jc w:val="center"/>
              <w:rPr>
                <w:rFonts w:ascii="宋体" w:hAnsi="宋体"/>
                <w:szCs w:val="21"/>
              </w:rPr>
            </w:pPr>
            <w:r w:rsidRPr="00123108">
              <w:rPr>
                <w:rFonts w:ascii="宋体" w:hAnsi="宋体"/>
                <w:szCs w:val="21"/>
              </w:rPr>
              <w:t>5</w:t>
            </w:r>
            <w:r w:rsidRPr="00123108">
              <w:rPr>
                <w:rFonts w:ascii="宋体" w:hAnsi="宋体" w:hint="eastAsia"/>
                <w:szCs w:val="21"/>
              </w:rPr>
              <w:t>台</w:t>
            </w:r>
          </w:p>
        </w:tc>
        <w:tc>
          <w:tcPr>
            <w:tcW w:w="425" w:type="pct"/>
            <w:vAlign w:val="center"/>
          </w:tcPr>
          <w:p w:rsidR="004F34D9" w:rsidRPr="00123108" w:rsidRDefault="004F34D9">
            <w:pPr>
              <w:jc w:val="center"/>
              <w:rPr>
                <w:rFonts w:ascii="宋体" w:hAnsi="宋体"/>
                <w:szCs w:val="21"/>
              </w:rPr>
            </w:pPr>
            <w:r w:rsidRPr="00123108">
              <w:rPr>
                <w:rFonts w:ascii="宋体" w:hAnsi="宋体"/>
                <w:szCs w:val="21"/>
              </w:rPr>
              <w:t>CS</w:t>
            </w:r>
          </w:p>
        </w:tc>
        <w:tc>
          <w:tcPr>
            <w:tcW w:w="416" w:type="pct"/>
            <w:vAlign w:val="center"/>
          </w:tcPr>
          <w:p w:rsidR="004F34D9" w:rsidRPr="00123108" w:rsidRDefault="004F34D9">
            <w:pPr>
              <w:jc w:val="center"/>
              <w:rPr>
                <w:rFonts w:ascii="宋体" w:hAnsi="宋体"/>
                <w:szCs w:val="21"/>
              </w:rPr>
            </w:pPr>
            <w:r w:rsidRPr="00123108">
              <w:rPr>
                <w:rFonts w:ascii="宋体" w:hAnsi="宋体"/>
                <w:szCs w:val="21"/>
              </w:rPr>
              <w:t>7.5KW</w:t>
            </w:r>
          </w:p>
        </w:tc>
        <w:tc>
          <w:tcPr>
            <w:tcW w:w="609" w:type="pct"/>
            <w:vAlign w:val="center"/>
          </w:tcPr>
          <w:p w:rsidR="004F34D9" w:rsidRPr="00123108" w:rsidRDefault="004F34D9">
            <w:pPr>
              <w:jc w:val="center"/>
              <w:rPr>
                <w:rFonts w:ascii="宋体" w:hAnsi="宋体"/>
                <w:szCs w:val="21"/>
              </w:rPr>
            </w:pPr>
            <w:r w:rsidRPr="00123108">
              <w:rPr>
                <w:rFonts w:ascii="宋体" w:hAnsi="宋体" w:hint="eastAsia"/>
                <w:szCs w:val="21"/>
              </w:rPr>
              <w:t>马达</w:t>
            </w:r>
            <w:r w:rsidRPr="00123108">
              <w:rPr>
                <w:rFonts w:ascii="宋体" w:hAnsi="宋体"/>
                <w:szCs w:val="21"/>
              </w:rPr>
              <w:t>d11BT4</w:t>
            </w:r>
          </w:p>
        </w:tc>
        <w:tc>
          <w:tcPr>
            <w:tcW w:w="576" w:type="pct"/>
            <w:vAlign w:val="center"/>
          </w:tcPr>
          <w:p w:rsidR="004F34D9" w:rsidRPr="00123108" w:rsidRDefault="004F34D9">
            <w:pPr>
              <w:jc w:val="center"/>
              <w:rPr>
                <w:rFonts w:ascii="宋体" w:hAnsi="宋体"/>
                <w:szCs w:val="21"/>
              </w:rPr>
            </w:pPr>
            <w:r w:rsidRPr="00123108">
              <w:rPr>
                <w:rFonts w:ascii="宋体" w:hAnsi="宋体" w:hint="eastAsia"/>
                <w:szCs w:val="21"/>
              </w:rPr>
              <w:t>常温</w:t>
            </w:r>
          </w:p>
        </w:tc>
      </w:tr>
      <w:tr w:rsidR="004F34D9" w:rsidRPr="00123108">
        <w:trPr>
          <w:cantSplit/>
          <w:trHeight w:val="340"/>
          <w:jc w:val="center"/>
        </w:trPr>
        <w:tc>
          <w:tcPr>
            <w:tcW w:w="455" w:type="pct"/>
            <w:vAlign w:val="center"/>
          </w:tcPr>
          <w:p w:rsidR="004F34D9" w:rsidRPr="00123108" w:rsidRDefault="004F34D9">
            <w:pPr>
              <w:jc w:val="center"/>
              <w:rPr>
                <w:rFonts w:ascii="宋体" w:hAnsi="宋体"/>
                <w:szCs w:val="21"/>
              </w:rPr>
            </w:pPr>
            <w:r w:rsidRPr="00123108">
              <w:rPr>
                <w:rFonts w:ascii="宋体" w:hAnsi="宋体"/>
                <w:szCs w:val="21"/>
              </w:rPr>
              <w:t>P-104AC</w:t>
            </w:r>
          </w:p>
        </w:tc>
        <w:tc>
          <w:tcPr>
            <w:tcW w:w="570" w:type="pct"/>
            <w:vAlign w:val="center"/>
          </w:tcPr>
          <w:p w:rsidR="004F34D9" w:rsidRPr="00123108" w:rsidRDefault="004F34D9">
            <w:pPr>
              <w:jc w:val="center"/>
              <w:rPr>
                <w:rFonts w:ascii="宋体" w:hAnsi="宋体"/>
                <w:szCs w:val="21"/>
              </w:rPr>
            </w:pPr>
            <w:r w:rsidRPr="00123108">
              <w:rPr>
                <w:rFonts w:ascii="宋体" w:hAnsi="宋体" w:hint="eastAsia"/>
                <w:szCs w:val="21"/>
              </w:rPr>
              <w:t>二甲苯卸货泵</w:t>
            </w:r>
          </w:p>
        </w:tc>
        <w:tc>
          <w:tcPr>
            <w:tcW w:w="613" w:type="pct"/>
            <w:vAlign w:val="center"/>
          </w:tcPr>
          <w:p w:rsidR="004F34D9" w:rsidRPr="00123108" w:rsidRDefault="004F34D9">
            <w:pPr>
              <w:jc w:val="center"/>
              <w:rPr>
                <w:rFonts w:ascii="宋体" w:hAnsi="宋体"/>
                <w:szCs w:val="21"/>
              </w:rPr>
            </w:pPr>
            <w:r w:rsidRPr="00123108">
              <w:rPr>
                <w:rFonts w:ascii="宋体" w:hAnsi="宋体" w:hint="eastAsia"/>
                <w:szCs w:val="21"/>
              </w:rPr>
              <w:t>IMC65-125L</w:t>
            </w:r>
          </w:p>
        </w:tc>
        <w:tc>
          <w:tcPr>
            <w:tcW w:w="450" w:type="pct"/>
            <w:vAlign w:val="center"/>
          </w:tcPr>
          <w:p w:rsidR="004F34D9" w:rsidRPr="00123108" w:rsidRDefault="004F34D9">
            <w:pPr>
              <w:jc w:val="center"/>
              <w:rPr>
                <w:rFonts w:ascii="宋体" w:hAnsi="宋体"/>
                <w:szCs w:val="21"/>
              </w:rPr>
            </w:pPr>
            <w:r w:rsidRPr="00123108">
              <w:rPr>
                <w:rFonts w:ascii="宋体" w:hAnsi="宋体" w:hint="eastAsia"/>
                <w:szCs w:val="21"/>
              </w:rPr>
              <w:t>25</w:t>
            </w:r>
          </w:p>
        </w:tc>
        <w:tc>
          <w:tcPr>
            <w:tcW w:w="451" w:type="pct"/>
            <w:vAlign w:val="center"/>
          </w:tcPr>
          <w:p w:rsidR="004F34D9" w:rsidRPr="00123108" w:rsidRDefault="004F34D9">
            <w:pPr>
              <w:jc w:val="center"/>
              <w:rPr>
                <w:rFonts w:ascii="宋体" w:hAnsi="宋体"/>
                <w:szCs w:val="21"/>
              </w:rPr>
            </w:pPr>
            <w:r w:rsidRPr="00123108">
              <w:rPr>
                <w:rFonts w:ascii="宋体" w:hAnsi="宋体" w:hint="eastAsia"/>
                <w:szCs w:val="21"/>
              </w:rPr>
              <w:t>20</w:t>
            </w:r>
          </w:p>
        </w:tc>
        <w:tc>
          <w:tcPr>
            <w:tcW w:w="437" w:type="pct"/>
            <w:vAlign w:val="center"/>
          </w:tcPr>
          <w:p w:rsidR="004F34D9" w:rsidRPr="00123108" w:rsidRDefault="004F34D9">
            <w:pPr>
              <w:jc w:val="center"/>
              <w:rPr>
                <w:rFonts w:ascii="宋体" w:hAnsi="宋体"/>
                <w:szCs w:val="21"/>
              </w:rPr>
            </w:pPr>
            <w:r w:rsidRPr="00123108">
              <w:rPr>
                <w:rFonts w:ascii="宋体" w:hAnsi="宋体" w:hint="eastAsia"/>
                <w:szCs w:val="21"/>
              </w:rPr>
              <w:t>2台</w:t>
            </w:r>
          </w:p>
        </w:tc>
        <w:tc>
          <w:tcPr>
            <w:tcW w:w="425" w:type="pct"/>
            <w:vAlign w:val="center"/>
          </w:tcPr>
          <w:p w:rsidR="004F34D9" w:rsidRPr="00123108" w:rsidRDefault="004F34D9">
            <w:pPr>
              <w:jc w:val="center"/>
              <w:rPr>
                <w:rFonts w:ascii="宋体" w:hAnsi="宋体"/>
                <w:szCs w:val="21"/>
              </w:rPr>
            </w:pPr>
            <w:r w:rsidRPr="00123108">
              <w:rPr>
                <w:rFonts w:ascii="宋体" w:hAnsi="宋体"/>
                <w:szCs w:val="21"/>
              </w:rPr>
              <w:t>CS</w:t>
            </w:r>
          </w:p>
        </w:tc>
        <w:tc>
          <w:tcPr>
            <w:tcW w:w="416" w:type="pct"/>
            <w:vAlign w:val="center"/>
          </w:tcPr>
          <w:p w:rsidR="004F34D9" w:rsidRPr="00123108" w:rsidRDefault="004F34D9">
            <w:pPr>
              <w:jc w:val="center"/>
              <w:rPr>
                <w:rFonts w:ascii="宋体" w:hAnsi="宋体"/>
                <w:szCs w:val="21"/>
              </w:rPr>
            </w:pPr>
            <w:r w:rsidRPr="00123108">
              <w:rPr>
                <w:rFonts w:ascii="宋体" w:hAnsi="宋体"/>
                <w:szCs w:val="21"/>
              </w:rPr>
              <w:t>5.5KW</w:t>
            </w:r>
          </w:p>
        </w:tc>
        <w:tc>
          <w:tcPr>
            <w:tcW w:w="609" w:type="pct"/>
            <w:vAlign w:val="center"/>
          </w:tcPr>
          <w:p w:rsidR="004F34D9" w:rsidRPr="00123108" w:rsidRDefault="004F34D9">
            <w:pPr>
              <w:jc w:val="center"/>
              <w:rPr>
                <w:rFonts w:ascii="宋体" w:hAnsi="宋体"/>
                <w:szCs w:val="21"/>
              </w:rPr>
            </w:pPr>
            <w:r w:rsidRPr="00123108">
              <w:rPr>
                <w:rFonts w:ascii="宋体" w:hAnsi="宋体" w:hint="eastAsia"/>
                <w:szCs w:val="21"/>
              </w:rPr>
              <w:t>马达</w:t>
            </w:r>
            <w:r w:rsidRPr="00123108">
              <w:rPr>
                <w:rFonts w:ascii="宋体" w:hAnsi="宋体"/>
                <w:szCs w:val="21"/>
              </w:rPr>
              <w:t>d11BT4</w:t>
            </w:r>
          </w:p>
        </w:tc>
        <w:tc>
          <w:tcPr>
            <w:tcW w:w="576" w:type="pct"/>
            <w:vAlign w:val="center"/>
          </w:tcPr>
          <w:p w:rsidR="004F34D9" w:rsidRPr="00123108" w:rsidRDefault="004F34D9">
            <w:pPr>
              <w:jc w:val="center"/>
              <w:rPr>
                <w:rFonts w:ascii="宋体" w:hAnsi="宋体"/>
                <w:szCs w:val="21"/>
              </w:rPr>
            </w:pPr>
            <w:r w:rsidRPr="00123108">
              <w:rPr>
                <w:rFonts w:ascii="宋体" w:hAnsi="宋体" w:hint="eastAsia"/>
                <w:szCs w:val="21"/>
              </w:rPr>
              <w:t>常温</w:t>
            </w:r>
          </w:p>
        </w:tc>
      </w:tr>
      <w:tr w:rsidR="004F34D9" w:rsidRPr="00123108">
        <w:trPr>
          <w:cantSplit/>
          <w:trHeight w:val="340"/>
          <w:jc w:val="center"/>
        </w:trPr>
        <w:tc>
          <w:tcPr>
            <w:tcW w:w="455" w:type="pct"/>
            <w:vAlign w:val="center"/>
          </w:tcPr>
          <w:p w:rsidR="004F34D9" w:rsidRPr="00123108" w:rsidRDefault="004F34D9">
            <w:pPr>
              <w:jc w:val="center"/>
              <w:rPr>
                <w:rFonts w:ascii="宋体" w:hAnsi="宋体"/>
                <w:szCs w:val="21"/>
              </w:rPr>
            </w:pPr>
            <w:r w:rsidRPr="00123108">
              <w:rPr>
                <w:rFonts w:ascii="宋体" w:hAnsi="宋体"/>
                <w:szCs w:val="21"/>
              </w:rPr>
              <w:t>P-104</w:t>
            </w:r>
            <w:r w:rsidRPr="00123108">
              <w:rPr>
                <w:rFonts w:ascii="宋体" w:hAnsi="宋体" w:hint="eastAsia"/>
                <w:szCs w:val="21"/>
              </w:rPr>
              <w:t>BD</w:t>
            </w:r>
          </w:p>
        </w:tc>
        <w:tc>
          <w:tcPr>
            <w:tcW w:w="570" w:type="pct"/>
            <w:vAlign w:val="center"/>
          </w:tcPr>
          <w:p w:rsidR="004F34D9" w:rsidRPr="00123108" w:rsidRDefault="004F34D9">
            <w:pPr>
              <w:jc w:val="center"/>
              <w:rPr>
                <w:rFonts w:ascii="宋体" w:hAnsi="宋体"/>
                <w:szCs w:val="21"/>
              </w:rPr>
            </w:pPr>
            <w:r w:rsidRPr="00123108">
              <w:rPr>
                <w:rFonts w:ascii="宋体" w:hAnsi="宋体" w:hint="eastAsia"/>
                <w:szCs w:val="21"/>
              </w:rPr>
              <w:t>二甲苯打料泵</w:t>
            </w:r>
          </w:p>
        </w:tc>
        <w:tc>
          <w:tcPr>
            <w:tcW w:w="613" w:type="pct"/>
            <w:vAlign w:val="center"/>
          </w:tcPr>
          <w:p w:rsidR="004F34D9" w:rsidRPr="00123108" w:rsidRDefault="004F34D9">
            <w:pPr>
              <w:jc w:val="center"/>
              <w:rPr>
                <w:rFonts w:ascii="宋体" w:hAnsi="宋体"/>
                <w:szCs w:val="21"/>
              </w:rPr>
            </w:pPr>
            <w:r w:rsidRPr="00123108">
              <w:rPr>
                <w:rFonts w:ascii="宋体" w:hAnsi="宋体" w:hint="eastAsia"/>
                <w:szCs w:val="21"/>
              </w:rPr>
              <w:t>IMC50-160L</w:t>
            </w:r>
          </w:p>
        </w:tc>
        <w:tc>
          <w:tcPr>
            <w:tcW w:w="450" w:type="pct"/>
            <w:vAlign w:val="center"/>
          </w:tcPr>
          <w:p w:rsidR="004F34D9" w:rsidRPr="00123108" w:rsidRDefault="004F34D9">
            <w:pPr>
              <w:jc w:val="center"/>
              <w:rPr>
                <w:rFonts w:ascii="宋体" w:hAnsi="宋体"/>
                <w:szCs w:val="21"/>
              </w:rPr>
            </w:pPr>
            <w:r w:rsidRPr="00123108">
              <w:rPr>
                <w:rFonts w:ascii="宋体" w:hAnsi="宋体" w:hint="eastAsia"/>
                <w:szCs w:val="21"/>
              </w:rPr>
              <w:t>12.5</w:t>
            </w:r>
          </w:p>
        </w:tc>
        <w:tc>
          <w:tcPr>
            <w:tcW w:w="451" w:type="pct"/>
            <w:vAlign w:val="center"/>
          </w:tcPr>
          <w:p w:rsidR="004F34D9" w:rsidRPr="00123108" w:rsidRDefault="004F34D9">
            <w:pPr>
              <w:jc w:val="center"/>
              <w:rPr>
                <w:rFonts w:ascii="宋体" w:hAnsi="宋体"/>
                <w:szCs w:val="21"/>
              </w:rPr>
            </w:pPr>
            <w:r w:rsidRPr="00123108">
              <w:rPr>
                <w:rFonts w:ascii="宋体" w:hAnsi="宋体" w:hint="eastAsia"/>
                <w:szCs w:val="21"/>
              </w:rPr>
              <w:t>30</w:t>
            </w:r>
          </w:p>
        </w:tc>
        <w:tc>
          <w:tcPr>
            <w:tcW w:w="437" w:type="pct"/>
            <w:vAlign w:val="center"/>
          </w:tcPr>
          <w:p w:rsidR="004F34D9" w:rsidRPr="00123108" w:rsidRDefault="004F34D9">
            <w:pPr>
              <w:jc w:val="center"/>
              <w:rPr>
                <w:rFonts w:ascii="宋体" w:hAnsi="宋体"/>
                <w:szCs w:val="21"/>
              </w:rPr>
            </w:pPr>
            <w:r w:rsidRPr="00123108">
              <w:rPr>
                <w:rFonts w:ascii="宋体" w:hAnsi="宋体" w:hint="eastAsia"/>
                <w:szCs w:val="21"/>
              </w:rPr>
              <w:t>2台</w:t>
            </w:r>
          </w:p>
        </w:tc>
        <w:tc>
          <w:tcPr>
            <w:tcW w:w="425" w:type="pct"/>
            <w:vAlign w:val="center"/>
          </w:tcPr>
          <w:p w:rsidR="004F34D9" w:rsidRPr="00123108" w:rsidRDefault="004F34D9">
            <w:pPr>
              <w:jc w:val="center"/>
              <w:rPr>
                <w:rFonts w:ascii="宋体" w:hAnsi="宋体"/>
                <w:szCs w:val="21"/>
              </w:rPr>
            </w:pPr>
            <w:r w:rsidRPr="00123108">
              <w:rPr>
                <w:rFonts w:ascii="宋体" w:hAnsi="宋体"/>
                <w:szCs w:val="21"/>
              </w:rPr>
              <w:t>CS</w:t>
            </w:r>
          </w:p>
        </w:tc>
        <w:tc>
          <w:tcPr>
            <w:tcW w:w="416" w:type="pct"/>
            <w:vAlign w:val="center"/>
          </w:tcPr>
          <w:p w:rsidR="004F34D9" w:rsidRPr="00123108" w:rsidRDefault="004F34D9">
            <w:pPr>
              <w:jc w:val="center"/>
              <w:rPr>
                <w:rFonts w:ascii="宋体" w:hAnsi="宋体"/>
                <w:szCs w:val="21"/>
              </w:rPr>
            </w:pPr>
            <w:r w:rsidRPr="00123108">
              <w:rPr>
                <w:rFonts w:ascii="宋体" w:hAnsi="宋体"/>
                <w:szCs w:val="21"/>
              </w:rPr>
              <w:t>5.5KW</w:t>
            </w:r>
          </w:p>
        </w:tc>
        <w:tc>
          <w:tcPr>
            <w:tcW w:w="609" w:type="pct"/>
            <w:vAlign w:val="center"/>
          </w:tcPr>
          <w:p w:rsidR="004F34D9" w:rsidRPr="00123108" w:rsidRDefault="004F34D9">
            <w:pPr>
              <w:jc w:val="center"/>
              <w:rPr>
                <w:rFonts w:ascii="宋体" w:hAnsi="宋体"/>
                <w:szCs w:val="21"/>
              </w:rPr>
            </w:pPr>
            <w:r w:rsidRPr="00123108">
              <w:rPr>
                <w:rFonts w:ascii="宋体" w:hAnsi="宋体" w:hint="eastAsia"/>
                <w:szCs w:val="21"/>
              </w:rPr>
              <w:t>马达</w:t>
            </w:r>
            <w:r w:rsidRPr="00123108">
              <w:rPr>
                <w:rFonts w:ascii="宋体" w:hAnsi="宋体"/>
                <w:szCs w:val="21"/>
              </w:rPr>
              <w:t>d11BT4</w:t>
            </w:r>
          </w:p>
        </w:tc>
        <w:tc>
          <w:tcPr>
            <w:tcW w:w="576" w:type="pct"/>
            <w:vAlign w:val="center"/>
          </w:tcPr>
          <w:p w:rsidR="004F34D9" w:rsidRPr="00123108" w:rsidRDefault="004F34D9">
            <w:pPr>
              <w:jc w:val="center"/>
              <w:rPr>
                <w:rFonts w:ascii="宋体" w:hAnsi="宋体"/>
                <w:szCs w:val="21"/>
              </w:rPr>
            </w:pPr>
            <w:r w:rsidRPr="00123108">
              <w:rPr>
                <w:rFonts w:ascii="宋体" w:hAnsi="宋体" w:hint="eastAsia"/>
                <w:szCs w:val="21"/>
              </w:rPr>
              <w:t>常温</w:t>
            </w:r>
          </w:p>
        </w:tc>
      </w:tr>
    </w:tbl>
    <w:p w:rsidR="004F34D9" w:rsidRPr="00123108" w:rsidRDefault="004F34D9">
      <w:pPr>
        <w:pStyle w:val="2fd"/>
        <w:spacing w:line="240" w:lineRule="auto"/>
        <w:ind w:firstLineChars="1900" w:firstLine="3990"/>
        <w:rPr>
          <w:rFonts w:ascii="宋体" w:hAnsi="宋体"/>
          <w:sz w:val="21"/>
          <w:szCs w:val="21"/>
        </w:rPr>
        <w:sectPr w:rsidR="004F34D9" w:rsidRPr="00123108">
          <w:pgSz w:w="16840" w:h="11907" w:orient="landscape"/>
          <w:pgMar w:top="1588" w:right="1418" w:bottom="1134" w:left="1134" w:header="851" w:footer="992" w:gutter="0"/>
          <w:paperSrc w:first="7" w:other="7"/>
          <w:cols w:space="720"/>
          <w:docGrid w:linePitch="435" w:charSpace="2662"/>
        </w:sectPr>
      </w:pPr>
    </w:p>
    <w:p w:rsidR="004F34D9" w:rsidRPr="00123108" w:rsidRDefault="004F34D9">
      <w:pPr>
        <w:spacing w:line="500" w:lineRule="exact"/>
        <w:outlineLvl w:val="2"/>
        <w:rPr>
          <w:rFonts w:ascii="黑体" w:eastAsia="黑体" w:hAnsi="黑体" w:hint="eastAsia"/>
          <w:b/>
          <w:sz w:val="28"/>
          <w:szCs w:val="28"/>
        </w:rPr>
      </w:pPr>
      <w:bookmarkStart w:id="510" w:name="_Toc190935748"/>
      <w:r w:rsidRPr="00123108">
        <w:rPr>
          <w:rFonts w:ascii="黑体" w:eastAsia="黑体" w:hAnsi="黑体" w:hint="eastAsia"/>
          <w:b/>
          <w:sz w:val="28"/>
          <w:szCs w:val="28"/>
        </w:rPr>
        <w:lastRenderedPageBreak/>
        <w:t>2.7.3 仓库储存情况</w:t>
      </w:r>
      <w:bookmarkEnd w:id="510"/>
    </w:p>
    <w:p w:rsidR="004F34D9" w:rsidRPr="00123108" w:rsidRDefault="004F34D9">
      <w:pPr>
        <w:spacing w:line="500" w:lineRule="exact"/>
        <w:ind w:firstLineChars="200" w:firstLine="560"/>
        <w:rPr>
          <w:rFonts w:ascii="宋体" w:hAnsi="宋体" w:hint="eastAsia"/>
          <w:sz w:val="28"/>
          <w:szCs w:val="28"/>
        </w:rPr>
      </w:pPr>
      <w:r w:rsidRPr="00123108">
        <w:rPr>
          <w:rFonts w:ascii="宋体" w:hAnsi="宋体" w:hint="eastAsia"/>
          <w:sz w:val="28"/>
          <w:szCs w:val="28"/>
        </w:rPr>
        <w:t>新桥化工设有冷库、二号仓库、三号仓库、四号仓库及五号仓库，储存催化剂及生产用的辅料及包装料等，见表2.7-4.</w:t>
      </w:r>
    </w:p>
    <w:p w:rsidR="004F34D9" w:rsidRDefault="004F34D9">
      <w:pPr>
        <w:spacing w:line="500" w:lineRule="exact"/>
        <w:ind w:firstLineChars="200" w:firstLine="562"/>
        <w:jc w:val="center"/>
        <w:rPr>
          <w:rFonts w:ascii="黑体" w:eastAsia="黑体" w:hAnsi="黑体" w:hint="eastAsia"/>
          <w:b/>
          <w:sz w:val="28"/>
          <w:szCs w:val="28"/>
        </w:rPr>
      </w:pPr>
      <w:r w:rsidRPr="00123108">
        <w:rPr>
          <w:rFonts w:ascii="黑体" w:eastAsia="黑体" w:hAnsi="黑体" w:hint="eastAsia"/>
          <w:b/>
          <w:sz w:val="28"/>
          <w:szCs w:val="28"/>
        </w:rPr>
        <w:t>表2.7-4 仓库储存物料一览表</w:t>
      </w:r>
    </w:p>
    <w:p w:rsidR="00E006F5" w:rsidRDefault="00E006F5" w:rsidP="00E006F5">
      <w:pPr>
        <w:spacing w:line="500" w:lineRule="exact"/>
        <w:jc w:val="center"/>
        <w:rPr>
          <w:rFonts w:ascii="宋体" w:hAnsi="宋体" w:hint="eastAsia"/>
          <w:b/>
          <w:bCs/>
          <w:sz w:val="28"/>
          <w:szCs w:val="28"/>
        </w:rPr>
      </w:pPr>
      <w:r>
        <w:rPr>
          <w:rFonts w:ascii="宋体" w:hAnsi="宋体" w:hint="eastAsia"/>
          <w:b/>
          <w:sz w:val="28"/>
          <w:szCs w:val="28"/>
        </w:rPr>
        <w:t>涉及企业机密，不予公开。</w:t>
      </w:r>
    </w:p>
    <w:p w:rsidR="004F34D9" w:rsidRPr="00123108" w:rsidRDefault="004F34D9" w:rsidP="00D06780">
      <w:pPr>
        <w:pStyle w:val="2"/>
        <w:spacing w:line="500" w:lineRule="exact"/>
        <w:jc w:val="both"/>
        <w:rPr>
          <w:rFonts w:ascii="宋体" w:eastAsia="宋体" w:cs="宋体" w:hint="eastAsia"/>
          <w:sz w:val="28"/>
          <w:szCs w:val="28"/>
        </w:rPr>
      </w:pPr>
      <w:bookmarkStart w:id="511" w:name="_Toc190935749"/>
      <w:r w:rsidRPr="00123108">
        <w:rPr>
          <w:rFonts w:ascii="宋体" w:eastAsia="宋体" w:cs="宋体" w:hint="eastAsia"/>
          <w:sz w:val="28"/>
          <w:szCs w:val="28"/>
        </w:rPr>
        <w:t>2.8  自动控制及仪表</w:t>
      </w:r>
      <w:bookmarkEnd w:id="511"/>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hint="eastAsia"/>
          <w:sz w:val="28"/>
          <w:szCs w:val="28"/>
        </w:rPr>
        <w:t>新桥化工</w:t>
      </w:r>
      <w:r w:rsidRPr="00123108">
        <w:rPr>
          <w:rFonts w:ascii="宋体" w:hAnsi="宋体"/>
          <w:sz w:val="28"/>
          <w:szCs w:val="28"/>
        </w:rPr>
        <w:t>生产过程采用DCS</w:t>
      </w:r>
      <w:r w:rsidRPr="00123108">
        <w:rPr>
          <w:rFonts w:ascii="宋体" w:hAnsi="宋体" w:hint="eastAsia"/>
          <w:sz w:val="28"/>
          <w:szCs w:val="28"/>
        </w:rPr>
        <w:t>自动化</w:t>
      </w:r>
      <w:r w:rsidRPr="00123108">
        <w:rPr>
          <w:rFonts w:ascii="宋体" w:hAnsi="宋体"/>
          <w:sz w:val="28"/>
          <w:szCs w:val="28"/>
        </w:rPr>
        <w:t>控制</w:t>
      </w:r>
      <w:r w:rsidRPr="00123108">
        <w:rPr>
          <w:rFonts w:ascii="宋体" w:hAnsi="宋体" w:hint="eastAsia"/>
          <w:sz w:val="28"/>
          <w:szCs w:val="28"/>
        </w:rPr>
        <w:t>系统进行</w:t>
      </w:r>
      <w:r w:rsidRPr="00123108">
        <w:rPr>
          <w:rFonts w:ascii="宋体" w:hAnsi="宋体" w:cs="宋体" w:hint="eastAsia"/>
          <w:sz w:val="28"/>
          <w:szCs w:val="28"/>
        </w:rPr>
        <w:t>数据采集、记录报警和集中监测、控制、管理。同时设有SIS安全联锁系统，当工艺参数越限，设备运行异常时联锁动作，使装置、设备安全停车，确保重要工艺和关键设备进入安全状态。</w:t>
      </w:r>
    </w:p>
    <w:p w:rsidR="004F34D9" w:rsidRPr="00123108" w:rsidRDefault="004F34D9" w:rsidP="00D06780">
      <w:pPr>
        <w:spacing w:line="500" w:lineRule="exact"/>
        <w:outlineLvl w:val="2"/>
        <w:rPr>
          <w:rFonts w:ascii="黑体" w:eastAsia="黑体" w:hAnsi="黑体" w:hint="eastAsia"/>
          <w:sz w:val="28"/>
          <w:szCs w:val="28"/>
        </w:rPr>
      </w:pPr>
      <w:bookmarkStart w:id="512" w:name="_Toc190935750"/>
      <w:r w:rsidRPr="00123108">
        <w:rPr>
          <w:rFonts w:ascii="黑体" w:eastAsia="黑体" w:hAnsi="黑体" w:hint="eastAsia"/>
          <w:sz w:val="28"/>
          <w:szCs w:val="28"/>
        </w:rPr>
        <w:t>2.8.1 控制室与机柜间</w:t>
      </w:r>
      <w:bookmarkEnd w:id="512"/>
    </w:p>
    <w:p w:rsidR="004F34D9" w:rsidRPr="00123108" w:rsidRDefault="004F34D9" w:rsidP="00D06780">
      <w:pPr>
        <w:spacing w:line="500" w:lineRule="exact"/>
        <w:ind w:firstLineChars="200" w:firstLine="560"/>
        <w:rPr>
          <w:rFonts w:ascii="宋体" w:hAnsi="宋体" w:hint="eastAsia"/>
          <w:sz w:val="28"/>
          <w:szCs w:val="28"/>
        </w:rPr>
      </w:pPr>
      <w:r w:rsidRPr="00123108">
        <w:rPr>
          <w:rFonts w:ascii="宋体" w:hAnsi="宋体" w:hint="eastAsia"/>
          <w:sz w:val="28"/>
        </w:rPr>
        <w:t>因建厂时间较早，企业原有控制室、机柜间分别布置在反应车间内部，2021年控制室搬迁至办公楼东侧一楼</w:t>
      </w:r>
      <w:r w:rsidRPr="00123108">
        <w:rPr>
          <w:rFonts w:ascii="宋体" w:hAnsi="宋体" w:hint="eastAsia"/>
          <w:sz w:val="28"/>
          <w:szCs w:val="28"/>
        </w:rPr>
        <w:t>，机柜间与控制室同屋布置，位于控制室内南部分。</w:t>
      </w:r>
    </w:p>
    <w:p w:rsidR="004F34D9" w:rsidRPr="00123108" w:rsidRDefault="004F34D9" w:rsidP="00D06780">
      <w:pPr>
        <w:spacing w:line="500" w:lineRule="exact"/>
        <w:ind w:firstLineChars="200" w:firstLine="560"/>
        <w:rPr>
          <w:rFonts w:ascii="宋体" w:hAnsi="宋体" w:hint="eastAsia"/>
          <w:sz w:val="28"/>
          <w:szCs w:val="28"/>
        </w:rPr>
      </w:pPr>
      <w:r w:rsidRPr="00123108">
        <w:rPr>
          <w:rFonts w:ascii="宋体" w:hAnsi="宋体" w:hint="eastAsia"/>
          <w:sz w:val="28"/>
          <w:szCs w:val="28"/>
        </w:rPr>
        <w:t>反应车间内部无控制室及机柜间。</w:t>
      </w:r>
    </w:p>
    <w:p w:rsidR="004F34D9" w:rsidRPr="00123108" w:rsidRDefault="004F34D9" w:rsidP="00D06780">
      <w:pPr>
        <w:spacing w:line="500" w:lineRule="exact"/>
        <w:ind w:firstLineChars="200" w:firstLine="560"/>
        <w:rPr>
          <w:rFonts w:ascii="宋体" w:hAnsi="宋体" w:hint="eastAsia"/>
          <w:sz w:val="28"/>
          <w:szCs w:val="28"/>
        </w:rPr>
      </w:pPr>
      <w:r w:rsidRPr="00123108">
        <w:rPr>
          <w:rFonts w:ascii="宋体" w:hAnsi="宋体" w:hint="eastAsia"/>
          <w:sz w:val="28"/>
          <w:szCs w:val="28"/>
        </w:rPr>
        <w:t>车间设置显示工艺参数的防爆显示器。</w:t>
      </w:r>
    </w:p>
    <w:p w:rsidR="004F34D9" w:rsidRPr="00123108" w:rsidRDefault="004F34D9" w:rsidP="00D06780">
      <w:pPr>
        <w:spacing w:line="500" w:lineRule="exact"/>
        <w:outlineLvl w:val="2"/>
        <w:rPr>
          <w:rFonts w:ascii="黑体" w:eastAsia="黑体" w:hAnsi="黑体" w:hint="eastAsia"/>
          <w:sz w:val="28"/>
          <w:szCs w:val="28"/>
        </w:rPr>
      </w:pPr>
      <w:bookmarkStart w:id="513" w:name="_Toc190935751"/>
      <w:r w:rsidRPr="00123108">
        <w:rPr>
          <w:rFonts w:ascii="黑体" w:eastAsia="黑体" w:hAnsi="黑体" w:hint="eastAsia"/>
          <w:sz w:val="28"/>
          <w:szCs w:val="28"/>
        </w:rPr>
        <w:t>2.8.2 DCS控制系统</w:t>
      </w:r>
      <w:bookmarkEnd w:id="513"/>
    </w:p>
    <w:p w:rsidR="004F34D9" w:rsidRDefault="004F34D9" w:rsidP="00D06780">
      <w:pPr>
        <w:spacing w:line="500" w:lineRule="exact"/>
        <w:ind w:firstLineChars="200" w:firstLine="560"/>
        <w:rPr>
          <w:rFonts w:ascii="宋体" w:hAnsi="宋体" w:cs="宋体" w:hint="eastAsia"/>
          <w:sz w:val="28"/>
          <w:szCs w:val="28"/>
        </w:rPr>
      </w:pPr>
      <w:r w:rsidRPr="00123108">
        <w:rPr>
          <w:rFonts w:ascii="宋体" w:hAnsi="宋体" w:hint="eastAsia"/>
          <w:sz w:val="28"/>
          <w:szCs w:val="28"/>
        </w:rPr>
        <w:t>DCS过程控制及机柜等由浙大中控提供</w:t>
      </w:r>
      <w:r w:rsidRPr="00123108">
        <w:rPr>
          <w:rFonts w:ascii="宋体" w:hAnsi="宋体"/>
          <w:sz w:val="28"/>
          <w:szCs w:val="28"/>
        </w:rPr>
        <w:t>。</w:t>
      </w:r>
      <w:r w:rsidRPr="00123108">
        <w:rPr>
          <w:rFonts w:ascii="宋体" w:hAnsi="宋体" w:hint="eastAsia"/>
          <w:sz w:val="28"/>
          <w:szCs w:val="28"/>
        </w:rPr>
        <w:t>对生产工艺运行、监测、报警、联锁及储罐储存及输送等自动控制系统进行</w:t>
      </w:r>
      <w:r w:rsidRPr="00123108">
        <w:rPr>
          <w:rFonts w:ascii="宋体" w:hAnsi="宋体" w:cs="宋体" w:hint="eastAsia"/>
          <w:sz w:val="28"/>
          <w:szCs w:val="28"/>
        </w:rPr>
        <w:t>数据采集、记录报警和集中监测、控制、管理。</w:t>
      </w:r>
    </w:p>
    <w:p w:rsidR="00E006F5" w:rsidRDefault="00E006F5" w:rsidP="00E006F5">
      <w:pPr>
        <w:spacing w:line="500" w:lineRule="exact"/>
        <w:rPr>
          <w:rFonts w:ascii="宋体" w:hAnsi="宋体"/>
          <w:b/>
          <w:bCs/>
          <w:sz w:val="28"/>
          <w:szCs w:val="28"/>
        </w:rPr>
      </w:pPr>
      <w:r>
        <w:rPr>
          <w:rFonts w:ascii="宋体" w:hAnsi="宋体" w:cs="宋体" w:hint="eastAsia"/>
          <w:sz w:val="28"/>
          <w:szCs w:val="28"/>
        </w:rPr>
        <w:t xml:space="preserve">    </w:t>
      </w:r>
      <w:r w:rsidR="004F34D9" w:rsidRPr="00123108">
        <w:rPr>
          <w:rFonts w:ascii="宋体" w:hAnsi="宋体" w:hint="eastAsia"/>
          <w:sz w:val="28"/>
          <w:szCs w:val="28"/>
        </w:rPr>
        <w:t>主要控制内容包括：</w:t>
      </w:r>
      <w:r>
        <w:rPr>
          <w:rFonts w:ascii="宋体" w:hAnsi="宋体" w:hint="eastAsia"/>
          <w:b/>
          <w:sz w:val="28"/>
          <w:szCs w:val="28"/>
        </w:rPr>
        <w:t>涉及企业机密，不予公开。</w:t>
      </w:r>
    </w:p>
    <w:p w:rsidR="004F34D9" w:rsidRPr="00123108" w:rsidRDefault="004F34D9" w:rsidP="0026546B">
      <w:pPr>
        <w:spacing w:line="500" w:lineRule="exact"/>
        <w:outlineLvl w:val="2"/>
        <w:rPr>
          <w:rFonts w:ascii="黑体" w:eastAsia="黑体" w:hAnsi="黑体"/>
          <w:b/>
          <w:sz w:val="28"/>
          <w:szCs w:val="28"/>
        </w:rPr>
      </w:pPr>
      <w:bookmarkStart w:id="514" w:name="_Toc190935752"/>
      <w:r w:rsidRPr="00123108">
        <w:rPr>
          <w:rFonts w:ascii="黑体" w:eastAsia="黑体" w:hAnsi="黑体" w:hint="eastAsia"/>
          <w:b/>
          <w:sz w:val="28"/>
          <w:szCs w:val="28"/>
        </w:rPr>
        <w:t>2.8.3 SIS系统</w:t>
      </w:r>
      <w:bookmarkEnd w:id="514"/>
    </w:p>
    <w:p w:rsidR="004F34D9" w:rsidRDefault="004F34D9" w:rsidP="0026546B">
      <w:pPr>
        <w:spacing w:line="500" w:lineRule="exact"/>
        <w:ind w:firstLineChars="200" w:firstLine="560"/>
        <w:rPr>
          <w:rFonts w:ascii="宋体" w:hAnsi="宋体" w:cs="Arial" w:hint="eastAsia"/>
          <w:sz w:val="28"/>
          <w:szCs w:val="28"/>
        </w:rPr>
      </w:pPr>
      <w:r w:rsidRPr="00123108">
        <w:rPr>
          <w:rFonts w:ascii="宋体" w:hAnsi="宋体" w:cs="Arial" w:hint="eastAsia"/>
          <w:sz w:val="28"/>
          <w:szCs w:val="28"/>
        </w:rPr>
        <w:t>SIS系统整套设备由浙大中控提供。</w:t>
      </w:r>
    </w:p>
    <w:p w:rsidR="00E006F5" w:rsidRDefault="00E006F5" w:rsidP="00E006F5">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Pr="00123108" w:rsidRDefault="004F34D9" w:rsidP="00D06780">
      <w:pPr>
        <w:spacing w:line="500" w:lineRule="exact"/>
        <w:outlineLvl w:val="2"/>
        <w:rPr>
          <w:rFonts w:ascii="黑体" w:eastAsia="黑体" w:hAnsi="黑体"/>
          <w:b/>
          <w:bCs/>
          <w:sz w:val="28"/>
          <w:szCs w:val="28"/>
        </w:rPr>
      </w:pPr>
      <w:bookmarkStart w:id="515" w:name="_Toc190935753"/>
      <w:r w:rsidRPr="00123108">
        <w:rPr>
          <w:rFonts w:ascii="黑体" w:eastAsia="黑体" w:hAnsi="黑体" w:hint="eastAsia"/>
          <w:b/>
          <w:bCs/>
          <w:sz w:val="28"/>
          <w:szCs w:val="28"/>
        </w:rPr>
        <w:t>2.8.4 GDS系统</w:t>
      </w:r>
      <w:bookmarkEnd w:id="515"/>
    </w:p>
    <w:p w:rsidR="004F34D9" w:rsidRPr="00123108" w:rsidRDefault="004F34D9" w:rsidP="00D06780">
      <w:pPr>
        <w:spacing w:line="500" w:lineRule="exact"/>
        <w:ind w:firstLineChars="200" w:firstLine="560"/>
        <w:rPr>
          <w:rFonts w:ascii="宋体" w:hAnsi="宋体" w:cs="Arial" w:hint="eastAsia"/>
          <w:sz w:val="28"/>
          <w:szCs w:val="28"/>
        </w:rPr>
      </w:pPr>
      <w:r w:rsidRPr="00123108">
        <w:rPr>
          <w:rFonts w:ascii="宋体" w:hAnsi="宋体" w:cs="Arial" w:hint="eastAsia"/>
          <w:sz w:val="28"/>
          <w:szCs w:val="28"/>
        </w:rPr>
        <w:t>罐区和聚合车间在现场设置固定式可燃气体探测器，并设置区域声光报警器。可燃气体探测器信号连接到消控室内可燃气检测仪主机进行实时监控，具备声光报警功能。并传送到控制室。</w:t>
      </w:r>
    </w:p>
    <w:p w:rsidR="004F34D9" w:rsidRPr="00123108" w:rsidRDefault="004F34D9" w:rsidP="00D06780">
      <w:pPr>
        <w:spacing w:line="500" w:lineRule="exact"/>
        <w:outlineLvl w:val="2"/>
        <w:rPr>
          <w:rFonts w:ascii="黑体" w:eastAsia="黑体" w:hAnsi="黑体"/>
          <w:b/>
          <w:bCs/>
          <w:sz w:val="28"/>
          <w:szCs w:val="28"/>
        </w:rPr>
      </w:pPr>
      <w:bookmarkStart w:id="516" w:name="_Toc190935754"/>
      <w:r w:rsidRPr="00123108">
        <w:rPr>
          <w:rFonts w:ascii="黑体" w:eastAsia="黑体" w:hAnsi="黑体" w:hint="eastAsia"/>
          <w:b/>
          <w:bCs/>
          <w:sz w:val="28"/>
          <w:szCs w:val="28"/>
        </w:rPr>
        <w:lastRenderedPageBreak/>
        <w:t>2.8.5仪表选型</w:t>
      </w:r>
      <w:bookmarkEnd w:id="516"/>
    </w:p>
    <w:p w:rsidR="004F34D9" w:rsidRPr="00123108" w:rsidRDefault="004F34D9" w:rsidP="00D06780">
      <w:pPr>
        <w:spacing w:line="500" w:lineRule="exact"/>
        <w:ind w:firstLineChars="200" w:firstLine="560"/>
        <w:rPr>
          <w:rFonts w:ascii="宋体" w:hAnsi="宋体"/>
          <w:sz w:val="28"/>
        </w:rPr>
      </w:pPr>
      <w:r w:rsidRPr="00123108">
        <w:rPr>
          <w:rFonts w:ascii="宋体" w:hAnsi="宋体" w:hint="eastAsia"/>
          <w:sz w:val="28"/>
        </w:rPr>
        <w:t>反应部、罐区等界区内所有电子仪表均采用防爆措施。所有远传电子式变送器、调节阀电子定位器、温度变送器等均采用本质安全型，安全栅选用隔离型。流量计及压力开关、液位开关均选用隔爆型结构，隔爆仪表的最低防爆等级为Ex-dIIBT4。</w:t>
      </w:r>
    </w:p>
    <w:p w:rsidR="004F34D9" w:rsidRPr="00123108" w:rsidRDefault="004F34D9" w:rsidP="00D06780">
      <w:pPr>
        <w:spacing w:line="500" w:lineRule="exact"/>
        <w:ind w:firstLineChars="200" w:firstLine="560"/>
        <w:rPr>
          <w:rFonts w:ascii="宋体" w:hAnsi="宋体"/>
          <w:sz w:val="28"/>
        </w:rPr>
      </w:pPr>
      <w:r w:rsidRPr="00123108">
        <w:rPr>
          <w:rFonts w:ascii="宋体" w:hAnsi="宋体" w:hint="eastAsia"/>
          <w:sz w:val="28"/>
        </w:rPr>
        <w:t>进出装置的原料及产品，辅助系统及公用工程物流设置相应的计量仪表。</w:t>
      </w:r>
    </w:p>
    <w:p w:rsidR="004F34D9" w:rsidRPr="00123108" w:rsidRDefault="004F34D9" w:rsidP="00D06780">
      <w:pPr>
        <w:pStyle w:val="2"/>
        <w:spacing w:line="500" w:lineRule="exact"/>
        <w:jc w:val="both"/>
        <w:rPr>
          <w:rFonts w:ascii="宋体" w:eastAsia="宋体" w:cs="宋体" w:hint="eastAsia"/>
          <w:sz w:val="28"/>
          <w:szCs w:val="28"/>
        </w:rPr>
      </w:pPr>
      <w:bookmarkStart w:id="517" w:name="_Toc20219"/>
      <w:bookmarkStart w:id="518" w:name="_Toc19279"/>
      <w:bookmarkStart w:id="519" w:name="_Toc26727"/>
      <w:bookmarkStart w:id="520" w:name="_Toc4590"/>
      <w:bookmarkStart w:id="521" w:name="_Toc14606"/>
      <w:bookmarkStart w:id="522" w:name="_Toc1914"/>
      <w:bookmarkStart w:id="523" w:name="_Toc190935755"/>
      <w:r w:rsidRPr="00123108">
        <w:rPr>
          <w:rFonts w:ascii="宋体" w:eastAsia="宋体" w:cs="宋体" w:hint="eastAsia"/>
          <w:sz w:val="28"/>
          <w:szCs w:val="28"/>
        </w:rPr>
        <w:t>2.9  检测、检验情况</w:t>
      </w:r>
      <w:bookmarkEnd w:id="517"/>
      <w:bookmarkEnd w:id="518"/>
      <w:bookmarkEnd w:id="519"/>
      <w:bookmarkEnd w:id="520"/>
      <w:bookmarkEnd w:id="521"/>
      <w:bookmarkEnd w:id="522"/>
      <w:bookmarkEnd w:id="523"/>
    </w:p>
    <w:p w:rsidR="004F34D9" w:rsidRPr="00123108" w:rsidRDefault="004F34D9" w:rsidP="00D06780">
      <w:pPr>
        <w:pStyle w:val="2fd"/>
        <w:spacing w:line="500" w:lineRule="exact"/>
        <w:ind w:firstLineChars="0" w:firstLine="0"/>
        <w:outlineLvl w:val="2"/>
        <w:rPr>
          <w:rFonts w:ascii="宋体" w:hAnsi="宋体" w:cs="宋体" w:hint="eastAsia"/>
          <w:b/>
          <w:bCs/>
          <w:sz w:val="28"/>
          <w:szCs w:val="28"/>
        </w:rPr>
      </w:pPr>
      <w:bookmarkStart w:id="524" w:name="_Toc20092"/>
      <w:bookmarkStart w:id="525" w:name="_Toc12640"/>
      <w:bookmarkStart w:id="526" w:name="_Toc20794"/>
      <w:bookmarkStart w:id="527" w:name="_Toc10635"/>
      <w:bookmarkStart w:id="528" w:name="_Toc26475"/>
      <w:bookmarkStart w:id="529" w:name="_Toc10622"/>
      <w:bookmarkStart w:id="530" w:name="_Toc190935756"/>
      <w:r w:rsidRPr="00123108">
        <w:rPr>
          <w:rFonts w:ascii="宋体" w:hAnsi="宋体" w:cs="宋体" w:hint="eastAsia"/>
          <w:b/>
          <w:bCs/>
          <w:sz w:val="28"/>
          <w:szCs w:val="28"/>
        </w:rPr>
        <w:t>2.9.1 特种设备</w:t>
      </w:r>
      <w:bookmarkEnd w:id="524"/>
      <w:bookmarkEnd w:id="525"/>
      <w:bookmarkEnd w:id="526"/>
      <w:bookmarkEnd w:id="527"/>
      <w:bookmarkEnd w:id="528"/>
      <w:bookmarkEnd w:id="529"/>
      <w:r w:rsidRPr="00123108">
        <w:rPr>
          <w:rFonts w:ascii="宋体" w:hAnsi="宋体" w:cs="宋体" w:hint="eastAsia"/>
          <w:b/>
          <w:bCs/>
          <w:sz w:val="28"/>
          <w:szCs w:val="28"/>
        </w:rPr>
        <w:t>及强制检测的安全设施</w:t>
      </w:r>
      <w:bookmarkEnd w:id="530"/>
    </w:p>
    <w:p w:rsidR="004F34D9" w:rsidRDefault="004F34D9" w:rsidP="00D06780">
      <w:pPr>
        <w:pStyle w:val="2fd"/>
        <w:spacing w:line="500" w:lineRule="exact"/>
        <w:ind w:firstLine="560"/>
        <w:rPr>
          <w:rFonts w:ascii="宋体" w:hAnsi="宋体" w:cs="宋体" w:hint="eastAsia"/>
          <w:sz w:val="28"/>
          <w:szCs w:val="28"/>
        </w:rPr>
      </w:pPr>
      <w:r w:rsidRPr="00123108">
        <w:rPr>
          <w:rFonts w:ascii="宋体" w:hAnsi="宋体" w:cs="宋体" w:hint="eastAsia"/>
          <w:sz w:val="28"/>
          <w:szCs w:val="28"/>
        </w:rPr>
        <w:t>本项目涉及的特种设备主要有压力容器、压力管道、</w:t>
      </w:r>
      <w:r w:rsidRPr="00123108">
        <w:rPr>
          <w:rFonts w:hint="eastAsia"/>
          <w:sz w:val="28"/>
          <w:szCs w:val="28"/>
        </w:rPr>
        <w:t>场（厂）内专用机动车辆、电梯等</w:t>
      </w:r>
      <w:r w:rsidRPr="00123108">
        <w:rPr>
          <w:rFonts w:ascii="宋体" w:hAnsi="宋体" w:cs="宋体" w:hint="eastAsia"/>
          <w:sz w:val="28"/>
          <w:szCs w:val="28"/>
        </w:rPr>
        <w:t>，企业配备了特种设备管理人员，建立了特种设备台账，专人管理特种设备登记、检测检验情况。相关</w:t>
      </w:r>
      <w:r w:rsidRPr="00123108">
        <w:rPr>
          <w:rFonts w:ascii="宋体" w:hAnsi="宋体" w:cs="宋体" w:hint="eastAsia"/>
          <w:sz w:val="28"/>
        </w:rPr>
        <w:t>登记证、</w:t>
      </w:r>
      <w:r w:rsidRPr="00123108">
        <w:rPr>
          <w:rFonts w:ascii="宋体" w:hAnsi="宋体" w:cs="宋体" w:hint="eastAsia"/>
          <w:sz w:val="28"/>
          <w:szCs w:val="28"/>
        </w:rPr>
        <w:t>检测报告代表样张见附件。</w:t>
      </w:r>
    </w:p>
    <w:p w:rsidR="00E006F5" w:rsidRDefault="00E006F5" w:rsidP="00E006F5">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Pr="00123108" w:rsidRDefault="004F34D9" w:rsidP="00D06780">
      <w:pPr>
        <w:spacing w:line="500" w:lineRule="exact"/>
        <w:outlineLvl w:val="2"/>
        <w:rPr>
          <w:rFonts w:ascii="黑体" w:eastAsia="黑体" w:hAnsi="黑体" w:cs="宋体" w:hint="eastAsia"/>
          <w:b/>
          <w:bCs/>
          <w:sz w:val="28"/>
        </w:rPr>
      </w:pPr>
      <w:bookmarkStart w:id="531" w:name="_Toc17306"/>
      <w:bookmarkStart w:id="532" w:name="_Toc24766"/>
      <w:bookmarkStart w:id="533" w:name="_Toc2886"/>
      <w:bookmarkStart w:id="534" w:name="_Toc16953"/>
      <w:bookmarkStart w:id="535" w:name="_Toc7713"/>
      <w:bookmarkStart w:id="536" w:name="_Toc16970"/>
      <w:bookmarkStart w:id="537" w:name="_Toc190935757"/>
      <w:r w:rsidRPr="00123108">
        <w:rPr>
          <w:rFonts w:ascii="黑体" w:eastAsia="黑体" w:hAnsi="黑体" w:cs="宋体" w:hint="eastAsia"/>
          <w:b/>
          <w:bCs/>
          <w:sz w:val="28"/>
        </w:rPr>
        <w:t>2.9.2 防雷（防静电接地）装置检测情况</w:t>
      </w:r>
      <w:bookmarkEnd w:id="531"/>
      <w:bookmarkEnd w:id="532"/>
      <w:bookmarkEnd w:id="533"/>
      <w:bookmarkEnd w:id="534"/>
      <w:bookmarkEnd w:id="535"/>
      <w:bookmarkEnd w:id="536"/>
      <w:bookmarkEnd w:id="537"/>
    </w:p>
    <w:p w:rsidR="004F34D9" w:rsidRDefault="004F34D9" w:rsidP="00D06780">
      <w:pPr>
        <w:spacing w:line="500" w:lineRule="exact"/>
        <w:ind w:firstLineChars="200" w:firstLine="560"/>
        <w:rPr>
          <w:rFonts w:ascii="宋体" w:hAnsi="宋体" w:cs="宋体" w:hint="eastAsia"/>
          <w:sz w:val="28"/>
        </w:rPr>
      </w:pPr>
      <w:r w:rsidRPr="00123108">
        <w:rPr>
          <w:rFonts w:ascii="宋体" w:hAnsi="宋体" w:cs="宋体" w:hint="eastAsia"/>
          <w:sz w:val="28"/>
        </w:rPr>
        <w:t>新桥化工已委托盐城市防雷设施检测有限公司进行了防雷（防静电接地）装置检测，委托浙江国正安全技术有限公司进行防静电检测，检测结果为符合标准要求，统计情况见表2.9-1。</w:t>
      </w:r>
    </w:p>
    <w:p w:rsidR="00E006F5" w:rsidRDefault="00E006F5" w:rsidP="00E006F5">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Pr="00123108" w:rsidRDefault="004F34D9" w:rsidP="00D06780">
      <w:pPr>
        <w:spacing w:line="500" w:lineRule="exact"/>
        <w:outlineLvl w:val="2"/>
        <w:rPr>
          <w:rFonts w:ascii="宋体" w:hAnsi="宋体" w:cs="宋体" w:hint="eastAsia"/>
          <w:b/>
          <w:bCs/>
          <w:sz w:val="28"/>
        </w:rPr>
      </w:pPr>
      <w:bookmarkStart w:id="538" w:name="_Toc18023"/>
      <w:bookmarkStart w:id="539" w:name="_Toc22195"/>
      <w:bookmarkStart w:id="540" w:name="_Toc17721"/>
      <w:bookmarkStart w:id="541" w:name="_Toc11255"/>
      <w:bookmarkStart w:id="542" w:name="_Toc2624"/>
      <w:bookmarkStart w:id="543" w:name="_Toc8995"/>
      <w:bookmarkStart w:id="544" w:name="_Toc190935758"/>
      <w:r w:rsidRPr="00123108">
        <w:rPr>
          <w:rFonts w:ascii="宋体" w:hAnsi="宋体" w:cs="宋体" w:hint="eastAsia"/>
          <w:b/>
          <w:bCs/>
          <w:sz w:val="28"/>
        </w:rPr>
        <w:t>2.9.3 防爆电气检测情况</w:t>
      </w:r>
      <w:bookmarkEnd w:id="538"/>
      <w:bookmarkEnd w:id="539"/>
      <w:bookmarkEnd w:id="540"/>
      <w:bookmarkEnd w:id="541"/>
      <w:bookmarkEnd w:id="542"/>
      <w:bookmarkEnd w:id="543"/>
      <w:bookmarkEnd w:id="544"/>
    </w:p>
    <w:p w:rsidR="004F34D9" w:rsidRPr="00123108" w:rsidRDefault="004F34D9" w:rsidP="00D06780">
      <w:pPr>
        <w:spacing w:line="500" w:lineRule="exact"/>
        <w:ind w:firstLineChars="200" w:firstLine="560"/>
        <w:rPr>
          <w:rFonts w:ascii="宋体" w:hAnsi="宋体" w:cs="宋体" w:hint="eastAsia"/>
          <w:sz w:val="28"/>
        </w:rPr>
      </w:pPr>
      <w:r w:rsidRPr="00123108">
        <w:rPr>
          <w:rFonts w:ascii="宋体" w:hAnsi="宋体" w:cs="宋体" w:hint="eastAsia"/>
          <w:sz w:val="28"/>
        </w:rPr>
        <w:t>新桥化工已委托浙江国正安全技术有限公司对全厂防爆电气进行检测，检测结果为符合规范要求，见表2.9-2。</w:t>
      </w:r>
    </w:p>
    <w:p w:rsidR="004F34D9" w:rsidRPr="00123108" w:rsidRDefault="004F34D9" w:rsidP="00D06780">
      <w:pPr>
        <w:spacing w:line="500" w:lineRule="exact"/>
        <w:jc w:val="center"/>
        <w:rPr>
          <w:rFonts w:ascii="宋体" w:hAnsi="宋体" w:cs="宋体" w:hint="eastAsia"/>
          <w:b/>
          <w:bCs/>
          <w:sz w:val="28"/>
        </w:rPr>
      </w:pPr>
      <w:r w:rsidRPr="00123108">
        <w:rPr>
          <w:rFonts w:ascii="宋体" w:hAnsi="宋体" w:cs="宋体" w:hint="eastAsia"/>
          <w:b/>
          <w:bCs/>
          <w:sz w:val="28"/>
        </w:rPr>
        <w:t>表2.9-2  新桥化工防爆电气检测情况表</w:t>
      </w:r>
    </w:p>
    <w:tbl>
      <w:tblPr>
        <w:tblW w:w="4874"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2762"/>
        <w:gridCol w:w="1796"/>
        <w:gridCol w:w="1830"/>
        <w:gridCol w:w="800"/>
        <w:gridCol w:w="1299"/>
      </w:tblGrid>
      <w:tr w:rsidR="004F34D9" w:rsidRPr="00123108">
        <w:trPr>
          <w:trHeight w:val="428"/>
          <w:jc w:val="center"/>
        </w:trPr>
        <w:tc>
          <w:tcPr>
            <w:tcW w:w="256" w:type="pct"/>
            <w:vAlign w:val="center"/>
          </w:tcPr>
          <w:p w:rsidR="004F34D9" w:rsidRPr="00123108" w:rsidRDefault="004F34D9">
            <w:pPr>
              <w:spacing w:line="240" w:lineRule="exact"/>
              <w:jc w:val="center"/>
              <w:rPr>
                <w:rFonts w:ascii="宋体" w:hAnsi="宋体" w:cs="宋体" w:hint="eastAsia"/>
                <w:szCs w:val="21"/>
              </w:rPr>
            </w:pPr>
            <w:r w:rsidRPr="00123108">
              <w:rPr>
                <w:rFonts w:ascii="宋体" w:hAnsi="宋体" w:cs="宋体" w:hint="eastAsia"/>
                <w:szCs w:val="21"/>
              </w:rPr>
              <w:t>序号</w:t>
            </w:r>
          </w:p>
        </w:tc>
        <w:tc>
          <w:tcPr>
            <w:tcW w:w="1543" w:type="pct"/>
            <w:vAlign w:val="center"/>
          </w:tcPr>
          <w:p w:rsidR="004F34D9" w:rsidRPr="00123108" w:rsidRDefault="004F34D9">
            <w:pPr>
              <w:spacing w:line="240" w:lineRule="exact"/>
              <w:jc w:val="center"/>
              <w:rPr>
                <w:rFonts w:ascii="宋体" w:hAnsi="宋体" w:cs="宋体" w:hint="eastAsia"/>
                <w:szCs w:val="21"/>
              </w:rPr>
            </w:pPr>
            <w:r w:rsidRPr="00123108">
              <w:rPr>
                <w:rFonts w:ascii="宋体" w:hAnsi="宋体" w:cs="宋体" w:hint="eastAsia"/>
                <w:szCs w:val="21"/>
              </w:rPr>
              <w:t>检测区域</w:t>
            </w:r>
          </w:p>
        </w:tc>
        <w:tc>
          <w:tcPr>
            <w:tcW w:w="1003" w:type="pct"/>
            <w:vAlign w:val="center"/>
          </w:tcPr>
          <w:p w:rsidR="004F34D9" w:rsidRPr="00123108" w:rsidRDefault="004F34D9">
            <w:pPr>
              <w:spacing w:line="240" w:lineRule="exact"/>
              <w:jc w:val="center"/>
              <w:rPr>
                <w:rFonts w:ascii="宋体" w:hAnsi="宋体" w:cs="宋体" w:hint="eastAsia"/>
                <w:szCs w:val="21"/>
              </w:rPr>
            </w:pPr>
            <w:r w:rsidRPr="00123108">
              <w:rPr>
                <w:rFonts w:ascii="宋体" w:hAnsi="宋体" w:cs="宋体" w:hint="eastAsia"/>
                <w:szCs w:val="21"/>
              </w:rPr>
              <w:t>检测单位</w:t>
            </w:r>
          </w:p>
        </w:tc>
        <w:tc>
          <w:tcPr>
            <w:tcW w:w="1022" w:type="pct"/>
            <w:vAlign w:val="center"/>
          </w:tcPr>
          <w:p w:rsidR="004F34D9" w:rsidRPr="00123108" w:rsidRDefault="004F34D9">
            <w:pPr>
              <w:spacing w:line="240" w:lineRule="exact"/>
              <w:jc w:val="center"/>
              <w:rPr>
                <w:rFonts w:ascii="宋体" w:hAnsi="宋体" w:cs="宋体" w:hint="eastAsia"/>
                <w:szCs w:val="21"/>
              </w:rPr>
            </w:pPr>
            <w:r w:rsidRPr="00123108">
              <w:rPr>
                <w:rFonts w:ascii="宋体" w:hAnsi="宋体" w:cs="宋体" w:hint="eastAsia"/>
                <w:szCs w:val="21"/>
              </w:rPr>
              <w:t>报告编号</w:t>
            </w:r>
          </w:p>
        </w:tc>
        <w:tc>
          <w:tcPr>
            <w:tcW w:w="447" w:type="pct"/>
            <w:vAlign w:val="center"/>
          </w:tcPr>
          <w:p w:rsidR="004F34D9" w:rsidRPr="00123108" w:rsidRDefault="004F34D9">
            <w:pPr>
              <w:spacing w:line="240" w:lineRule="exact"/>
              <w:jc w:val="center"/>
              <w:rPr>
                <w:rFonts w:ascii="宋体" w:hAnsi="宋体" w:cs="宋体" w:hint="eastAsia"/>
                <w:szCs w:val="21"/>
              </w:rPr>
            </w:pPr>
            <w:r w:rsidRPr="00123108">
              <w:rPr>
                <w:rFonts w:ascii="宋体" w:hAnsi="宋体" w:cs="宋体" w:hint="eastAsia"/>
                <w:szCs w:val="21"/>
              </w:rPr>
              <w:t>检测结论</w:t>
            </w:r>
          </w:p>
        </w:tc>
        <w:tc>
          <w:tcPr>
            <w:tcW w:w="725" w:type="pct"/>
            <w:vAlign w:val="center"/>
          </w:tcPr>
          <w:p w:rsidR="004F34D9" w:rsidRPr="00123108" w:rsidRDefault="004F34D9">
            <w:pPr>
              <w:spacing w:line="240" w:lineRule="exact"/>
              <w:jc w:val="center"/>
              <w:rPr>
                <w:rFonts w:ascii="宋体" w:hAnsi="宋体" w:cs="宋体" w:hint="eastAsia"/>
                <w:szCs w:val="21"/>
              </w:rPr>
            </w:pPr>
            <w:r w:rsidRPr="00123108">
              <w:rPr>
                <w:rFonts w:ascii="宋体" w:hAnsi="宋体" w:cs="宋体" w:hint="eastAsia"/>
                <w:szCs w:val="21"/>
              </w:rPr>
              <w:t>下次检测日期</w:t>
            </w:r>
          </w:p>
        </w:tc>
      </w:tr>
      <w:tr w:rsidR="004F34D9" w:rsidRPr="00123108">
        <w:trPr>
          <w:trHeight w:val="428"/>
          <w:jc w:val="center"/>
        </w:trPr>
        <w:tc>
          <w:tcPr>
            <w:tcW w:w="256" w:type="pct"/>
            <w:vAlign w:val="center"/>
          </w:tcPr>
          <w:p w:rsidR="004F34D9" w:rsidRPr="00123108" w:rsidRDefault="004F34D9">
            <w:pPr>
              <w:spacing w:line="240" w:lineRule="exact"/>
              <w:jc w:val="center"/>
              <w:rPr>
                <w:rFonts w:ascii="宋体" w:hAnsi="宋体" w:cs="宋体" w:hint="eastAsia"/>
                <w:szCs w:val="21"/>
              </w:rPr>
            </w:pPr>
            <w:r w:rsidRPr="00123108">
              <w:rPr>
                <w:rFonts w:ascii="宋体" w:hAnsi="宋体" w:cs="宋体" w:hint="eastAsia"/>
                <w:szCs w:val="21"/>
              </w:rPr>
              <w:t>1</w:t>
            </w:r>
          </w:p>
        </w:tc>
        <w:tc>
          <w:tcPr>
            <w:tcW w:w="1543" w:type="pct"/>
            <w:vAlign w:val="center"/>
          </w:tcPr>
          <w:p w:rsidR="004F34D9" w:rsidRPr="00123108" w:rsidRDefault="004F34D9">
            <w:pPr>
              <w:spacing w:line="240" w:lineRule="exact"/>
              <w:jc w:val="center"/>
              <w:rPr>
                <w:rFonts w:ascii="宋体" w:hAnsi="宋体" w:cs="宋体" w:hint="eastAsia"/>
                <w:szCs w:val="21"/>
              </w:rPr>
            </w:pPr>
            <w:r w:rsidRPr="00123108">
              <w:rPr>
                <w:rFonts w:ascii="宋体" w:hAnsi="宋体" w:cs="宋体" w:hint="eastAsia"/>
                <w:szCs w:val="21"/>
                <w:lang w:val="zh-CN"/>
              </w:rPr>
              <w:t>罐区、卸车区、A反应部、A筛析部、B反应部、过氧化物仓库及相关的低压配电房</w:t>
            </w:r>
          </w:p>
        </w:tc>
        <w:tc>
          <w:tcPr>
            <w:tcW w:w="1003" w:type="pct"/>
            <w:vAlign w:val="center"/>
          </w:tcPr>
          <w:p w:rsidR="004F34D9" w:rsidRPr="00123108" w:rsidRDefault="004F34D9">
            <w:pPr>
              <w:spacing w:line="240" w:lineRule="exact"/>
              <w:jc w:val="center"/>
              <w:rPr>
                <w:rFonts w:ascii="宋体" w:hAnsi="宋体" w:cs="宋体" w:hint="eastAsia"/>
                <w:szCs w:val="21"/>
              </w:rPr>
            </w:pPr>
            <w:r w:rsidRPr="00123108">
              <w:rPr>
                <w:rFonts w:ascii="宋体" w:hAnsi="宋体" w:cs="宋体" w:hint="eastAsia"/>
                <w:szCs w:val="21"/>
              </w:rPr>
              <w:t>浙江建安检测研究院有限公司</w:t>
            </w:r>
          </w:p>
        </w:tc>
        <w:tc>
          <w:tcPr>
            <w:tcW w:w="1022" w:type="pct"/>
            <w:vAlign w:val="center"/>
          </w:tcPr>
          <w:p w:rsidR="004F34D9" w:rsidRPr="00123108" w:rsidRDefault="004F34D9">
            <w:pPr>
              <w:spacing w:line="240" w:lineRule="exact"/>
              <w:jc w:val="center"/>
              <w:rPr>
                <w:rFonts w:ascii="宋体" w:hAnsi="宋体" w:cs="宋体" w:hint="eastAsia"/>
                <w:szCs w:val="21"/>
              </w:rPr>
            </w:pPr>
            <w:r w:rsidRPr="00123108">
              <w:rPr>
                <w:rFonts w:ascii="宋体" w:hAnsi="宋体" w:cs="宋体" w:hint="eastAsia"/>
                <w:szCs w:val="21"/>
              </w:rPr>
              <w:t>GZ2023(DFJC)-0046(01)</w:t>
            </w:r>
          </w:p>
        </w:tc>
        <w:tc>
          <w:tcPr>
            <w:tcW w:w="447" w:type="pct"/>
            <w:vAlign w:val="center"/>
          </w:tcPr>
          <w:p w:rsidR="004F34D9" w:rsidRPr="00123108" w:rsidRDefault="004F34D9">
            <w:pPr>
              <w:spacing w:line="240" w:lineRule="exact"/>
              <w:jc w:val="center"/>
              <w:rPr>
                <w:rFonts w:ascii="宋体" w:hAnsi="宋体" w:cs="宋体" w:hint="eastAsia"/>
                <w:szCs w:val="21"/>
              </w:rPr>
            </w:pPr>
            <w:r w:rsidRPr="00123108">
              <w:rPr>
                <w:rFonts w:ascii="宋体" w:hAnsi="宋体" w:cs="宋体" w:hint="eastAsia"/>
                <w:szCs w:val="21"/>
              </w:rPr>
              <w:t>符合规范要求</w:t>
            </w:r>
          </w:p>
        </w:tc>
        <w:tc>
          <w:tcPr>
            <w:tcW w:w="725" w:type="pct"/>
            <w:vAlign w:val="center"/>
          </w:tcPr>
          <w:p w:rsidR="004F34D9" w:rsidRPr="00123108" w:rsidRDefault="004F34D9">
            <w:pPr>
              <w:spacing w:line="240" w:lineRule="exact"/>
              <w:jc w:val="center"/>
              <w:rPr>
                <w:rFonts w:ascii="宋体" w:hAnsi="宋体" w:cs="宋体"/>
                <w:szCs w:val="21"/>
              </w:rPr>
            </w:pPr>
            <w:r w:rsidRPr="00123108">
              <w:rPr>
                <w:rFonts w:ascii="宋体" w:hAnsi="宋体" w:cs="宋体" w:hint="eastAsia"/>
                <w:szCs w:val="21"/>
              </w:rPr>
              <w:t>2026.4.27</w:t>
            </w:r>
          </w:p>
        </w:tc>
      </w:tr>
    </w:tbl>
    <w:p w:rsidR="004F34D9" w:rsidRPr="00123108" w:rsidRDefault="004F34D9" w:rsidP="00D06780">
      <w:pPr>
        <w:pStyle w:val="2"/>
        <w:spacing w:line="500" w:lineRule="exact"/>
        <w:jc w:val="both"/>
        <w:rPr>
          <w:rFonts w:ascii="宋体" w:eastAsia="宋体" w:cs="宋体" w:hint="eastAsia"/>
          <w:sz w:val="28"/>
          <w:szCs w:val="28"/>
        </w:rPr>
      </w:pPr>
      <w:bookmarkStart w:id="545" w:name="_Toc1631"/>
      <w:bookmarkStart w:id="546" w:name="_Toc21689"/>
      <w:bookmarkStart w:id="547" w:name="_Toc3809016"/>
      <w:bookmarkStart w:id="548" w:name="_Toc7975"/>
      <w:bookmarkStart w:id="549" w:name="_Toc32249"/>
      <w:bookmarkStart w:id="550" w:name="_Toc31416"/>
      <w:bookmarkStart w:id="551" w:name="_Toc28009"/>
      <w:bookmarkStart w:id="552" w:name="_Toc190935759"/>
      <w:bookmarkEnd w:id="495"/>
      <w:bookmarkEnd w:id="496"/>
      <w:bookmarkEnd w:id="497"/>
      <w:bookmarkEnd w:id="498"/>
      <w:bookmarkEnd w:id="499"/>
      <w:bookmarkEnd w:id="500"/>
      <w:bookmarkEnd w:id="501"/>
      <w:r w:rsidRPr="00123108">
        <w:rPr>
          <w:rFonts w:ascii="宋体" w:eastAsia="宋体" w:cs="宋体" w:hint="eastAsia"/>
          <w:sz w:val="28"/>
          <w:szCs w:val="28"/>
        </w:rPr>
        <w:t>2.10  公用工程及辅助设施</w:t>
      </w:r>
      <w:bookmarkEnd w:id="545"/>
      <w:bookmarkEnd w:id="546"/>
      <w:bookmarkEnd w:id="547"/>
      <w:bookmarkEnd w:id="548"/>
      <w:bookmarkEnd w:id="549"/>
      <w:bookmarkEnd w:id="550"/>
      <w:bookmarkEnd w:id="551"/>
      <w:bookmarkEnd w:id="552"/>
    </w:p>
    <w:p w:rsidR="004F34D9" w:rsidRPr="00123108" w:rsidRDefault="004F34D9" w:rsidP="00D06780">
      <w:pPr>
        <w:pStyle w:val="3"/>
        <w:spacing w:line="500" w:lineRule="exact"/>
        <w:jc w:val="both"/>
        <w:rPr>
          <w:sz w:val="28"/>
        </w:rPr>
      </w:pPr>
      <w:bookmarkStart w:id="553" w:name="_Toc71582861"/>
      <w:bookmarkStart w:id="554" w:name="_Toc274564990"/>
      <w:bookmarkStart w:id="555" w:name="_Toc375386772"/>
      <w:bookmarkStart w:id="556" w:name="_Toc190935760"/>
      <w:r w:rsidRPr="00123108">
        <w:rPr>
          <w:rFonts w:hint="eastAsia"/>
          <w:sz w:val="28"/>
        </w:rPr>
        <w:t>2.10.1  给排水</w:t>
      </w:r>
      <w:bookmarkEnd w:id="553"/>
      <w:bookmarkEnd w:id="554"/>
      <w:bookmarkEnd w:id="555"/>
      <w:bookmarkEnd w:id="556"/>
    </w:p>
    <w:p w:rsidR="004F34D9" w:rsidRPr="00123108" w:rsidRDefault="004F34D9" w:rsidP="00D06780">
      <w:pPr>
        <w:tabs>
          <w:tab w:val="left" w:pos="525"/>
        </w:tabs>
        <w:spacing w:line="500" w:lineRule="exact"/>
        <w:ind w:firstLineChars="200" w:firstLine="560"/>
        <w:rPr>
          <w:rFonts w:ascii="宋体" w:hAnsi="宋体"/>
          <w:sz w:val="28"/>
        </w:rPr>
      </w:pPr>
      <w:r w:rsidRPr="00123108">
        <w:rPr>
          <w:rFonts w:ascii="宋体" w:hAnsi="宋体" w:hint="eastAsia"/>
          <w:sz w:val="28"/>
        </w:rPr>
        <w:t>（1）供水</w:t>
      </w:r>
    </w:p>
    <w:p w:rsidR="004F34D9" w:rsidRPr="00123108" w:rsidRDefault="004F34D9" w:rsidP="00D06780">
      <w:pPr>
        <w:tabs>
          <w:tab w:val="left" w:pos="525"/>
        </w:tabs>
        <w:spacing w:line="500" w:lineRule="exact"/>
        <w:ind w:firstLineChars="200" w:firstLine="560"/>
        <w:rPr>
          <w:rFonts w:ascii="宋体" w:hAnsi="宋体"/>
          <w:sz w:val="28"/>
        </w:rPr>
      </w:pPr>
      <w:r w:rsidRPr="00123108">
        <w:rPr>
          <w:rFonts w:ascii="宋体" w:hAnsi="宋体" w:hint="eastAsia"/>
          <w:sz w:val="28"/>
        </w:rPr>
        <w:lastRenderedPageBreak/>
        <w:t>由宁波经济技术开发区市政公司供水网提供。共有三路供水管，接入管口径分别为：DN100、DN80、DN80。水压0.3MPa，用水量</w:t>
      </w:r>
      <w:r w:rsidR="006F2491" w:rsidRPr="00123108">
        <w:rPr>
          <w:rFonts w:ascii="宋体" w:hAnsi="宋体" w:hint="eastAsia"/>
          <w:sz w:val="28"/>
        </w:rPr>
        <w:t>35</w:t>
      </w:r>
      <w:r w:rsidRPr="00123108">
        <w:rPr>
          <w:rFonts w:ascii="宋体" w:hAnsi="宋体" w:hint="eastAsia"/>
          <w:sz w:val="28"/>
        </w:rPr>
        <w:t>吨/h，水压可满足本厂生产、生活用水水压要求。</w:t>
      </w:r>
    </w:p>
    <w:p w:rsidR="004F34D9" w:rsidRPr="00123108" w:rsidRDefault="004F34D9" w:rsidP="00D06780">
      <w:pPr>
        <w:tabs>
          <w:tab w:val="left" w:pos="525"/>
        </w:tabs>
        <w:spacing w:line="500" w:lineRule="exact"/>
        <w:ind w:firstLineChars="200" w:firstLine="560"/>
        <w:rPr>
          <w:rFonts w:ascii="宋体" w:hAnsi="宋体"/>
          <w:sz w:val="28"/>
        </w:rPr>
      </w:pPr>
      <w:r w:rsidRPr="00123108">
        <w:rPr>
          <w:rFonts w:ascii="宋体" w:hAnsi="宋体" w:hint="eastAsia"/>
          <w:sz w:val="28"/>
        </w:rPr>
        <w:t>（2）消防水</w:t>
      </w:r>
    </w:p>
    <w:p w:rsidR="004F34D9" w:rsidRPr="00123108" w:rsidRDefault="004F34D9" w:rsidP="00D06780">
      <w:pPr>
        <w:tabs>
          <w:tab w:val="left" w:pos="525"/>
        </w:tabs>
        <w:spacing w:line="500" w:lineRule="exact"/>
        <w:ind w:firstLineChars="200" w:firstLine="560"/>
        <w:rPr>
          <w:rFonts w:ascii="宋体" w:hAnsi="宋体"/>
          <w:sz w:val="28"/>
        </w:rPr>
      </w:pPr>
      <w:bookmarkStart w:id="557" w:name="_Hlk62453340"/>
      <w:r w:rsidRPr="00123108">
        <w:rPr>
          <w:rFonts w:ascii="宋体" w:hAnsi="宋体" w:hint="eastAsia"/>
          <w:sz w:val="28"/>
        </w:rPr>
        <w:t>消防用水公司配备有1000m</w:t>
      </w:r>
      <w:r w:rsidRPr="00123108">
        <w:rPr>
          <w:rFonts w:ascii="宋体" w:hAnsi="宋体" w:hint="eastAsia"/>
          <w:sz w:val="28"/>
          <w:vertAlign w:val="superscript"/>
        </w:rPr>
        <w:t>3</w:t>
      </w:r>
      <w:r w:rsidRPr="00123108">
        <w:rPr>
          <w:rFonts w:ascii="宋体" w:hAnsi="宋体" w:hint="eastAsia"/>
          <w:sz w:val="28"/>
        </w:rPr>
        <w:t>的消防水池，正常情况下通过稳压泵，使消防管网压力保持在0.7~0.8MPa左右，事故状态下启动增压泵，增压至0.8MPa，可满足消防需要。</w:t>
      </w:r>
    </w:p>
    <w:bookmarkEnd w:id="557"/>
    <w:p w:rsidR="004F34D9" w:rsidRPr="00123108" w:rsidRDefault="004F34D9" w:rsidP="00D06780">
      <w:pPr>
        <w:tabs>
          <w:tab w:val="left" w:pos="525"/>
        </w:tabs>
        <w:spacing w:line="500" w:lineRule="exact"/>
        <w:ind w:firstLineChars="200" w:firstLine="560"/>
        <w:rPr>
          <w:rFonts w:ascii="宋体" w:hAnsi="宋体"/>
          <w:sz w:val="28"/>
        </w:rPr>
      </w:pPr>
      <w:r w:rsidRPr="00123108">
        <w:rPr>
          <w:rFonts w:ascii="宋体" w:hAnsi="宋体" w:hint="eastAsia"/>
          <w:sz w:val="28"/>
        </w:rPr>
        <w:t>（3）循环冷却水</w:t>
      </w:r>
    </w:p>
    <w:p w:rsidR="004F34D9" w:rsidRPr="00123108" w:rsidRDefault="004F34D9" w:rsidP="00D06780">
      <w:pPr>
        <w:tabs>
          <w:tab w:val="left" w:pos="525"/>
        </w:tabs>
        <w:spacing w:line="500" w:lineRule="exact"/>
        <w:ind w:firstLineChars="200" w:firstLine="560"/>
        <w:rPr>
          <w:rFonts w:ascii="宋体" w:hAnsi="宋体"/>
          <w:sz w:val="28"/>
        </w:rPr>
      </w:pPr>
      <w:r w:rsidRPr="00123108">
        <w:rPr>
          <w:rFonts w:ascii="宋体" w:hAnsi="宋体" w:hint="eastAsia"/>
          <w:sz w:val="28"/>
        </w:rPr>
        <w:t>为保证聚合反应釜冷却需要，配备250m</w:t>
      </w:r>
      <w:r w:rsidRPr="00123108">
        <w:rPr>
          <w:rFonts w:ascii="宋体" w:hAnsi="宋体" w:hint="eastAsia"/>
          <w:sz w:val="28"/>
          <w:vertAlign w:val="superscript"/>
        </w:rPr>
        <w:t>3</w:t>
      </w:r>
      <w:r w:rsidRPr="00123108">
        <w:rPr>
          <w:rFonts w:ascii="宋体" w:hAnsi="宋体" w:hint="eastAsia"/>
          <w:sz w:val="28"/>
        </w:rPr>
        <w:t>（</w:t>
      </w:r>
      <w:r w:rsidRPr="00123108">
        <w:rPr>
          <w:rFonts w:ascii="宋体" w:hAnsi="宋体"/>
          <w:sz w:val="28"/>
        </w:rPr>
        <w:t>6*4*3.9</w:t>
      </w:r>
      <w:r w:rsidRPr="00123108">
        <w:rPr>
          <w:rFonts w:ascii="宋体" w:hAnsi="宋体" w:hint="eastAsia"/>
          <w:sz w:val="28"/>
        </w:rPr>
        <w:t>）的循环冷却水池一座（冷却塔下面）以及相应的冷却塔、冷却泵，可以满足冷却需要。</w:t>
      </w:r>
    </w:p>
    <w:p w:rsidR="004F34D9" w:rsidRPr="00123108" w:rsidRDefault="004F34D9" w:rsidP="00D06780">
      <w:pPr>
        <w:tabs>
          <w:tab w:val="left" w:pos="525"/>
        </w:tabs>
        <w:spacing w:line="500" w:lineRule="exact"/>
        <w:ind w:firstLineChars="200" w:firstLine="560"/>
        <w:rPr>
          <w:rFonts w:ascii="宋体" w:hAnsi="宋体"/>
          <w:sz w:val="28"/>
        </w:rPr>
      </w:pPr>
      <w:r w:rsidRPr="00123108">
        <w:rPr>
          <w:rFonts w:ascii="宋体" w:hAnsi="宋体" w:hint="eastAsia"/>
          <w:sz w:val="28"/>
        </w:rPr>
        <w:t>（4）污水排放</w:t>
      </w:r>
    </w:p>
    <w:p w:rsidR="004F34D9" w:rsidRPr="00123108" w:rsidRDefault="004F34D9" w:rsidP="00D06780">
      <w:pPr>
        <w:tabs>
          <w:tab w:val="left" w:pos="525"/>
        </w:tabs>
        <w:spacing w:line="500" w:lineRule="exact"/>
        <w:ind w:firstLineChars="200" w:firstLine="560"/>
        <w:rPr>
          <w:rFonts w:ascii="宋体" w:hAnsi="宋体" w:hint="eastAsia"/>
          <w:sz w:val="28"/>
        </w:rPr>
      </w:pPr>
      <w:r w:rsidRPr="00123108">
        <w:rPr>
          <w:rFonts w:ascii="宋体" w:hAnsi="宋体" w:hint="eastAsia"/>
          <w:sz w:val="28"/>
        </w:rPr>
        <w:t>本项目的污水排放采用清污分流形式，厂区设雨水管网，后期雨水与清净下水汇流送入北仑海域。被污染的前期雨水经收集后与全厂污水一并送入污水处理站处理达标后，通过污水管网排入小港污水处理厂。</w:t>
      </w:r>
      <w:bookmarkStart w:id="558" w:name="_Toc274564991"/>
    </w:p>
    <w:p w:rsidR="004F34D9" w:rsidRDefault="004F34D9" w:rsidP="00D06780">
      <w:pPr>
        <w:pStyle w:val="3"/>
        <w:spacing w:line="500" w:lineRule="exact"/>
        <w:jc w:val="both"/>
        <w:rPr>
          <w:rFonts w:hint="eastAsia"/>
          <w:sz w:val="28"/>
        </w:rPr>
      </w:pPr>
      <w:bookmarkStart w:id="559" w:name="_Toc375386773"/>
      <w:bookmarkStart w:id="560" w:name="_Toc71582862"/>
      <w:bookmarkStart w:id="561" w:name="_Toc190935761"/>
      <w:r w:rsidRPr="00123108">
        <w:rPr>
          <w:rFonts w:hint="eastAsia"/>
          <w:sz w:val="28"/>
        </w:rPr>
        <w:t>2.10.2  供电</w:t>
      </w:r>
      <w:bookmarkEnd w:id="558"/>
      <w:bookmarkEnd w:id="559"/>
      <w:bookmarkEnd w:id="560"/>
      <w:bookmarkEnd w:id="561"/>
    </w:p>
    <w:p w:rsidR="00E006F5" w:rsidRDefault="00E006F5" w:rsidP="00E006F5">
      <w:pPr>
        <w:rPr>
          <w:rFonts w:hint="eastAsia"/>
        </w:rPr>
      </w:pPr>
    </w:p>
    <w:p w:rsidR="00E006F5" w:rsidRDefault="00E006F5" w:rsidP="00E006F5">
      <w:pPr>
        <w:spacing w:line="500" w:lineRule="exact"/>
        <w:jc w:val="center"/>
        <w:rPr>
          <w:rFonts w:ascii="宋体" w:hAnsi="宋体"/>
          <w:b/>
          <w:bCs/>
          <w:sz w:val="28"/>
          <w:szCs w:val="28"/>
        </w:rPr>
      </w:pPr>
      <w:r>
        <w:rPr>
          <w:rFonts w:ascii="宋体" w:hAnsi="宋体" w:hint="eastAsia"/>
          <w:b/>
          <w:sz w:val="28"/>
          <w:szCs w:val="28"/>
        </w:rPr>
        <w:t>涉及企业机密，不予公开。</w:t>
      </w:r>
    </w:p>
    <w:p w:rsidR="00E006F5" w:rsidRPr="00E006F5" w:rsidRDefault="00E006F5" w:rsidP="00E006F5"/>
    <w:p w:rsidR="004F34D9" w:rsidRPr="00123108" w:rsidRDefault="004F34D9">
      <w:pPr>
        <w:spacing w:line="360" w:lineRule="auto"/>
        <w:rPr>
          <w:rFonts w:ascii="宋体" w:hAnsi="宋体"/>
          <w:sz w:val="28"/>
        </w:rPr>
      </w:pPr>
    </w:p>
    <w:p w:rsidR="004F34D9" w:rsidRPr="00123108" w:rsidRDefault="004F34D9">
      <w:pPr>
        <w:spacing w:line="360" w:lineRule="auto"/>
        <w:jc w:val="center"/>
        <w:rPr>
          <w:rFonts w:ascii="宋体" w:hAnsi="宋体"/>
          <w:b/>
          <w:bCs/>
          <w:sz w:val="28"/>
        </w:rPr>
      </w:pPr>
      <w:bookmarkStart w:id="562" w:name="_Hlk63104673"/>
      <w:r w:rsidRPr="00123108">
        <w:rPr>
          <w:rFonts w:ascii="宋体" w:hAnsi="宋体" w:hint="eastAsia"/>
          <w:b/>
          <w:bCs/>
          <w:sz w:val="28"/>
        </w:rPr>
        <w:t>图2</w:t>
      </w:r>
      <w:r w:rsidRPr="00123108">
        <w:rPr>
          <w:rFonts w:ascii="宋体" w:hAnsi="宋体"/>
          <w:b/>
          <w:bCs/>
          <w:sz w:val="28"/>
        </w:rPr>
        <w:t>.</w:t>
      </w:r>
      <w:r w:rsidRPr="00123108">
        <w:rPr>
          <w:rFonts w:ascii="宋体" w:hAnsi="宋体" w:hint="eastAsia"/>
          <w:b/>
          <w:bCs/>
          <w:sz w:val="28"/>
        </w:rPr>
        <w:t>10-1 配电系统模拟图</w:t>
      </w:r>
    </w:p>
    <w:p w:rsidR="004F34D9" w:rsidRPr="00123108" w:rsidRDefault="004F34D9" w:rsidP="00D06780">
      <w:pPr>
        <w:pStyle w:val="3"/>
        <w:spacing w:line="500" w:lineRule="exact"/>
        <w:jc w:val="both"/>
        <w:rPr>
          <w:sz w:val="28"/>
        </w:rPr>
      </w:pPr>
      <w:bookmarkStart w:id="563" w:name="_Toc375386774"/>
      <w:bookmarkStart w:id="564" w:name="_Toc274564992"/>
      <w:bookmarkStart w:id="565" w:name="_Toc71582863"/>
      <w:bookmarkStart w:id="566" w:name="_Toc190935762"/>
      <w:bookmarkEnd w:id="562"/>
      <w:r w:rsidRPr="00123108">
        <w:rPr>
          <w:rFonts w:hint="eastAsia"/>
          <w:sz w:val="28"/>
        </w:rPr>
        <w:t>2.10.3  供汽</w:t>
      </w:r>
      <w:bookmarkEnd w:id="563"/>
      <w:bookmarkEnd w:id="564"/>
      <w:bookmarkEnd w:id="565"/>
      <w:bookmarkEnd w:id="566"/>
    </w:p>
    <w:p w:rsidR="004F34D9" w:rsidRPr="00123108" w:rsidRDefault="004F34D9" w:rsidP="00D06780">
      <w:pPr>
        <w:tabs>
          <w:tab w:val="left" w:pos="525"/>
        </w:tabs>
        <w:spacing w:line="500" w:lineRule="exact"/>
        <w:ind w:firstLineChars="200" w:firstLine="560"/>
        <w:rPr>
          <w:rFonts w:ascii="宋体" w:hAnsi="宋体"/>
          <w:sz w:val="28"/>
        </w:rPr>
      </w:pPr>
      <w:r w:rsidRPr="00123108">
        <w:rPr>
          <w:rFonts w:ascii="宋体" w:hAnsi="宋体" w:hint="eastAsia"/>
          <w:sz w:val="28"/>
        </w:rPr>
        <w:t>新桥化工的蒸汽由小港热电厂提供，蒸汽管道从热电厂敷设至企业内，管径</w:t>
      </w:r>
      <w:r w:rsidR="006F2491" w:rsidRPr="00123108">
        <w:rPr>
          <w:rFonts w:ascii="宋体" w:hAnsi="宋体" w:hint="eastAsia"/>
          <w:sz w:val="28"/>
        </w:rPr>
        <w:t>DN150</w:t>
      </w:r>
      <w:r w:rsidRPr="00123108">
        <w:rPr>
          <w:rFonts w:ascii="宋体" w:hAnsi="宋体" w:hint="eastAsia"/>
          <w:sz w:val="28"/>
        </w:rPr>
        <w:t>，全长约</w:t>
      </w:r>
      <w:r w:rsidR="00964855" w:rsidRPr="00123108">
        <w:rPr>
          <w:rFonts w:ascii="宋体" w:hAnsi="宋体" w:hint="eastAsia"/>
          <w:sz w:val="28"/>
        </w:rPr>
        <w:t>70</w:t>
      </w:r>
      <w:r w:rsidRPr="00123108">
        <w:rPr>
          <w:rFonts w:ascii="宋体" w:hAnsi="宋体" w:hint="eastAsia"/>
          <w:sz w:val="28"/>
        </w:rPr>
        <w:t>m。蒸汽压力为0.8-1.0MPa，经减压后使用压力为0.</w:t>
      </w:r>
      <w:r w:rsidRPr="00123108">
        <w:rPr>
          <w:rFonts w:ascii="宋体" w:hAnsi="宋体"/>
          <w:sz w:val="28"/>
        </w:rPr>
        <w:t>4</w:t>
      </w:r>
      <w:r w:rsidRPr="00123108">
        <w:rPr>
          <w:rFonts w:ascii="宋体" w:hAnsi="宋体" w:hint="eastAsia"/>
          <w:sz w:val="28"/>
        </w:rPr>
        <w:t>MPa左右，管径有DN125、DN100、DN80。</w:t>
      </w:r>
    </w:p>
    <w:p w:rsidR="004F34D9" w:rsidRPr="00123108" w:rsidRDefault="004F34D9" w:rsidP="00D06780">
      <w:pPr>
        <w:pStyle w:val="3"/>
        <w:spacing w:line="500" w:lineRule="exact"/>
        <w:jc w:val="both"/>
        <w:rPr>
          <w:sz w:val="28"/>
        </w:rPr>
      </w:pPr>
      <w:bookmarkStart w:id="567" w:name="_Toc274564993"/>
      <w:bookmarkStart w:id="568" w:name="_Toc375386775"/>
      <w:bookmarkStart w:id="569" w:name="_Toc71582864"/>
      <w:bookmarkStart w:id="570" w:name="_Toc190935763"/>
      <w:r w:rsidRPr="00123108">
        <w:rPr>
          <w:rFonts w:hint="eastAsia"/>
          <w:sz w:val="28"/>
        </w:rPr>
        <w:t>2.10.4  供气</w:t>
      </w:r>
      <w:bookmarkEnd w:id="567"/>
      <w:bookmarkEnd w:id="568"/>
      <w:bookmarkEnd w:id="569"/>
      <w:bookmarkEnd w:id="570"/>
    </w:p>
    <w:p w:rsidR="004F34D9" w:rsidRDefault="004F34D9" w:rsidP="00D06780">
      <w:pPr>
        <w:spacing w:line="500" w:lineRule="exact"/>
        <w:ind w:firstLineChars="200" w:firstLine="560"/>
        <w:rPr>
          <w:rFonts w:ascii="宋体" w:hAnsi="宋体" w:hint="eastAsia"/>
          <w:sz w:val="28"/>
        </w:rPr>
      </w:pPr>
      <w:r w:rsidRPr="00123108">
        <w:rPr>
          <w:rFonts w:ascii="宋体" w:hAnsi="宋体" w:hint="eastAsia"/>
          <w:sz w:val="28"/>
        </w:rPr>
        <w:t>（1）压缩空气</w:t>
      </w:r>
    </w:p>
    <w:p w:rsidR="00E006F5" w:rsidRDefault="00E006F5" w:rsidP="00E006F5">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Default="004F34D9" w:rsidP="00D06780">
      <w:pPr>
        <w:spacing w:line="500" w:lineRule="exact"/>
        <w:ind w:firstLineChars="200" w:firstLine="560"/>
        <w:rPr>
          <w:rFonts w:ascii="宋体" w:hAnsi="宋体" w:hint="eastAsia"/>
          <w:sz w:val="28"/>
        </w:rPr>
      </w:pPr>
      <w:bookmarkStart w:id="571" w:name="_Hlk62453870"/>
      <w:r w:rsidRPr="00123108">
        <w:rPr>
          <w:rFonts w:ascii="宋体" w:hAnsi="宋体" w:hint="eastAsia"/>
          <w:sz w:val="28"/>
        </w:rPr>
        <w:t>（2）氮气</w:t>
      </w:r>
    </w:p>
    <w:p w:rsidR="00E006F5" w:rsidRDefault="00E006F5" w:rsidP="00E006F5">
      <w:pPr>
        <w:spacing w:line="500" w:lineRule="exact"/>
        <w:jc w:val="center"/>
        <w:rPr>
          <w:rFonts w:ascii="宋体" w:hAnsi="宋体"/>
          <w:b/>
          <w:bCs/>
          <w:sz w:val="28"/>
          <w:szCs w:val="28"/>
        </w:rPr>
      </w:pPr>
      <w:r>
        <w:rPr>
          <w:rFonts w:ascii="宋体" w:hAnsi="宋体" w:hint="eastAsia"/>
          <w:b/>
          <w:sz w:val="28"/>
          <w:szCs w:val="28"/>
        </w:rPr>
        <w:lastRenderedPageBreak/>
        <w:t>涉及企业机密，不予公开。</w:t>
      </w:r>
    </w:p>
    <w:p w:rsidR="00E006F5" w:rsidRDefault="00E006F5" w:rsidP="00D06780">
      <w:pPr>
        <w:spacing w:line="500" w:lineRule="exact"/>
        <w:ind w:firstLineChars="200" w:firstLine="560"/>
        <w:rPr>
          <w:rFonts w:ascii="宋体" w:hAnsi="宋体" w:hint="eastAsia"/>
          <w:sz w:val="28"/>
        </w:rPr>
      </w:pPr>
    </w:p>
    <w:p w:rsidR="004F34D9" w:rsidRPr="00123108" w:rsidRDefault="004F34D9" w:rsidP="00D06780">
      <w:pPr>
        <w:pStyle w:val="3"/>
        <w:spacing w:line="500" w:lineRule="exact"/>
        <w:jc w:val="both"/>
        <w:rPr>
          <w:sz w:val="28"/>
        </w:rPr>
      </w:pPr>
      <w:bookmarkStart w:id="572" w:name="_Toc190935764"/>
      <w:r w:rsidRPr="00123108">
        <w:rPr>
          <w:rFonts w:hint="eastAsia"/>
          <w:sz w:val="28"/>
        </w:rPr>
        <w:t>2.10.5  循环冷却系统</w:t>
      </w:r>
      <w:bookmarkEnd w:id="572"/>
    </w:p>
    <w:p w:rsidR="004F34D9" w:rsidRPr="00123108" w:rsidRDefault="004F34D9" w:rsidP="00D06780">
      <w:pPr>
        <w:spacing w:line="500" w:lineRule="exact"/>
        <w:ind w:firstLineChars="200" w:firstLine="560"/>
        <w:rPr>
          <w:rFonts w:ascii="宋体" w:hAnsi="宋体" w:hint="eastAsia"/>
          <w:sz w:val="28"/>
          <w:szCs w:val="28"/>
        </w:rPr>
      </w:pPr>
      <w:r w:rsidRPr="00123108">
        <w:rPr>
          <w:rFonts w:ascii="宋体" w:hAnsi="宋体" w:hint="eastAsia"/>
          <w:sz w:val="28"/>
          <w:szCs w:val="28"/>
        </w:rPr>
        <w:t>新桥化工设有2套制冷机组，冷却水塔参数见表2.10-2。制冷剂为氟利昂。</w:t>
      </w:r>
    </w:p>
    <w:p w:rsidR="004F34D9" w:rsidRDefault="004F34D9" w:rsidP="00D06780">
      <w:pPr>
        <w:spacing w:line="500" w:lineRule="exact"/>
        <w:jc w:val="center"/>
        <w:rPr>
          <w:rFonts w:ascii="宋体" w:hAnsi="宋体" w:hint="eastAsia"/>
          <w:sz w:val="28"/>
          <w:szCs w:val="28"/>
        </w:rPr>
      </w:pPr>
      <w:r w:rsidRPr="00123108">
        <w:rPr>
          <w:rFonts w:ascii="宋体" w:hAnsi="宋体" w:hint="eastAsia"/>
          <w:sz w:val="28"/>
          <w:szCs w:val="28"/>
        </w:rPr>
        <w:t>表2.10-2 冷却水塔参数</w:t>
      </w:r>
    </w:p>
    <w:p w:rsidR="00E006F5" w:rsidRDefault="00E006F5" w:rsidP="00E006F5">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Pr="00123108" w:rsidRDefault="004F34D9"/>
    <w:p w:rsidR="004F34D9" w:rsidRPr="00123108" w:rsidRDefault="004F34D9">
      <w:pPr>
        <w:pStyle w:val="3"/>
        <w:jc w:val="both"/>
        <w:rPr>
          <w:sz w:val="28"/>
        </w:rPr>
      </w:pPr>
      <w:bookmarkStart w:id="573" w:name="_Toc71582865"/>
      <w:bookmarkStart w:id="574" w:name="_Toc375386776"/>
      <w:bookmarkStart w:id="575" w:name="_Toc274564994"/>
      <w:bookmarkStart w:id="576" w:name="_Toc190935765"/>
      <w:bookmarkEnd w:id="571"/>
      <w:r w:rsidRPr="00123108">
        <w:rPr>
          <w:rFonts w:hint="eastAsia"/>
          <w:sz w:val="28"/>
        </w:rPr>
        <w:t>2.10.6  通讯</w:t>
      </w:r>
      <w:bookmarkEnd w:id="573"/>
      <w:bookmarkEnd w:id="574"/>
      <w:bookmarkEnd w:id="575"/>
      <w:bookmarkEnd w:id="576"/>
    </w:p>
    <w:p w:rsidR="004F34D9" w:rsidRPr="00123108" w:rsidRDefault="004F34D9" w:rsidP="00786F28">
      <w:pPr>
        <w:spacing w:line="360" w:lineRule="auto"/>
        <w:ind w:firstLineChars="192" w:firstLine="538"/>
        <w:rPr>
          <w:rFonts w:ascii="宋体" w:hAnsi="宋体"/>
          <w:sz w:val="28"/>
        </w:rPr>
      </w:pPr>
      <w:r w:rsidRPr="00123108">
        <w:rPr>
          <w:rFonts w:ascii="宋体" w:hAnsi="宋体" w:hint="eastAsia"/>
          <w:sz w:val="28"/>
        </w:rPr>
        <w:t>（1）电话系统及数据传输系统</w:t>
      </w:r>
    </w:p>
    <w:p w:rsidR="004F34D9" w:rsidRPr="00123108" w:rsidRDefault="004F34D9" w:rsidP="00786F28">
      <w:pPr>
        <w:spacing w:line="360" w:lineRule="auto"/>
        <w:ind w:firstLineChars="192" w:firstLine="538"/>
        <w:rPr>
          <w:rFonts w:ascii="宋体" w:hAnsi="宋体"/>
          <w:sz w:val="28"/>
        </w:rPr>
      </w:pPr>
      <w:r w:rsidRPr="00123108">
        <w:rPr>
          <w:rFonts w:ascii="宋体" w:hAnsi="宋体" w:hint="eastAsia"/>
          <w:sz w:val="28"/>
        </w:rPr>
        <w:t>新桥化工设有电话交换机及数据通讯系统，主要设备安装在办公楼，日常及应急时可通过电话与外界联系。</w:t>
      </w:r>
    </w:p>
    <w:p w:rsidR="004F34D9" w:rsidRPr="00123108" w:rsidRDefault="004F34D9" w:rsidP="00786F28">
      <w:pPr>
        <w:spacing w:line="360" w:lineRule="auto"/>
        <w:ind w:firstLineChars="192" w:firstLine="538"/>
        <w:rPr>
          <w:rFonts w:ascii="宋体" w:hAnsi="宋体"/>
          <w:sz w:val="28"/>
        </w:rPr>
      </w:pPr>
      <w:r w:rsidRPr="00123108">
        <w:rPr>
          <w:rFonts w:ascii="宋体" w:hAnsi="宋体" w:hint="eastAsia"/>
          <w:sz w:val="28"/>
        </w:rPr>
        <w:t>（2）火灾自动报警系统</w:t>
      </w:r>
    </w:p>
    <w:p w:rsidR="004F34D9" w:rsidRPr="00123108" w:rsidRDefault="004F34D9" w:rsidP="00786F28">
      <w:pPr>
        <w:spacing w:line="360" w:lineRule="auto"/>
        <w:ind w:firstLineChars="192" w:firstLine="538"/>
        <w:rPr>
          <w:rFonts w:ascii="宋体" w:hAnsi="宋体"/>
          <w:sz w:val="28"/>
        </w:rPr>
      </w:pPr>
      <w:r w:rsidRPr="00123108">
        <w:rPr>
          <w:rFonts w:ascii="宋体" w:hAnsi="宋体" w:hint="eastAsia"/>
          <w:sz w:val="28"/>
        </w:rPr>
        <w:t>装置内火灾报警系统采用集中-区域方式，PS界区内为区域报警，公司门卫室为集中报警。根据场所特点分别设置烟感探测、手动报警按钮等，以上信号同时也接至集中报警控制盘。</w:t>
      </w:r>
    </w:p>
    <w:p w:rsidR="004F34D9" w:rsidRPr="00123108" w:rsidRDefault="004F34D9" w:rsidP="00786F28">
      <w:pPr>
        <w:spacing w:line="360" w:lineRule="auto"/>
        <w:ind w:firstLineChars="192" w:firstLine="538"/>
        <w:rPr>
          <w:rFonts w:ascii="宋体" w:hAnsi="宋体"/>
          <w:sz w:val="28"/>
        </w:rPr>
      </w:pPr>
      <w:r w:rsidRPr="00123108">
        <w:rPr>
          <w:rFonts w:ascii="宋体" w:hAnsi="宋体" w:hint="eastAsia"/>
          <w:sz w:val="28"/>
        </w:rPr>
        <w:t>（3）工业电视系统</w:t>
      </w:r>
    </w:p>
    <w:p w:rsidR="004F34D9" w:rsidRPr="00123108" w:rsidRDefault="004F34D9" w:rsidP="00786F28">
      <w:pPr>
        <w:spacing w:line="360" w:lineRule="auto"/>
        <w:ind w:firstLineChars="192" w:firstLine="538"/>
        <w:rPr>
          <w:rFonts w:ascii="宋体" w:hAnsi="宋体" w:hint="eastAsia"/>
          <w:sz w:val="28"/>
          <w:szCs w:val="28"/>
        </w:rPr>
      </w:pPr>
      <w:r w:rsidRPr="00123108">
        <w:rPr>
          <w:rFonts w:ascii="宋体" w:hAnsi="宋体" w:hint="eastAsia"/>
          <w:sz w:val="28"/>
        </w:rPr>
        <w:t>在控制室设工业电视监视系统的总监控台，可在此台调出装置内必要区域工业电视系统中任一摄像和输出画面信号，可对重大危险源区域进行全覆盖。</w:t>
      </w:r>
      <w:r w:rsidR="00050044" w:rsidRPr="00123108">
        <w:rPr>
          <w:rFonts w:ascii="宋体" w:hAnsi="宋体" w:hint="eastAsia"/>
          <w:sz w:val="28"/>
        </w:rPr>
        <w:t>企业工业电视分布见表</w:t>
      </w:r>
      <w:r w:rsidR="00050044" w:rsidRPr="00123108">
        <w:rPr>
          <w:rFonts w:ascii="宋体" w:hAnsi="宋体" w:hint="eastAsia"/>
          <w:sz w:val="28"/>
          <w:szCs w:val="28"/>
        </w:rPr>
        <w:t>2.10-3.</w:t>
      </w:r>
    </w:p>
    <w:p w:rsidR="00050044" w:rsidRDefault="00050044" w:rsidP="008F4ED4">
      <w:pPr>
        <w:spacing w:line="360" w:lineRule="auto"/>
        <w:ind w:firstLineChars="192" w:firstLine="540"/>
        <w:jc w:val="center"/>
        <w:rPr>
          <w:rFonts w:ascii="黑体" w:eastAsia="黑体" w:hAnsi="黑体" w:hint="eastAsia"/>
          <w:b/>
          <w:sz w:val="28"/>
          <w:szCs w:val="28"/>
        </w:rPr>
      </w:pPr>
      <w:r w:rsidRPr="00123108">
        <w:rPr>
          <w:rFonts w:ascii="黑体" w:eastAsia="黑体" w:hAnsi="黑体" w:hint="eastAsia"/>
          <w:b/>
          <w:sz w:val="28"/>
        </w:rPr>
        <w:t>表</w:t>
      </w:r>
      <w:r w:rsidRPr="00123108">
        <w:rPr>
          <w:rFonts w:ascii="黑体" w:eastAsia="黑体" w:hAnsi="黑体" w:hint="eastAsia"/>
          <w:b/>
          <w:sz w:val="28"/>
          <w:szCs w:val="28"/>
        </w:rPr>
        <w:t>2.10-3 工业电视分布情况一览表</w:t>
      </w:r>
    </w:p>
    <w:p w:rsidR="00E006F5" w:rsidRDefault="00E006F5" w:rsidP="00E006F5">
      <w:pPr>
        <w:spacing w:line="500" w:lineRule="exact"/>
        <w:jc w:val="center"/>
        <w:rPr>
          <w:rFonts w:ascii="宋体" w:hAnsi="宋体"/>
          <w:b/>
          <w:bCs/>
          <w:sz w:val="28"/>
          <w:szCs w:val="28"/>
        </w:rPr>
      </w:pPr>
      <w:r>
        <w:rPr>
          <w:rFonts w:ascii="宋体" w:hAnsi="宋体" w:hint="eastAsia"/>
          <w:b/>
          <w:sz w:val="28"/>
          <w:szCs w:val="28"/>
        </w:rPr>
        <w:t>涉及企业机密，不予公开。</w:t>
      </w:r>
    </w:p>
    <w:p w:rsidR="00E006F5" w:rsidRDefault="00E006F5" w:rsidP="008F4ED4">
      <w:pPr>
        <w:spacing w:line="360" w:lineRule="auto"/>
        <w:ind w:firstLineChars="192" w:firstLine="540"/>
        <w:jc w:val="center"/>
        <w:rPr>
          <w:rFonts w:ascii="黑体" w:eastAsia="黑体" w:hAnsi="黑体" w:hint="eastAsia"/>
          <w:b/>
          <w:sz w:val="28"/>
          <w:szCs w:val="28"/>
        </w:rPr>
      </w:pPr>
    </w:p>
    <w:p w:rsidR="004F34D9" w:rsidRPr="00123108" w:rsidRDefault="004F34D9" w:rsidP="00786F28">
      <w:pPr>
        <w:spacing w:line="360" w:lineRule="auto"/>
        <w:ind w:firstLineChars="192" w:firstLine="538"/>
        <w:rPr>
          <w:rFonts w:ascii="宋体" w:hAnsi="宋体"/>
          <w:sz w:val="28"/>
        </w:rPr>
      </w:pPr>
      <w:r w:rsidRPr="00123108">
        <w:rPr>
          <w:rFonts w:ascii="宋体" w:hAnsi="宋体" w:hint="eastAsia"/>
          <w:sz w:val="28"/>
        </w:rPr>
        <w:t>（4）呼叫系统</w:t>
      </w:r>
    </w:p>
    <w:p w:rsidR="004F34D9" w:rsidRPr="00123108" w:rsidRDefault="004F34D9" w:rsidP="00786F28">
      <w:pPr>
        <w:spacing w:line="360" w:lineRule="auto"/>
        <w:ind w:firstLineChars="192" w:firstLine="538"/>
        <w:rPr>
          <w:rFonts w:ascii="宋体" w:hAnsi="宋体"/>
          <w:sz w:val="28"/>
        </w:rPr>
      </w:pPr>
      <w:r w:rsidRPr="00123108">
        <w:rPr>
          <w:rFonts w:ascii="宋体" w:hAnsi="宋体" w:hint="eastAsia"/>
          <w:sz w:val="28"/>
        </w:rPr>
        <w:t>有线呼叫系统用于控制室与厂区内实现通话联系、发布通告、报警及事故危险时指挥人员撤离危险区。</w:t>
      </w:r>
    </w:p>
    <w:p w:rsidR="004F34D9" w:rsidRPr="00123108" w:rsidRDefault="004F34D9" w:rsidP="00786F28">
      <w:pPr>
        <w:spacing w:line="360" w:lineRule="auto"/>
        <w:ind w:firstLineChars="192" w:firstLine="538"/>
        <w:rPr>
          <w:rFonts w:ascii="宋体" w:hAnsi="宋体"/>
          <w:sz w:val="28"/>
        </w:rPr>
      </w:pPr>
      <w:r w:rsidRPr="00123108">
        <w:rPr>
          <w:rFonts w:ascii="宋体" w:hAnsi="宋体" w:hint="eastAsia"/>
          <w:sz w:val="28"/>
        </w:rPr>
        <w:t>（5）无线对讲系统</w:t>
      </w:r>
    </w:p>
    <w:p w:rsidR="004F34D9" w:rsidRPr="00123108" w:rsidRDefault="004F34D9" w:rsidP="00786F28">
      <w:pPr>
        <w:spacing w:line="360" w:lineRule="auto"/>
        <w:ind w:firstLineChars="192" w:firstLine="538"/>
        <w:rPr>
          <w:rFonts w:ascii="宋体" w:hAnsi="宋体" w:hint="eastAsia"/>
          <w:sz w:val="28"/>
        </w:rPr>
      </w:pPr>
      <w:r w:rsidRPr="00123108">
        <w:rPr>
          <w:rFonts w:ascii="宋体" w:hAnsi="宋体" w:hint="eastAsia"/>
          <w:sz w:val="28"/>
        </w:rPr>
        <w:lastRenderedPageBreak/>
        <w:t>为了使通讯更加灵活方便，满足安装、调试的需求，公司配置有无线对讲系统，所有对讲机均为防爆型。</w:t>
      </w:r>
    </w:p>
    <w:p w:rsidR="004F34D9" w:rsidRPr="00123108" w:rsidRDefault="004F34D9">
      <w:pPr>
        <w:pStyle w:val="3"/>
        <w:jc w:val="both"/>
        <w:rPr>
          <w:sz w:val="28"/>
        </w:rPr>
      </w:pPr>
      <w:bookmarkStart w:id="577" w:name="_Toc375386777"/>
      <w:bookmarkStart w:id="578" w:name="_Toc71582866"/>
      <w:bookmarkStart w:id="579" w:name="_Toc274564995"/>
      <w:bookmarkStart w:id="580" w:name="_Toc190935766"/>
      <w:r w:rsidRPr="00123108">
        <w:rPr>
          <w:rFonts w:hint="eastAsia"/>
          <w:sz w:val="28"/>
        </w:rPr>
        <w:t>2.10.7  消防</w:t>
      </w:r>
      <w:bookmarkEnd w:id="577"/>
      <w:bookmarkEnd w:id="578"/>
      <w:bookmarkEnd w:id="579"/>
      <w:bookmarkEnd w:id="580"/>
    </w:p>
    <w:p w:rsidR="004C686A" w:rsidRDefault="004C686A" w:rsidP="004C686A">
      <w:pPr>
        <w:spacing w:line="500" w:lineRule="exact"/>
        <w:jc w:val="center"/>
        <w:rPr>
          <w:rFonts w:ascii="宋体" w:hAnsi="宋体"/>
          <w:b/>
          <w:bCs/>
          <w:sz w:val="28"/>
          <w:szCs w:val="28"/>
        </w:rPr>
      </w:pPr>
      <w:bookmarkStart w:id="581" w:name="_Toc370360379"/>
      <w:r>
        <w:rPr>
          <w:rFonts w:ascii="宋体" w:hAnsi="宋体" w:hint="eastAsia"/>
          <w:b/>
          <w:sz w:val="28"/>
          <w:szCs w:val="28"/>
        </w:rPr>
        <w:t>涉及企业机密，不予公开。</w:t>
      </w:r>
    </w:p>
    <w:bookmarkEnd w:id="581"/>
    <w:p w:rsidR="004F34D9" w:rsidRPr="00123108" w:rsidRDefault="004F34D9">
      <w:pPr>
        <w:spacing w:line="360" w:lineRule="auto"/>
        <w:ind w:firstLineChars="200" w:firstLine="560"/>
        <w:rPr>
          <w:rFonts w:ascii="宋体" w:hAnsi="宋体"/>
          <w:sz w:val="28"/>
        </w:rPr>
      </w:pPr>
      <w:r w:rsidRPr="00123108">
        <w:rPr>
          <w:rFonts w:ascii="宋体" w:hAnsi="宋体"/>
          <w:sz w:val="28"/>
        </w:rPr>
        <w:t>本</w:t>
      </w:r>
      <w:r w:rsidRPr="00123108">
        <w:rPr>
          <w:rFonts w:ascii="宋体" w:hAnsi="宋体" w:hint="eastAsia"/>
          <w:sz w:val="28"/>
        </w:rPr>
        <w:t>项目</w:t>
      </w:r>
      <w:r w:rsidRPr="00123108">
        <w:rPr>
          <w:rFonts w:ascii="宋体" w:hAnsi="宋体"/>
          <w:sz w:val="28"/>
        </w:rPr>
        <w:t>主要消防设施见表</w:t>
      </w:r>
      <w:r w:rsidRPr="00123108">
        <w:rPr>
          <w:rFonts w:ascii="宋体" w:hAnsi="宋体" w:hint="eastAsia"/>
          <w:sz w:val="28"/>
        </w:rPr>
        <w:t>2</w:t>
      </w:r>
      <w:r w:rsidRPr="00123108">
        <w:rPr>
          <w:rFonts w:ascii="宋体" w:hAnsi="宋体"/>
          <w:sz w:val="28"/>
        </w:rPr>
        <w:t>.</w:t>
      </w:r>
      <w:r w:rsidRPr="00123108">
        <w:rPr>
          <w:rFonts w:ascii="宋体" w:hAnsi="宋体" w:hint="eastAsia"/>
          <w:sz w:val="28"/>
        </w:rPr>
        <w:t>10-</w:t>
      </w:r>
      <w:r w:rsidR="00E61F2C" w:rsidRPr="00123108">
        <w:rPr>
          <w:rFonts w:ascii="宋体" w:hAnsi="宋体" w:hint="eastAsia"/>
          <w:sz w:val="28"/>
        </w:rPr>
        <w:t>4</w:t>
      </w:r>
      <w:r w:rsidRPr="00123108">
        <w:rPr>
          <w:rFonts w:ascii="宋体" w:hAnsi="宋体"/>
          <w:sz w:val="28"/>
        </w:rPr>
        <w:t>。</w:t>
      </w:r>
    </w:p>
    <w:p w:rsidR="004F34D9" w:rsidRDefault="004F34D9">
      <w:pPr>
        <w:tabs>
          <w:tab w:val="left" w:pos="4380"/>
          <w:tab w:val="left" w:pos="4530"/>
        </w:tabs>
        <w:spacing w:line="360" w:lineRule="auto"/>
        <w:jc w:val="center"/>
        <w:rPr>
          <w:rFonts w:ascii="宋体" w:hAnsi="宋体" w:hint="eastAsia"/>
          <w:b/>
          <w:bCs/>
          <w:sz w:val="28"/>
          <w:szCs w:val="28"/>
        </w:rPr>
      </w:pPr>
      <w:r w:rsidRPr="00123108">
        <w:rPr>
          <w:rFonts w:ascii="宋体" w:hAnsi="宋体" w:hint="eastAsia"/>
          <w:b/>
          <w:bCs/>
          <w:sz w:val="28"/>
          <w:szCs w:val="28"/>
        </w:rPr>
        <w:t>表2</w:t>
      </w:r>
      <w:r w:rsidRPr="00123108">
        <w:rPr>
          <w:rFonts w:ascii="宋体" w:hAnsi="宋体"/>
          <w:b/>
          <w:bCs/>
          <w:sz w:val="28"/>
          <w:szCs w:val="28"/>
        </w:rPr>
        <w:t>.</w:t>
      </w:r>
      <w:r w:rsidRPr="00123108">
        <w:rPr>
          <w:rFonts w:ascii="宋体" w:hAnsi="宋体" w:hint="eastAsia"/>
          <w:b/>
          <w:bCs/>
          <w:sz w:val="28"/>
          <w:szCs w:val="28"/>
        </w:rPr>
        <w:t>10-</w:t>
      </w:r>
      <w:r w:rsidR="00E61F2C" w:rsidRPr="00123108">
        <w:rPr>
          <w:rFonts w:ascii="宋体" w:hAnsi="宋体" w:hint="eastAsia"/>
          <w:b/>
          <w:bCs/>
          <w:sz w:val="28"/>
          <w:szCs w:val="28"/>
        </w:rPr>
        <w:t xml:space="preserve">4 </w:t>
      </w:r>
      <w:r w:rsidRPr="00123108">
        <w:rPr>
          <w:rFonts w:ascii="宋体" w:hAnsi="宋体" w:hint="eastAsia"/>
          <w:b/>
          <w:bCs/>
          <w:sz w:val="28"/>
          <w:szCs w:val="28"/>
        </w:rPr>
        <w:t>消防设施一览表</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Pr="00123108" w:rsidRDefault="004F34D9">
      <w:pPr>
        <w:rPr>
          <w:rFonts w:hint="eastAsia"/>
        </w:rPr>
      </w:pPr>
    </w:p>
    <w:p w:rsidR="004F34D9" w:rsidRPr="00123108" w:rsidRDefault="004F34D9">
      <w:pPr>
        <w:spacing w:line="500" w:lineRule="exact"/>
        <w:outlineLvl w:val="2"/>
        <w:rPr>
          <w:rFonts w:ascii="宋体" w:hAnsi="宋体" w:cs="宋体" w:hint="eastAsia"/>
          <w:b/>
          <w:bCs/>
          <w:sz w:val="28"/>
        </w:rPr>
      </w:pPr>
      <w:bookmarkStart w:id="582" w:name="_Toc20405"/>
      <w:bookmarkStart w:id="583" w:name="_Toc21922"/>
      <w:bookmarkStart w:id="584" w:name="_Toc24475"/>
      <w:bookmarkStart w:id="585" w:name="_Toc24053"/>
      <w:bookmarkStart w:id="586" w:name="_Toc24043"/>
      <w:bookmarkStart w:id="587" w:name="_Toc17451"/>
      <w:bookmarkStart w:id="588" w:name="_Toc190935767"/>
      <w:r w:rsidRPr="00123108">
        <w:rPr>
          <w:rFonts w:ascii="宋体" w:hAnsi="宋体" w:cs="宋体" w:hint="eastAsia"/>
          <w:b/>
          <w:bCs/>
          <w:sz w:val="28"/>
        </w:rPr>
        <w:t>2.10.8  消防设施检测情况</w:t>
      </w:r>
      <w:bookmarkEnd w:id="582"/>
      <w:bookmarkEnd w:id="583"/>
      <w:bookmarkEnd w:id="584"/>
      <w:bookmarkEnd w:id="585"/>
      <w:bookmarkEnd w:id="586"/>
      <w:bookmarkEnd w:id="587"/>
      <w:bookmarkEnd w:id="588"/>
    </w:p>
    <w:p w:rsidR="004F34D9" w:rsidRPr="00123108" w:rsidRDefault="004F34D9" w:rsidP="00773D74">
      <w:pPr>
        <w:spacing w:line="500" w:lineRule="exact"/>
        <w:ind w:firstLineChars="200" w:firstLine="560"/>
        <w:rPr>
          <w:rFonts w:ascii="宋体" w:hAnsi="宋体" w:cs="宋体" w:hint="eastAsia"/>
          <w:sz w:val="28"/>
        </w:rPr>
      </w:pPr>
      <w:r w:rsidRPr="00123108">
        <w:rPr>
          <w:rFonts w:ascii="宋体" w:hAnsi="宋体" w:cs="宋体" w:hint="eastAsia"/>
          <w:sz w:val="28"/>
        </w:rPr>
        <w:t>新桥化工最近一次建筑消防设施年度检测报告已委托浙江互通消防科技有限公司于2024年3月进行了检测，报告编号：ZJJ202403NO.04571,检测内容包括</w:t>
      </w:r>
      <w:r w:rsidRPr="00123108">
        <w:rPr>
          <w:rFonts w:ascii="宋体" w:hAnsi="宋体" w:cs="宋体"/>
          <w:sz w:val="28"/>
          <w:lang w:val="zh-CN"/>
        </w:rPr>
        <w:t>火灾自动报警及联动控制系统、自动喷水灭火系统、消火栓给水系统、</w:t>
      </w:r>
      <w:r w:rsidRPr="00123108">
        <w:rPr>
          <w:rFonts w:ascii="宋体" w:hAnsi="宋体" w:cs="宋体" w:hint="eastAsia"/>
          <w:sz w:val="28"/>
          <w:lang w:val="zh-CN"/>
        </w:rPr>
        <w:t>泡沫灭火系统、火灾应急广播级警报装置、消防通讯、防火分隔、灭火器</w:t>
      </w:r>
      <w:r w:rsidRPr="00123108">
        <w:rPr>
          <w:rFonts w:ascii="宋体" w:hAnsi="宋体" w:cs="宋体" w:hint="eastAsia"/>
          <w:sz w:val="28"/>
        </w:rPr>
        <w:t>等，检测结果为合格。</w:t>
      </w:r>
      <w:bookmarkStart w:id="589" w:name="_Toc22746"/>
      <w:bookmarkStart w:id="590" w:name="_Toc3757"/>
      <w:bookmarkStart w:id="591" w:name="_Toc27754"/>
      <w:bookmarkStart w:id="592" w:name="_Toc9950"/>
      <w:bookmarkStart w:id="593" w:name="_Toc8784"/>
      <w:bookmarkStart w:id="594" w:name="_Toc3809028"/>
      <w:bookmarkStart w:id="595" w:name="_Toc31944"/>
    </w:p>
    <w:p w:rsidR="004F34D9" w:rsidRPr="00123108" w:rsidRDefault="004F34D9" w:rsidP="00D06780">
      <w:pPr>
        <w:spacing w:line="500" w:lineRule="exact"/>
        <w:outlineLvl w:val="2"/>
        <w:rPr>
          <w:rFonts w:ascii="宋体" w:hAnsi="宋体" w:cs="宋体" w:hint="eastAsia"/>
          <w:b/>
          <w:bCs/>
          <w:sz w:val="28"/>
        </w:rPr>
      </w:pPr>
      <w:bookmarkStart w:id="596" w:name="_Toc190935768"/>
      <w:r w:rsidRPr="00123108">
        <w:rPr>
          <w:rFonts w:ascii="宋体" w:hAnsi="宋体" w:cs="宋体" w:hint="eastAsia"/>
          <w:b/>
          <w:bCs/>
          <w:sz w:val="28"/>
        </w:rPr>
        <w:t>2.10.9  外部消防</w:t>
      </w:r>
      <w:bookmarkEnd w:id="596"/>
    </w:p>
    <w:p w:rsidR="004F34D9" w:rsidRPr="00123108" w:rsidRDefault="004F34D9" w:rsidP="00D06780">
      <w:pPr>
        <w:spacing w:line="500" w:lineRule="exact"/>
        <w:ind w:firstLineChars="200" w:firstLine="560"/>
        <w:rPr>
          <w:rFonts w:ascii="宋体" w:hAnsi="宋体" w:cs="宋体" w:hint="eastAsia"/>
          <w:sz w:val="28"/>
        </w:rPr>
      </w:pPr>
      <w:r w:rsidRPr="00123108">
        <w:rPr>
          <w:rFonts w:ascii="宋体" w:hAnsi="宋体" w:cs="宋体" w:hint="eastAsia"/>
          <w:sz w:val="28"/>
        </w:rPr>
        <w:t>新桥化工外部消防主要依托戚家山消防救援站，</w:t>
      </w:r>
      <w:r w:rsidR="00773D74" w:rsidRPr="00123108">
        <w:rPr>
          <w:rFonts w:ascii="宋体" w:hAnsi="宋体" w:cs="宋体" w:hint="eastAsia"/>
          <w:sz w:val="28"/>
        </w:rPr>
        <w:t>救援站各种救援车10台，队员约50人</w:t>
      </w:r>
    </w:p>
    <w:p w:rsidR="004F34D9" w:rsidRPr="00123108" w:rsidRDefault="004F34D9" w:rsidP="00D06780">
      <w:pPr>
        <w:spacing w:line="500" w:lineRule="exact"/>
        <w:outlineLvl w:val="2"/>
        <w:rPr>
          <w:rFonts w:ascii="宋体" w:hAnsi="宋体" w:cs="宋体" w:hint="eastAsia"/>
          <w:b/>
          <w:bCs/>
          <w:sz w:val="28"/>
        </w:rPr>
      </w:pPr>
      <w:bookmarkStart w:id="597" w:name="_Toc190935769"/>
      <w:r w:rsidRPr="00123108">
        <w:rPr>
          <w:rFonts w:ascii="宋体" w:hAnsi="宋体" w:cs="宋体" w:hint="eastAsia"/>
          <w:b/>
          <w:bCs/>
          <w:sz w:val="28"/>
        </w:rPr>
        <w:t>2.10.10 三废处理情况</w:t>
      </w:r>
      <w:bookmarkEnd w:id="597"/>
    </w:p>
    <w:p w:rsidR="004F34D9" w:rsidRPr="00123108" w:rsidRDefault="004F34D9" w:rsidP="00D06780">
      <w:pPr>
        <w:numPr>
          <w:ilvl w:val="1"/>
          <w:numId w:val="33"/>
        </w:numPr>
        <w:adjustRightInd w:val="0"/>
        <w:snapToGrid w:val="0"/>
        <w:spacing w:line="500" w:lineRule="exact"/>
        <w:rPr>
          <w:rFonts w:hint="eastAsia"/>
          <w:sz w:val="28"/>
        </w:rPr>
      </w:pPr>
      <w:bookmarkStart w:id="598" w:name="_Hlk70494021"/>
      <w:r w:rsidRPr="00123108">
        <w:rPr>
          <w:rFonts w:hint="eastAsia"/>
          <w:sz w:val="28"/>
        </w:rPr>
        <w:t>废水</w:t>
      </w:r>
    </w:p>
    <w:p w:rsidR="004F34D9" w:rsidRPr="00123108" w:rsidRDefault="004F34D9" w:rsidP="00D06780">
      <w:pPr>
        <w:adjustRightInd w:val="0"/>
        <w:snapToGrid w:val="0"/>
        <w:spacing w:line="500" w:lineRule="exact"/>
        <w:ind w:firstLineChars="200" w:firstLine="560"/>
        <w:rPr>
          <w:sz w:val="28"/>
        </w:rPr>
      </w:pPr>
      <w:r w:rsidRPr="00123108">
        <w:rPr>
          <w:rFonts w:hint="eastAsia"/>
          <w:sz w:val="28"/>
        </w:rPr>
        <w:t>1</w:t>
      </w:r>
      <w:r w:rsidRPr="00123108">
        <w:rPr>
          <w:rFonts w:hint="eastAsia"/>
          <w:sz w:val="28"/>
        </w:rPr>
        <w:t>）废水来源</w:t>
      </w:r>
    </w:p>
    <w:p w:rsidR="004F34D9" w:rsidRPr="00123108" w:rsidRDefault="004F34D9" w:rsidP="00D06780">
      <w:pPr>
        <w:spacing w:line="500" w:lineRule="exact"/>
        <w:ind w:firstLineChars="200" w:firstLine="560"/>
        <w:jc w:val="left"/>
        <w:rPr>
          <w:rFonts w:hint="eastAsia"/>
          <w:sz w:val="28"/>
        </w:rPr>
      </w:pPr>
      <w:r w:rsidRPr="00123108">
        <w:rPr>
          <w:rFonts w:hint="eastAsia"/>
          <w:sz w:val="28"/>
        </w:rPr>
        <w:t>新桥化工的污水排放采用清污分流形式，厂区设雨水管网，后期雨水与清净下水汇流送入北仑海域。被污染的前期雨水经收集后与全厂污水一并送入污水处理场处理达标后，通过污水管道排放至小港污水处理厂。</w:t>
      </w:r>
    </w:p>
    <w:p w:rsidR="004F34D9" w:rsidRPr="00123108" w:rsidRDefault="004F34D9" w:rsidP="00D06780">
      <w:pPr>
        <w:pStyle w:val="2fd"/>
        <w:snapToGrid w:val="0"/>
        <w:spacing w:line="500" w:lineRule="exact"/>
        <w:ind w:firstLine="560"/>
        <w:rPr>
          <w:rFonts w:hint="eastAsia"/>
          <w:sz w:val="28"/>
          <w:szCs w:val="28"/>
          <w:lang w:eastAsia="zh-Hans"/>
        </w:rPr>
      </w:pPr>
      <w:r w:rsidRPr="00123108">
        <w:rPr>
          <w:rFonts w:hint="eastAsia"/>
          <w:sz w:val="28"/>
        </w:rPr>
        <w:t>新桥化工</w:t>
      </w:r>
      <w:r w:rsidRPr="00123108">
        <w:rPr>
          <w:rFonts w:hint="eastAsia"/>
          <w:spacing w:val="12"/>
          <w:sz w:val="28"/>
          <w:szCs w:val="28"/>
        </w:rPr>
        <w:t>生产工艺为悬浮聚合工艺（苯乙烯在水中聚合），生成塑料颗粒后，经过脱水机进行固液分离，产生的废水自流到</w:t>
      </w:r>
      <w:r w:rsidRPr="00123108">
        <w:rPr>
          <w:rFonts w:ascii="宋体" w:hAnsi="宋体" w:cs="宋体" w:hint="eastAsia"/>
          <w:sz w:val="28"/>
          <w:szCs w:val="28"/>
          <w:lang w:eastAsia="zh-Hans"/>
        </w:rPr>
        <w:t>污水处理场</w:t>
      </w:r>
      <w:r w:rsidRPr="00123108">
        <w:rPr>
          <w:rFonts w:hint="eastAsia"/>
          <w:spacing w:val="12"/>
          <w:sz w:val="28"/>
          <w:szCs w:val="28"/>
        </w:rPr>
        <w:t>进行处理。废水主要成分是水和极少量的低分子量的聚苯乙烯，车间出来废水</w:t>
      </w:r>
      <w:r w:rsidRPr="00123108">
        <w:rPr>
          <w:rFonts w:hint="eastAsia"/>
          <w:spacing w:val="12"/>
          <w:sz w:val="28"/>
          <w:szCs w:val="28"/>
        </w:rPr>
        <w:t>COD</w:t>
      </w:r>
      <w:r w:rsidRPr="00123108">
        <w:rPr>
          <w:rFonts w:hint="eastAsia"/>
          <w:spacing w:val="12"/>
          <w:sz w:val="28"/>
          <w:szCs w:val="28"/>
        </w:rPr>
        <w:t>约</w:t>
      </w:r>
      <w:r w:rsidRPr="00123108">
        <w:rPr>
          <w:rFonts w:hint="eastAsia"/>
          <w:spacing w:val="12"/>
          <w:sz w:val="28"/>
          <w:szCs w:val="28"/>
        </w:rPr>
        <w:t>1300ppm</w:t>
      </w:r>
      <w:r w:rsidRPr="00123108">
        <w:rPr>
          <w:rFonts w:hint="eastAsia"/>
          <w:spacing w:val="12"/>
          <w:sz w:val="28"/>
          <w:szCs w:val="28"/>
        </w:rPr>
        <w:t>左右。</w:t>
      </w:r>
    </w:p>
    <w:p w:rsidR="004F34D9" w:rsidRPr="00123108" w:rsidRDefault="004F34D9" w:rsidP="00D06780">
      <w:pPr>
        <w:pStyle w:val="2fd"/>
        <w:snapToGrid w:val="0"/>
        <w:spacing w:line="500" w:lineRule="exact"/>
        <w:ind w:left="560" w:firstLineChars="0" w:firstLine="0"/>
        <w:rPr>
          <w:rFonts w:hint="eastAsia"/>
          <w:sz w:val="28"/>
          <w:szCs w:val="28"/>
        </w:rPr>
      </w:pPr>
      <w:r w:rsidRPr="00123108">
        <w:rPr>
          <w:rFonts w:ascii="宋体" w:hAnsi="宋体" w:hint="eastAsia"/>
          <w:sz w:val="28"/>
        </w:rPr>
        <w:t>2）废水</w:t>
      </w:r>
      <w:r w:rsidRPr="00123108">
        <w:rPr>
          <w:rFonts w:hint="eastAsia"/>
          <w:sz w:val="28"/>
          <w:szCs w:val="28"/>
          <w:lang w:eastAsia="zh-Hans"/>
        </w:rPr>
        <w:t>污水处理工艺</w:t>
      </w:r>
      <w:r w:rsidRPr="00123108">
        <w:rPr>
          <w:rFonts w:hint="eastAsia"/>
          <w:sz w:val="28"/>
          <w:szCs w:val="28"/>
        </w:rPr>
        <w:t>流程简述</w:t>
      </w:r>
    </w:p>
    <w:p w:rsidR="004F34D9" w:rsidRPr="00123108" w:rsidRDefault="004F34D9" w:rsidP="00D06780">
      <w:pPr>
        <w:spacing w:line="500" w:lineRule="exact"/>
        <w:ind w:firstLineChars="200" w:firstLine="560"/>
        <w:rPr>
          <w:sz w:val="28"/>
          <w:szCs w:val="28"/>
        </w:rPr>
      </w:pPr>
      <w:r w:rsidRPr="00123108">
        <w:rPr>
          <w:rFonts w:ascii="宋体" w:hAnsi="宋体" w:cs="宋体" w:hint="eastAsia"/>
          <w:sz w:val="28"/>
          <w:szCs w:val="28"/>
        </w:rPr>
        <w:lastRenderedPageBreak/>
        <w:t>车间生产废水首先流入震筛机，将废水中粒子回收，废水自流进入集水桶中，投加石灰进行反应使其稳定，泵至絮凝槽，絮凝槽内自动投加絮凝剂，然后废水自流进入平流池，平流池中沉淀物泵至压滤机压滤进行固液分离，平流沉降池上清液自流进入调节池，用泵将调节池中废水泵至厌氧塔处理，经过厌氧处理过后的出水进入四级好氧生化系统，进一步去除水中的有机物，出水去沉降池中进行泥水分离，污泥回流至污泥池。沉淀池出水进入石英砂快滤池，过滤后经排放口排至小港污水处理厂。</w:t>
      </w:r>
    </w:p>
    <w:p w:rsidR="004F34D9" w:rsidRPr="00123108" w:rsidRDefault="004F34D9" w:rsidP="00D06780">
      <w:pPr>
        <w:tabs>
          <w:tab w:val="left" w:pos="525"/>
        </w:tabs>
        <w:spacing w:line="500" w:lineRule="exact"/>
        <w:ind w:firstLineChars="200" w:firstLine="560"/>
        <w:rPr>
          <w:rFonts w:ascii="宋体" w:hAnsi="宋体" w:hint="eastAsia"/>
          <w:sz w:val="28"/>
        </w:rPr>
      </w:pPr>
      <w:r w:rsidRPr="00123108">
        <w:rPr>
          <w:rFonts w:ascii="宋体" w:hAnsi="宋体" w:hint="eastAsia"/>
          <w:sz w:val="28"/>
        </w:rPr>
        <w:t>3）工艺流程框图</w:t>
      </w:r>
    </w:p>
    <w:p w:rsidR="004F34D9" w:rsidRPr="00123108" w:rsidRDefault="004F34D9" w:rsidP="00D06780">
      <w:pPr>
        <w:spacing w:line="500" w:lineRule="exact"/>
        <w:ind w:firstLineChars="200" w:firstLine="560"/>
        <w:rPr>
          <w:rFonts w:hint="eastAsia"/>
          <w:sz w:val="28"/>
          <w:szCs w:val="28"/>
        </w:rPr>
      </w:pPr>
      <w:r w:rsidRPr="00123108">
        <w:rPr>
          <w:rFonts w:hint="eastAsia"/>
          <w:sz w:val="28"/>
          <w:szCs w:val="28"/>
        </w:rPr>
        <w:t>污水处理</w:t>
      </w:r>
      <w:r w:rsidRPr="00123108">
        <w:rPr>
          <w:rFonts w:hint="eastAsia"/>
          <w:sz w:val="28"/>
          <w:szCs w:val="28"/>
          <w:lang w:eastAsia="zh-Hans"/>
        </w:rPr>
        <w:t>场</w:t>
      </w:r>
      <w:r w:rsidRPr="00123108">
        <w:rPr>
          <w:rFonts w:hint="eastAsia"/>
          <w:sz w:val="28"/>
          <w:szCs w:val="28"/>
        </w:rPr>
        <w:t>废水处理工艺框图见图</w:t>
      </w:r>
      <w:r w:rsidRPr="00123108">
        <w:rPr>
          <w:rFonts w:hint="eastAsia"/>
          <w:sz w:val="28"/>
          <w:szCs w:val="28"/>
        </w:rPr>
        <w:t>2.10-1</w:t>
      </w:r>
      <w:r w:rsidRPr="00123108">
        <w:rPr>
          <w:rFonts w:hint="eastAsia"/>
          <w:sz w:val="28"/>
          <w:szCs w:val="28"/>
        </w:rPr>
        <w:t>。</w:t>
      </w:r>
    </w:p>
    <w:p w:rsidR="00224B9D" w:rsidRPr="00123108" w:rsidRDefault="0027750A" w:rsidP="00224B9D">
      <w:pPr>
        <w:jc w:val="center"/>
        <w:rPr>
          <w:rFonts w:hint="eastAsia"/>
          <w:sz w:val="28"/>
          <w:szCs w:val="28"/>
        </w:rPr>
      </w:pPr>
      <w:r w:rsidRPr="00123108">
        <w:rPr>
          <w:rFonts w:hint="eastAsia"/>
          <w:noProof/>
          <w:sz w:val="28"/>
          <w:szCs w:val="28"/>
        </w:rPr>
        <w:drawing>
          <wp:inline distT="0" distB="0" distL="0" distR="0">
            <wp:extent cx="5827395" cy="4025900"/>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7395" cy="4025900"/>
                    </a:xfrm>
                    <a:prstGeom prst="rect">
                      <a:avLst/>
                    </a:prstGeom>
                    <a:noFill/>
                    <a:ln>
                      <a:noFill/>
                    </a:ln>
                  </pic:spPr>
                </pic:pic>
              </a:graphicData>
            </a:graphic>
          </wp:inline>
        </w:drawing>
      </w:r>
      <w:r w:rsidR="00224B9D" w:rsidRPr="00123108">
        <w:rPr>
          <w:rFonts w:ascii="黑体" w:eastAsia="黑体" w:hAnsi="黑体" w:hint="eastAsia"/>
          <w:b/>
          <w:sz w:val="28"/>
          <w:szCs w:val="28"/>
        </w:rPr>
        <w:t>图2.10-2 污水处理工艺流程框图</w:t>
      </w:r>
    </w:p>
    <w:p w:rsidR="00224B9D" w:rsidRPr="00123108" w:rsidRDefault="00224B9D" w:rsidP="00224B9D">
      <w:pPr>
        <w:rPr>
          <w:rFonts w:hint="eastAsia"/>
          <w:sz w:val="28"/>
          <w:szCs w:val="28"/>
        </w:rPr>
      </w:pPr>
    </w:p>
    <w:p w:rsidR="004F34D9" w:rsidRPr="00123108" w:rsidRDefault="004F34D9">
      <w:pPr>
        <w:pStyle w:val="2fd"/>
        <w:ind w:left="560" w:firstLineChars="0" w:firstLine="0"/>
        <w:rPr>
          <w:rFonts w:hint="eastAsia"/>
          <w:sz w:val="28"/>
          <w:szCs w:val="28"/>
          <w:lang w:eastAsia="zh-Hans"/>
        </w:rPr>
      </w:pPr>
      <w:r w:rsidRPr="00123108">
        <w:rPr>
          <w:rFonts w:hint="eastAsia"/>
          <w:sz w:val="28"/>
          <w:szCs w:val="28"/>
        </w:rPr>
        <w:t>4</w:t>
      </w:r>
      <w:r w:rsidRPr="00123108">
        <w:rPr>
          <w:rFonts w:hint="eastAsia"/>
          <w:sz w:val="28"/>
          <w:szCs w:val="28"/>
        </w:rPr>
        <w:t>）</w:t>
      </w:r>
      <w:r w:rsidRPr="00123108">
        <w:rPr>
          <w:rFonts w:hint="eastAsia"/>
          <w:sz w:val="28"/>
          <w:szCs w:val="28"/>
          <w:lang w:eastAsia="zh-Hans"/>
        </w:rPr>
        <w:t>主要设备</w:t>
      </w:r>
    </w:p>
    <w:p w:rsidR="004F34D9" w:rsidRPr="00123108" w:rsidRDefault="004F34D9">
      <w:pPr>
        <w:pStyle w:val="2fd"/>
        <w:snapToGrid w:val="0"/>
        <w:ind w:firstLine="560"/>
        <w:rPr>
          <w:rFonts w:ascii="宋体" w:hAnsi="宋体" w:cs="宋体" w:hint="eastAsia"/>
          <w:sz w:val="28"/>
        </w:rPr>
      </w:pPr>
      <w:r w:rsidRPr="00123108">
        <w:rPr>
          <w:rFonts w:ascii="宋体" w:hAnsi="宋体" w:cs="宋体" w:hint="eastAsia"/>
          <w:sz w:val="28"/>
        </w:rPr>
        <w:t>污水</w:t>
      </w:r>
      <w:r w:rsidRPr="00123108">
        <w:rPr>
          <w:rFonts w:ascii="宋体" w:hAnsi="宋体" w:cs="宋体" w:hint="eastAsia"/>
          <w:sz w:val="28"/>
          <w:lang w:eastAsia="zh-Hans"/>
        </w:rPr>
        <w:t>处理场主要设备情况</w:t>
      </w:r>
      <w:r w:rsidRPr="00123108">
        <w:rPr>
          <w:rFonts w:ascii="宋体" w:hAnsi="宋体" w:cs="宋体" w:hint="eastAsia"/>
          <w:sz w:val="28"/>
        </w:rPr>
        <w:t>见表2.</w:t>
      </w:r>
      <w:r w:rsidRPr="00123108">
        <w:rPr>
          <w:rFonts w:ascii="黑体" w:eastAsia="黑体" w:hAnsi="黑体" w:cs="黑体" w:hint="eastAsia"/>
          <w:b/>
          <w:bCs/>
          <w:sz w:val="28"/>
          <w:szCs w:val="28"/>
        </w:rPr>
        <w:t>10</w:t>
      </w:r>
      <w:r w:rsidRPr="00123108">
        <w:rPr>
          <w:rFonts w:ascii="宋体" w:hAnsi="宋体" w:cs="宋体" w:hint="eastAsia"/>
          <w:sz w:val="28"/>
        </w:rPr>
        <w:t>-</w:t>
      </w:r>
      <w:r w:rsidR="00E61F2C" w:rsidRPr="00123108">
        <w:rPr>
          <w:rFonts w:ascii="宋体" w:hAnsi="宋体" w:cs="宋体" w:hint="eastAsia"/>
          <w:sz w:val="28"/>
        </w:rPr>
        <w:t>5</w:t>
      </w:r>
      <w:r w:rsidR="006E535D" w:rsidRPr="00123108">
        <w:rPr>
          <w:rFonts w:ascii="宋体" w:hAnsi="宋体" w:cs="宋体" w:hint="eastAsia"/>
          <w:sz w:val="28"/>
        </w:rPr>
        <w:t>.</w:t>
      </w:r>
    </w:p>
    <w:p w:rsidR="006E535D" w:rsidRPr="00123108" w:rsidRDefault="006E535D">
      <w:pPr>
        <w:tabs>
          <w:tab w:val="left" w:pos="4380"/>
          <w:tab w:val="left" w:pos="4530"/>
        </w:tabs>
        <w:spacing w:line="360" w:lineRule="auto"/>
        <w:jc w:val="center"/>
        <w:rPr>
          <w:rFonts w:ascii="黑体" w:eastAsia="黑体" w:hAnsi="黑体" w:cs="黑体"/>
          <w:b/>
          <w:bCs/>
          <w:sz w:val="28"/>
          <w:szCs w:val="28"/>
        </w:rPr>
        <w:sectPr w:rsidR="006E535D" w:rsidRPr="00123108">
          <w:pgSz w:w="11907" w:h="16840"/>
          <w:pgMar w:top="1418" w:right="1134" w:bottom="1134" w:left="1588" w:header="851" w:footer="992" w:gutter="0"/>
          <w:paperSrc w:first="7" w:other="7"/>
          <w:cols w:space="720"/>
          <w:docGrid w:linePitch="435" w:charSpace="2662"/>
        </w:sectPr>
      </w:pPr>
    </w:p>
    <w:p w:rsidR="004F34D9" w:rsidRDefault="004F34D9">
      <w:pPr>
        <w:tabs>
          <w:tab w:val="left" w:pos="4380"/>
          <w:tab w:val="left" w:pos="4530"/>
        </w:tabs>
        <w:spacing w:line="360" w:lineRule="auto"/>
        <w:jc w:val="center"/>
        <w:rPr>
          <w:rFonts w:ascii="黑体" w:eastAsia="黑体" w:hAnsi="黑体" w:cs="黑体" w:hint="eastAsia"/>
          <w:b/>
          <w:bCs/>
          <w:sz w:val="28"/>
          <w:szCs w:val="28"/>
        </w:rPr>
      </w:pPr>
      <w:r w:rsidRPr="00123108">
        <w:rPr>
          <w:rFonts w:ascii="黑体" w:eastAsia="黑体" w:hAnsi="黑体" w:cs="黑体" w:hint="eastAsia"/>
          <w:b/>
          <w:bCs/>
          <w:sz w:val="28"/>
          <w:szCs w:val="28"/>
        </w:rPr>
        <w:lastRenderedPageBreak/>
        <w:t>表2.10-</w:t>
      </w:r>
      <w:r w:rsidR="00E61F2C" w:rsidRPr="00123108">
        <w:rPr>
          <w:rFonts w:ascii="黑体" w:eastAsia="黑体" w:hAnsi="黑体" w:cs="黑体" w:hint="eastAsia"/>
          <w:b/>
          <w:bCs/>
          <w:sz w:val="28"/>
          <w:szCs w:val="28"/>
        </w:rPr>
        <w:t xml:space="preserve">5 </w:t>
      </w:r>
      <w:r w:rsidRPr="00123108">
        <w:rPr>
          <w:rFonts w:ascii="黑体" w:eastAsia="黑体" w:hAnsi="黑体" w:cs="黑体" w:hint="eastAsia"/>
          <w:b/>
          <w:bCs/>
          <w:sz w:val="28"/>
          <w:szCs w:val="28"/>
        </w:rPr>
        <w:t>主要设备一览表</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6E535D" w:rsidRPr="00123108" w:rsidRDefault="006E535D">
      <w:pPr>
        <w:pStyle w:val="2fd"/>
        <w:snapToGrid w:val="0"/>
        <w:ind w:left="560" w:firstLineChars="0" w:firstLine="0"/>
        <w:rPr>
          <w:sz w:val="28"/>
          <w:szCs w:val="28"/>
        </w:rPr>
        <w:sectPr w:rsidR="006E535D" w:rsidRPr="00123108" w:rsidSect="006E535D">
          <w:pgSz w:w="16840" w:h="11907" w:orient="landscape"/>
          <w:pgMar w:top="1588" w:right="1418" w:bottom="1134" w:left="1134" w:header="851" w:footer="992" w:gutter="0"/>
          <w:paperSrc w:first="7" w:other="7"/>
          <w:cols w:space="720"/>
          <w:docGrid w:linePitch="435" w:charSpace="2662"/>
        </w:sectPr>
      </w:pPr>
    </w:p>
    <w:p w:rsidR="004F34D9" w:rsidRPr="00123108" w:rsidRDefault="004F34D9">
      <w:pPr>
        <w:pStyle w:val="2fd"/>
        <w:snapToGrid w:val="0"/>
        <w:ind w:left="560" w:firstLineChars="0" w:firstLine="0"/>
        <w:rPr>
          <w:rFonts w:hint="eastAsia"/>
          <w:sz w:val="28"/>
          <w:szCs w:val="28"/>
          <w:lang w:eastAsia="zh-Hans"/>
        </w:rPr>
      </w:pPr>
      <w:r w:rsidRPr="00123108">
        <w:rPr>
          <w:rFonts w:hint="eastAsia"/>
          <w:sz w:val="28"/>
          <w:szCs w:val="28"/>
        </w:rPr>
        <w:lastRenderedPageBreak/>
        <w:t>5)</w:t>
      </w:r>
      <w:r w:rsidRPr="00123108">
        <w:rPr>
          <w:rFonts w:hint="eastAsia"/>
          <w:sz w:val="28"/>
          <w:szCs w:val="28"/>
          <w:lang w:eastAsia="zh-Hans"/>
        </w:rPr>
        <w:t>涉及物料储存情况</w:t>
      </w:r>
    </w:p>
    <w:p w:rsidR="004F34D9" w:rsidRPr="00123108" w:rsidRDefault="004F34D9">
      <w:pPr>
        <w:pStyle w:val="2fd"/>
        <w:snapToGrid w:val="0"/>
        <w:ind w:firstLine="560"/>
        <w:jc w:val="left"/>
        <w:rPr>
          <w:rFonts w:ascii="宋体" w:hAnsi="宋体" w:cs="宋体" w:hint="eastAsia"/>
          <w:sz w:val="28"/>
          <w:szCs w:val="28"/>
          <w:lang w:bidi="ar"/>
        </w:rPr>
      </w:pPr>
      <w:r w:rsidRPr="00123108">
        <w:rPr>
          <w:rFonts w:ascii="宋体" w:hAnsi="宋体" w:cs="宋体" w:hint="eastAsia"/>
          <w:sz w:val="28"/>
          <w:szCs w:val="28"/>
          <w:lang w:bidi="ar"/>
        </w:rPr>
        <w:t>污水处理场涉及物料储存情况见表2.10-</w:t>
      </w:r>
      <w:r w:rsidR="006E535D" w:rsidRPr="00123108">
        <w:rPr>
          <w:rFonts w:ascii="宋体" w:hAnsi="宋体" w:cs="宋体" w:hint="eastAsia"/>
          <w:sz w:val="28"/>
          <w:szCs w:val="28"/>
          <w:lang w:bidi="ar"/>
        </w:rPr>
        <w:t>5</w:t>
      </w:r>
      <w:r w:rsidRPr="00123108">
        <w:rPr>
          <w:rFonts w:ascii="宋体" w:hAnsi="宋体" w:cs="宋体" w:hint="eastAsia"/>
          <w:sz w:val="28"/>
          <w:szCs w:val="28"/>
          <w:lang w:bidi="ar"/>
        </w:rPr>
        <w:t>。</w:t>
      </w:r>
    </w:p>
    <w:p w:rsidR="004F34D9" w:rsidRPr="00123108" w:rsidRDefault="004F34D9">
      <w:pPr>
        <w:pStyle w:val="2fd"/>
        <w:snapToGrid w:val="0"/>
        <w:ind w:firstLineChars="0" w:firstLine="0"/>
        <w:jc w:val="center"/>
        <w:rPr>
          <w:rFonts w:hint="eastAsia"/>
          <w:sz w:val="28"/>
          <w:szCs w:val="28"/>
          <w:lang w:eastAsia="zh-Hans"/>
        </w:rPr>
      </w:pPr>
      <w:r w:rsidRPr="00123108">
        <w:rPr>
          <w:rFonts w:ascii="黑体" w:eastAsia="黑体" w:hAnsi="黑体" w:cs="黑体" w:hint="eastAsia"/>
          <w:b/>
          <w:bCs/>
          <w:sz w:val="28"/>
          <w:szCs w:val="28"/>
          <w:lang w:bidi="ar"/>
        </w:rPr>
        <w:t>表2.10-</w:t>
      </w:r>
      <w:r w:rsidR="006E535D" w:rsidRPr="00123108">
        <w:rPr>
          <w:rFonts w:ascii="黑体" w:eastAsia="黑体" w:hAnsi="黑体" w:cs="黑体" w:hint="eastAsia"/>
          <w:b/>
          <w:bCs/>
          <w:sz w:val="28"/>
          <w:szCs w:val="28"/>
          <w:lang w:bidi="ar"/>
        </w:rPr>
        <w:t xml:space="preserve">5 </w:t>
      </w:r>
      <w:r w:rsidRPr="00123108">
        <w:rPr>
          <w:rFonts w:ascii="黑体" w:eastAsia="黑体" w:hAnsi="黑体" w:cs="黑体" w:hint="eastAsia"/>
          <w:b/>
          <w:bCs/>
          <w:sz w:val="28"/>
          <w:szCs w:val="28"/>
          <w:lang w:bidi="ar"/>
        </w:rPr>
        <w:t>涉及物料储存情况一览表</w:t>
      </w:r>
    </w:p>
    <w:tbl>
      <w:tblPr>
        <w:tblW w:w="4996" w:type="pct"/>
        <w:jc w:val="center"/>
        <w:tblInd w:w="0" w:type="dxa"/>
        <w:tblCellMar>
          <w:top w:w="15" w:type="dxa"/>
          <w:left w:w="15" w:type="dxa"/>
          <w:bottom w:w="15" w:type="dxa"/>
          <w:right w:w="15" w:type="dxa"/>
        </w:tblCellMar>
        <w:tblLook w:val="0000" w:firstRow="0" w:lastRow="0" w:firstColumn="0" w:lastColumn="0" w:noHBand="0" w:noVBand="0"/>
      </w:tblPr>
      <w:tblGrid>
        <w:gridCol w:w="675"/>
        <w:gridCol w:w="1188"/>
        <w:gridCol w:w="779"/>
        <w:gridCol w:w="1278"/>
        <w:gridCol w:w="776"/>
        <w:gridCol w:w="686"/>
        <w:gridCol w:w="1014"/>
        <w:gridCol w:w="1067"/>
        <w:gridCol w:w="843"/>
        <w:gridCol w:w="862"/>
      </w:tblGrid>
      <w:tr w:rsidR="004F34D9" w:rsidRPr="00123108">
        <w:trPr>
          <w:trHeight w:val="340"/>
          <w:jc w:val="center"/>
        </w:trPr>
        <w:tc>
          <w:tcPr>
            <w:tcW w:w="368"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kern w:val="0"/>
                <w:szCs w:val="21"/>
                <w:lang w:bidi="ar"/>
              </w:rPr>
              <w:t>序号</w:t>
            </w:r>
          </w:p>
        </w:tc>
        <w:tc>
          <w:tcPr>
            <w:tcW w:w="648"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kern w:val="0"/>
                <w:szCs w:val="21"/>
                <w:lang w:bidi="ar"/>
              </w:rPr>
              <w:t>原材料名称</w:t>
            </w:r>
          </w:p>
        </w:tc>
        <w:tc>
          <w:tcPr>
            <w:tcW w:w="425"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kern w:val="0"/>
                <w:szCs w:val="21"/>
                <w:lang w:bidi="ar"/>
              </w:rPr>
              <w:t>状态</w:t>
            </w:r>
          </w:p>
        </w:tc>
        <w:tc>
          <w:tcPr>
            <w:tcW w:w="697"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kern w:val="0"/>
                <w:szCs w:val="21"/>
                <w:lang w:bidi="ar"/>
              </w:rPr>
            </w:pPr>
            <w:r w:rsidRPr="00123108">
              <w:rPr>
                <w:rFonts w:ascii="宋体" w:hAnsi="宋体" w:cs="宋体" w:hint="eastAsia"/>
                <w:kern w:val="0"/>
                <w:szCs w:val="21"/>
                <w:lang w:bidi="ar"/>
              </w:rPr>
              <w:t>火灾危险性类别</w:t>
            </w:r>
          </w:p>
        </w:tc>
        <w:tc>
          <w:tcPr>
            <w:tcW w:w="423"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kern w:val="0"/>
                <w:szCs w:val="21"/>
                <w:lang w:bidi="ar"/>
              </w:rPr>
              <w:t>年用量（</w:t>
            </w:r>
            <w:r w:rsidRPr="00123108">
              <w:rPr>
                <w:rFonts w:ascii="宋体" w:hAnsi="宋体" w:cs="宋体" w:hint="eastAsia"/>
                <w:bCs/>
                <w:kern w:val="0"/>
                <w:szCs w:val="21"/>
                <w:lang w:bidi="ar"/>
              </w:rPr>
              <w:t>t/a）</w:t>
            </w:r>
          </w:p>
        </w:tc>
        <w:tc>
          <w:tcPr>
            <w:tcW w:w="374"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kern w:val="0"/>
                <w:szCs w:val="21"/>
                <w:lang w:bidi="ar"/>
              </w:rPr>
              <w:t>运输方式</w:t>
            </w:r>
          </w:p>
        </w:tc>
        <w:tc>
          <w:tcPr>
            <w:tcW w:w="553"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kern w:val="0"/>
                <w:szCs w:val="21"/>
                <w:lang w:bidi="ar"/>
              </w:rPr>
              <w:t>存储位置</w:t>
            </w:r>
          </w:p>
        </w:tc>
        <w:tc>
          <w:tcPr>
            <w:tcW w:w="582"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kern w:val="0"/>
                <w:szCs w:val="21"/>
                <w:lang w:bidi="ar"/>
              </w:rPr>
              <w:t>包装方式</w:t>
            </w:r>
          </w:p>
        </w:tc>
        <w:tc>
          <w:tcPr>
            <w:tcW w:w="460"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kern w:val="0"/>
                <w:szCs w:val="21"/>
                <w:lang w:bidi="ar"/>
              </w:rPr>
              <w:t>最大储存量（t）</w:t>
            </w:r>
          </w:p>
        </w:tc>
        <w:tc>
          <w:tcPr>
            <w:tcW w:w="470"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kern w:val="0"/>
                <w:szCs w:val="21"/>
                <w:lang w:bidi="ar"/>
              </w:rPr>
              <w:t>周转天数（天）</w:t>
            </w:r>
          </w:p>
        </w:tc>
      </w:tr>
      <w:tr w:rsidR="004F34D9" w:rsidRPr="00123108">
        <w:trPr>
          <w:trHeight w:val="340"/>
          <w:jc w:val="center"/>
        </w:trPr>
        <w:tc>
          <w:tcPr>
            <w:tcW w:w="368"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ind w:firstLineChars="100" w:firstLine="210"/>
              <w:textAlignment w:val="center"/>
              <w:rPr>
                <w:rFonts w:ascii="宋体" w:hAnsi="宋体" w:cs="宋体" w:hint="eastAsia"/>
                <w:szCs w:val="21"/>
              </w:rPr>
            </w:pPr>
            <w:r w:rsidRPr="00123108">
              <w:rPr>
                <w:rFonts w:ascii="宋体" w:hAnsi="宋体" w:cs="宋体" w:hint="eastAsia"/>
                <w:szCs w:val="21"/>
              </w:rPr>
              <w:t>1</w:t>
            </w:r>
          </w:p>
        </w:tc>
        <w:tc>
          <w:tcPr>
            <w:tcW w:w="648"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hint="eastAsia"/>
                <w:szCs w:val="21"/>
              </w:rPr>
              <w:t>氧化钙</w:t>
            </w:r>
          </w:p>
        </w:tc>
        <w:tc>
          <w:tcPr>
            <w:tcW w:w="425"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szCs w:val="21"/>
              </w:rPr>
              <w:t>固体</w:t>
            </w:r>
          </w:p>
        </w:tc>
        <w:tc>
          <w:tcPr>
            <w:tcW w:w="697"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szCs w:val="21"/>
              </w:rPr>
              <w:t>戊类</w:t>
            </w:r>
          </w:p>
        </w:tc>
        <w:tc>
          <w:tcPr>
            <w:tcW w:w="423"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szCs w:val="21"/>
              </w:rPr>
              <w:t>33</w:t>
            </w:r>
          </w:p>
        </w:tc>
        <w:tc>
          <w:tcPr>
            <w:tcW w:w="374"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szCs w:val="21"/>
              </w:rPr>
              <w:t>汽车</w:t>
            </w:r>
          </w:p>
        </w:tc>
        <w:tc>
          <w:tcPr>
            <w:tcW w:w="553"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szCs w:val="21"/>
              </w:rPr>
              <w:t>三号仓库</w:t>
            </w:r>
          </w:p>
        </w:tc>
        <w:tc>
          <w:tcPr>
            <w:tcW w:w="582"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szCs w:val="21"/>
              </w:rPr>
              <w:t>袋装</w:t>
            </w:r>
          </w:p>
        </w:tc>
        <w:tc>
          <w:tcPr>
            <w:tcW w:w="460"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szCs w:val="21"/>
              </w:rPr>
            </w:pPr>
            <w:r w:rsidRPr="00123108">
              <w:rPr>
                <w:rFonts w:ascii="宋体" w:hAnsi="宋体" w:cs="宋体" w:hint="eastAsia"/>
                <w:szCs w:val="21"/>
              </w:rPr>
              <w:t>10</w:t>
            </w:r>
          </w:p>
        </w:tc>
        <w:tc>
          <w:tcPr>
            <w:tcW w:w="470"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szCs w:val="21"/>
              </w:rPr>
              <w:t>150</w:t>
            </w:r>
          </w:p>
        </w:tc>
      </w:tr>
      <w:tr w:rsidR="004F34D9" w:rsidRPr="00123108">
        <w:trPr>
          <w:trHeight w:val="340"/>
          <w:jc w:val="center"/>
        </w:trPr>
        <w:tc>
          <w:tcPr>
            <w:tcW w:w="368"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szCs w:val="21"/>
              </w:rPr>
              <w:t>2</w:t>
            </w:r>
          </w:p>
        </w:tc>
        <w:tc>
          <w:tcPr>
            <w:tcW w:w="648"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hint="eastAsia"/>
                <w:szCs w:val="21"/>
              </w:rPr>
              <w:t>絮凝剂</w:t>
            </w:r>
          </w:p>
        </w:tc>
        <w:tc>
          <w:tcPr>
            <w:tcW w:w="425"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szCs w:val="21"/>
              </w:rPr>
              <w:t>固体</w:t>
            </w:r>
          </w:p>
        </w:tc>
        <w:tc>
          <w:tcPr>
            <w:tcW w:w="697"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szCs w:val="21"/>
              </w:rPr>
              <w:t>戊类</w:t>
            </w:r>
          </w:p>
        </w:tc>
        <w:tc>
          <w:tcPr>
            <w:tcW w:w="423"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szCs w:val="21"/>
              </w:rPr>
              <w:t>0.66</w:t>
            </w:r>
          </w:p>
        </w:tc>
        <w:tc>
          <w:tcPr>
            <w:tcW w:w="374"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szCs w:val="21"/>
              </w:rPr>
              <w:t>汽车</w:t>
            </w:r>
          </w:p>
        </w:tc>
        <w:tc>
          <w:tcPr>
            <w:tcW w:w="553"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szCs w:val="21"/>
              </w:rPr>
              <w:t>三号仓库</w:t>
            </w:r>
          </w:p>
        </w:tc>
        <w:tc>
          <w:tcPr>
            <w:tcW w:w="582"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szCs w:val="21"/>
              </w:rPr>
              <w:t>袋装</w:t>
            </w:r>
          </w:p>
        </w:tc>
        <w:tc>
          <w:tcPr>
            <w:tcW w:w="460"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szCs w:val="21"/>
              </w:rPr>
              <w:t>0.2</w:t>
            </w:r>
          </w:p>
        </w:tc>
        <w:tc>
          <w:tcPr>
            <w:tcW w:w="470"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szCs w:val="21"/>
              </w:rPr>
              <w:t>100</w:t>
            </w:r>
          </w:p>
        </w:tc>
      </w:tr>
      <w:tr w:rsidR="004F34D9" w:rsidRPr="00123108">
        <w:trPr>
          <w:trHeight w:val="340"/>
          <w:jc w:val="center"/>
        </w:trPr>
        <w:tc>
          <w:tcPr>
            <w:tcW w:w="368"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szCs w:val="21"/>
              </w:rPr>
              <w:t>3</w:t>
            </w:r>
          </w:p>
        </w:tc>
        <w:tc>
          <w:tcPr>
            <w:tcW w:w="648"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hint="eastAsia"/>
                <w:szCs w:val="21"/>
              </w:rPr>
              <w:t>尿素</w:t>
            </w:r>
          </w:p>
        </w:tc>
        <w:tc>
          <w:tcPr>
            <w:tcW w:w="425"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szCs w:val="21"/>
              </w:rPr>
              <w:t>固态</w:t>
            </w:r>
          </w:p>
        </w:tc>
        <w:tc>
          <w:tcPr>
            <w:tcW w:w="697"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szCs w:val="21"/>
              </w:rPr>
              <w:t>戊类</w:t>
            </w:r>
          </w:p>
        </w:tc>
        <w:tc>
          <w:tcPr>
            <w:tcW w:w="423"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szCs w:val="21"/>
              </w:rPr>
              <w:t>0.66</w:t>
            </w:r>
          </w:p>
        </w:tc>
        <w:tc>
          <w:tcPr>
            <w:tcW w:w="374"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szCs w:val="21"/>
              </w:rPr>
              <w:t>汽车</w:t>
            </w:r>
          </w:p>
        </w:tc>
        <w:tc>
          <w:tcPr>
            <w:tcW w:w="553"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szCs w:val="21"/>
              </w:rPr>
              <w:t>三号仓库</w:t>
            </w:r>
          </w:p>
        </w:tc>
        <w:tc>
          <w:tcPr>
            <w:tcW w:w="582"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szCs w:val="21"/>
              </w:rPr>
              <w:t>袋装</w:t>
            </w:r>
          </w:p>
        </w:tc>
        <w:tc>
          <w:tcPr>
            <w:tcW w:w="460"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szCs w:val="21"/>
              </w:rPr>
              <w:t>0.2</w:t>
            </w:r>
          </w:p>
        </w:tc>
        <w:tc>
          <w:tcPr>
            <w:tcW w:w="470" w:type="pct"/>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jc w:val="center"/>
              <w:textAlignment w:val="center"/>
              <w:rPr>
                <w:rFonts w:ascii="宋体" w:hAnsi="宋体" w:cs="宋体" w:hint="eastAsia"/>
                <w:szCs w:val="21"/>
              </w:rPr>
            </w:pPr>
            <w:r w:rsidRPr="00123108">
              <w:rPr>
                <w:rFonts w:ascii="宋体" w:hAnsi="宋体" w:cs="宋体" w:hint="eastAsia"/>
                <w:szCs w:val="21"/>
              </w:rPr>
              <w:t>100</w:t>
            </w:r>
          </w:p>
        </w:tc>
      </w:tr>
    </w:tbl>
    <w:p w:rsidR="004F34D9" w:rsidRPr="00123108" w:rsidRDefault="004F34D9">
      <w:pPr>
        <w:adjustRightInd w:val="0"/>
        <w:snapToGrid w:val="0"/>
        <w:spacing w:line="500" w:lineRule="exact"/>
        <w:ind w:firstLineChars="200" w:firstLine="560"/>
        <w:rPr>
          <w:rFonts w:hint="eastAsia"/>
          <w:sz w:val="28"/>
        </w:rPr>
      </w:pPr>
      <w:r w:rsidRPr="00123108">
        <w:rPr>
          <w:rFonts w:hint="eastAsia"/>
          <w:sz w:val="28"/>
        </w:rPr>
        <w:t>（</w:t>
      </w:r>
      <w:r w:rsidRPr="00123108">
        <w:rPr>
          <w:rFonts w:hint="eastAsia"/>
          <w:sz w:val="28"/>
        </w:rPr>
        <w:t>2</w:t>
      </w:r>
      <w:r w:rsidRPr="00123108">
        <w:rPr>
          <w:rFonts w:hint="eastAsia"/>
          <w:sz w:val="28"/>
        </w:rPr>
        <w:t>）废气</w:t>
      </w:r>
    </w:p>
    <w:p w:rsidR="004F34D9" w:rsidRDefault="004F34D9">
      <w:pPr>
        <w:adjustRightInd w:val="0"/>
        <w:snapToGrid w:val="0"/>
        <w:spacing w:line="500" w:lineRule="exact"/>
        <w:ind w:firstLineChars="200" w:firstLine="560"/>
        <w:rPr>
          <w:rFonts w:ascii="宋体" w:hAnsi="宋体" w:cs="黑体" w:hint="eastAsia"/>
          <w:bCs/>
          <w:sz w:val="28"/>
          <w:szCs w:val="28"/>
        </w:rPr>
      </w:pPr>
      <w:r w:rsidRPr="00123108">
        <w:rPr>
          <w:rFonts w:ascii="宋体" w:hAnsi="宋体" w:hint="eastAsia"/>
          <w:sz w:val="28"/>
        </w:rPr>
        <w:t>废气处理方式包括：RTO燃烧</w:t>
      </w:r>
      <w:r w:rsidR="0026546B" w:rsidRPr="00123108">
        <w:rPr>
          <w:rFonts w:ascii="宋体" w:hAnsi="宋体" w:hint="eastAsia"/>
          <w:sz w:val="28"/>
        </w:rPr>
        <w:t>（燃料为柴油）</w:t>
      </w:r>
      <w:r w:rsidRPr="00123108">
        <w:rPr>
          <w:rFonts w:ascii="宋体" w:hAnsi="宋体" w:hint="eastAsia"/>
          <w:sz w:val="28"/>
        </w:rPr>
        <w:t>处理、</w:t>
      </w:r>
      <w:r w:rsidRPr="00123108">
        <w:rPr>
          <w:rFonts w:ascii="宋体" w:hAnsi="宋体" w:cs="黑体" w:hint="eastAsia"/>
          <w:bCs/>
          <w:sz w:val="28"/>
          <w:szCs w:val="28"/>
        </w:rPr>
        <w:t>酸雾吸收塔处理、及生物除臭装置处理3种方式。</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C686A" w:rsidRDefault="004C686A">
      <w:pPr>
        <w:adjustRightInd w:val="0"/>
        <w:snapToGrid w:val="0"/>
        <w:spacing w:line="500" w:lineRule="exact"/>
        <w:ind w:firstLineChars="200" w:firstLine="560"/>
        <w:rPr>
          <w:rFonts w:ascii="宋体" w:hAnsi="宋体" w:cs="黑体" w:hint="eastAsia"/>
          <w:bCs/>
          <w:sz w:val="28"/>
          <w:szCs w:val="28"/>
        </w:rPr>
      </w:pPr>
    </w:p>
    <w:p w:rsidR="004F34D9" w:rsidRPr="00123108" w:rsidRDefault="004F34D9" w:rsidP="006E535D">
      <w:pPr>
        <w:pStyle w:val="2"/>
        <w:spacing w:line="500" w:lineRule="exact"/>
        <w:jc w:val="both"/>
        <w:rPr>
          <w:rFonts w:ascii="宋体" w:eastAsia="宋体" w:cs="宋体" w:hint="eastAsia"/>
          <w:sz w:val="28"/>
          <w:szCs w:val="28"/>
        </w:rPr>
      </w:pPr>
      <w:bookmarkStart w:id="599" w:name="_Toc190935771"/>
      <w:bookmarkEnd w:id="598"/>
      <w:r w:rsidRPr="00123108">
        <w:rPr>
          <w:rFonts w:ascii="宋体" w:eastAsia="宋体" w:cs="宋体" w:hint="eastAsia"/>
          <w:sz w:val="28"/>
          <w:szCs w:val="28"/>
        </w:rPr>
        <w:t>2.11  安全设施</w:t>
      </w:r>
      <w:bookmarkEnd w:id="599"/>
    </w:p>
    <w:p w:rsidR="004F34D9" w:rsidRPr="00123108" w:rsidRDefault="004F34D9" w:rsidP="006E535D">
      <w:pPr>
        <w:spacing w:line="500" w:lineRule="exact"/>
        <w:ind w:firstLineChars="200" w:firstLine="560"/>
        <w:rPr>
          <w:rFonts w:ascii="宋体" w:hAnsi="宋体" w:cs="宋体" w:hint="eastAsia"/>
          <w:b/>
          <w:sz w:val="28"/>
        </w:rPr>
      </w:pPr>
      <w:bookmarkStart w:id="600" w:name="_Toc277077591"/>
      <w:bookmarkStart w:id="601" w:name="_Toc277077377"/>
      <w:r w:rsidRPr="00123108">
        <w:rPr>
          <w:rFonts w:ascii="宋体" w:hAnsi="宋体" w:cs="宋体" w:hint="eastAsia"/>
          <w:sz w:val="28"/>
        </w:rPr>
        <w:t>新桥化工的安全设施按“预防事故、控制事故和减少与消除事故影响”进行分类统计，见表2.11-1。</w:t>
      </w:r>
    </w:p>
    <w:p w:rsidR="004F34D9" w:rsidRDefault="004F34D9" w:rsidP="006E535D">
      <w:pPr>
        <w:spacing w:line="500" w:lineRule="exact"/>
        <w:jc w:val="center"/>
        <w:rPr>
          <w:rFonts w:ascii="黑体" w:eastAsia="黑体" w:hAnsi="黑体" w:cs="Arial Unicode MS" w:hint="eastAsia"/>
          <w:b/>
          <w:kern w:val="0"/>
          <w:sz w:val="28"/>
        </w:rPr>
      </w:pPr>
      <w:r w:rsidRPr="00123108">
        <w:rPr>
          <w:rFonts w:ascii="黑体" w:eastAsia="黑体" w:hAnsi="黑体" w:cs="宋体" w:hint="eastAsia"/>
          <w:b/>
          <w:sz w:val="28"/>
        </w:rPr>
        <w:t>表2.11-1</w:t>
      </w:r>
      <w:r w:rsidRPr="00123108">
        <w:rPr>
          <w:rFonts w:ascii="黑体" w:eastAsia="黑体" w:hAnsi="黑体" w:hint="eastAsia"/>
          <w:b/>
          <w:sz w:val="28"/>
          <w:szCs w:val="28"/>
        </w:rPr>
        <w:t xml:space="preserve">  </w:t>
      </w:r>
      <w:r w:rsidRPr="00123108">
        <w:rPr>
          <w:rFonts w:ascii="黑体" w:eastAsia="黑体" w:hAnsi="黑体" w:cs="Arial Unicode MS" w:hint="eastAsia"/>
          <w:b/>
          <w:kern w:val="0"/>
          <w:sz w:val="28"/>
        </w:rPr>
        <w:t>安全设施设置情况</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Pr="00123108" w:rsidRDefault="004F34D9" w:rsidP="00D06780">
      <w:pPr>
        <w:pStyle w:val="2"/>
        <w:spacing w:line="500" w:lineRule="exact"/>
        <w:jc w:val="both"/>
        <w:rPr>
          <w:rFonts w:ascii="宋体" w:eastAsia="宋体" w:cs="宋体" w:hint="eastAsia"/>
          <w:sz w:val="28"/>
          <w:szCs w:val="28"/>
        </w:rPr>
      </w:pPr>
      <w:bookmarkStart w:id="602" w:name="_Toc190935772"/>
      <w:bookmarkEnd w:id="600"/>
      <w:bookmarkEnd w:id="601"/>
      <w:r w:rsidRPr="00123108">
        <w:rPr>
          <w:rFonts w:ascii="宋体" w:eastAsia="宋体" w:cs="宋体" w:hint="eastAsia"/>
          <w:sz w:val="28"/>
          <w:szCs w:val="28"/>
        </w:rPr>
        <w:t>2.12  安全</w:t>
      </w:r>
      <w:bookmarkEnd w:id="594"/>
      <w:r w:rsidRPr="00123108">
        <w:rPr>
          <w:rFonts w:ascii="宋体" w:eastAsia="宋体" w:cs="宋体" w:hint="eastAsia"/>
          <w:sz w:val="28"/>
          <w:szCs w:val="28"/>
        </w:rPr>
        <w:t>管理情况</w:t>
      </w:r>
      <w:bookmarkEnd w:id="589"/>
      <w:bookmarkEnd w:id="590"/>
      <w:bookmarkEnd w:id="591"/>
      <w:bookmarkEnd w:id="592"/>
      <w:bookmarkEnd w:id="593"/>
      <w:bookmarkEnd w:id="595"/>
      <w:bookmarkEnd w:id="602"/>
    </w:p>
    <w:p w:rsidR="004F34D9" w:rsidRPr="00123108" w:rsidRDefault="004F34D9" w:rsidP="00D06780">
      <w:pPr>
        <w:pStyle w:val="3"/>
        <w:spacing w:line="500" w:lineRule="exact"/>
        <w:rPr>
          <w:rFonts w:ascii="宋体" w:eastAsia="宋体" w:hAnsi="宋体" w:cs="宋体" w:hint="eastAsia"/>
          <w:sz w:val="28"/>
          <w:szCs w:val="28"/>
        </w:rPr>
      </w:pPr>
      <w:bookmarkStart w:id="603" w:name="_Toc12133"/>
      <w:bookmarkStart w:id="604" w:name="_Toc5814"/>
      <w:bookmarkStart w:id="605" w:name="_Toc18558"/>
      <w:bookmarkStart w:id="606" w:name="_Toc22145"/>
      <w:bookmarkStart w:id="607" w:name="_Toc14665"/>
      <w:bookmarkStart w:id="608" w:name="_Toc3809029"/>
      <w:bookmarkStart w:id="609" w:name="_Toc7286"/>
      <w:bookmarkStart w:id="610" w:name="_Toc190935773"/>
      <w:r w:rsidRPr="00123108">
        <w:rPr>
          <w:rFonts w:ascii="宋体" w:eastAsia="宋体" w:hAnsi="宋体" w:cs="宋体" w:hint="eastAsia"/>
          <w:sz w:val="28"/>
          <w:szCs w:val="28"/>
        </w:rPr>
        <w:t>2.12.1  安全管理机构</w:t>
      </w:r>
      <w:bookmarkEnd w:id="603"/>
      <w:bookmarkEnd w:id="604"/>
      <w:bookmarkEnd w:id="605"/>
      <w:bookmarkEnd w:id="606"/>
      <w:bookmarkEnd w:id="607"/>
      <w:bookmarkEnd w:id="608"/>
      <w:bookmarkEnd w:id="609"/>
      <w:bookmarkEnd w:id="610"/>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Pr="00123108" w:rsidRDefault="004F34D9">
      <w:pPr>
        <w:spacing w:line="510" w:lineRule="exact"/>
        <w:rPr>
          <w:rFonts w:ascii="宋体" w:hAnsi="宋体" w:cs="宋体" w:hint="eastAsia"/>
          <w:sz w:val="28"/>
        </w:rPr>
        <w:sectPr w:rsidR="004F34D9" w:rsidRPr="00123108">
          <w:pgSz w:w="11907" w:h="16840"/>
          <w:pgMar w:top="1418" w:right="1134" w:bottom="1134" w:left="1588" w:header="851" w:footer="992" w:gutter="0"/>
          <w:paperSrc w:first="7" w:other="7"/>
          <w:cols w:space="720"/>
          <w:docGrid w:linePitch="435" w:charSpace="2662"/>
        </w:sectPr>
      </w:pPr>
    </w:p>
    <w:p w:rsidR="004F34D9" w:rsidRPr="00123108" w:rsidRDefault="004F34D9">
      <w:pPr>
        <w:spacing w:line="360" w:lineRule="auto"/>
        <w:jc w:val="center"/>
        <w:rPr>
          <w:rFonts w:ascii="宋体" w:hAnsi="宋体" w:cs="宋体" w:hint="eastAsia"/>
        </w:rPr>
      </w:pPr>
    </w:p>
    <w:p w:rsidR="004C686A" w:rsidRPr="00123108" w:rsidRDefault="004C686A" w:rsidP="00D74BFF">
      <w:pPr>
        <w:spacing w:line="360" w:lineRule="auto"/>
        <w:ind w:firstLineChars="200" w:firstLine="562"/>
        <w:rPr>
          <w:rFonts w:ascii="宋体" w:hAnsi="宋体" w:cs="宋体"/>
          <w:b/>
          <w:bCs/>
          <w:sz w:val="28"/>
        </w:rPr>
      </w:pPr>
    </w:p>
    <w:p w:rsidR="00D74BFF" w:rsidRPr="00123108" w:rsidRDefault="00D74BFF" w:rsidP="00D74BFF">
      <w:pPr>
        <w:spacing w:line="360" w:lineRule="auto"/>
        <w:ind w:firstLineChars="200" w:firstLine="562"/>
        <w:rPr>
          <w:rFonts w:ascii="宋体" w:hAnsi="宋体" w:cs="宋体" w:hint="eastAsia"/>
          <w:b/>
          <w:bCs/>
          <w:sz w:val="28"/>
        </w:rPr>
      </w:pPr>
    </w:p>
    <w:p w:rsidR="004F34D9" w:rsidRPr="00123108" w:rsidRDefault="004F34D9">
      <w:pPr>
        <w:spacing w:line="360" w:lineRule="auto"/>
        <w:ind w:firstLineChars="200" w:firstLine="562"/>
        <w:jc w:val="center"/>
        <w:rPr>
          <w:rFonts w:ascii="宋体" w:hAnsi="宋体" w:cs="宋体" w:hint="eastAsia"/>
          <w:b/>
          <w:bCs/>
          <w:sz w:val="28"/>
        </w:rPr>
        <w:sectPr w:rsidR="004F34D9" w:rsidRPr="00123108">
          <w:pgSz w:w="16840" w:h="11907" w:orient="landscape"/>
          <w:pgMar w:top="1417" w:right="1418" w:bottom="1134" w:left="1587" w:header="851" w:footer="992" w:gutter="0"/>
          <w:paperSrc w:first="7" w:other="7"/>
          <w:cols w:space="720"/>
          <w:docGrid w:linePitch="435" w:charSpace="2662"/>
        </w:sectPr>
      </w:pPr>
      <w:r w:rsidRPr="00123108">
        <w:rPr>
          <w:rFonts w:ascii="宋体" w:hAnsi="宋体" w:cs="宋体" w:hint="eastAsia"/>
          <w:b/>
          <w:bCs/>
          <w:sz w:val="28"/>
        </w:rPr>
        <w:t>图2.12-1  安全生产管理网络图</w:t>
      </w:r>
    </w:p>
    <w:p w:rsidR="004F34D9" w:rsidRDefault="004F34D9">
      <w:pPr>
        <w:autoSpaceDE w:val="0"/>
        <w:autoSpaceDN w:val="0"/>
        <w:adjustRightInd w:val="0"/>
        <w:spacing w:line="360" w:lineRule="auto"/>
        <w:jc w:val="center"/>
        <w:rPr>
          <w:rFonts w:ascii="宋体" w:hAnsi="宋体" w:cs="宋体" w:hint="eastAsia"/>
          <w:b/>
          <w:sz w:val="28"/>
        </w:rPr>
      </w:pPr>
      <w:bookmarkStart w:id="611" w:name="_Toc3809030"/>
      <w:r w:rsidRPr="00123108">
        <w:rPr>
          <w:rFonts w:ascii="宋体" w:hAnsi="宋体" w:cs="宋体" w:hint="eastAsia"/>
          <w:b/>
          <w:sz w:val="28"/>
        </w:rPr>
        <w:lastRenderedPageBreak/>
        <w:t>表2.12-1</w:t>
      </w:r>
      <w:r w:rsidRPr="00123108">
        <w:rPr>
          <w:rFonts w:ascii="黑体" w:eastAsia="黑体" w:hAnsi="宋体" w:hint="eastAsia"/>
          <w:b/>
          <w:sz w:val="28"/>
          <w:szCs w:val="28"/>
        </w:rPr>
        <w:t xml:space="preserve">  </w:t>
      </w:r>
      <w:r w:rsidRPr="00123108">
        <w:rPr>
          <w:rFonts w:ascii="宋体" w:hAnsi="宋体" w:cs="宋体" w:hint="eastAsia"/>
          <w:b/>
          <w:sz w:val="28"/>
        </w:rPr>
        <w:t>主要负责人、安全管理人员、注册安全工程师资质证书一览表</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C686A" w:rsidRDefault="004C686A">
      <w:pPr>
        <w:autoSpaceDE w:val="0"/>
        <w:autoSpaceDN w:val="0"/>
        <w:adjustRightInd w:val="0"/>
        <w:spacing w:line="360" w:lineRule="auto"/>
        <w:jc w:val="center"/>
        <w:rPr>
          <w:rFonts w:ascii="宋体" w:hAnsi="宋体" w:cs="宋体" w:hint="eastAsia"/>
          <w:b/>
          <w:sz w:val="28"/>
        </w:rPr>
      </w:pPr>
    </w:p>
    <w:p w:rsidR="004F34D9" w:rsidRPr="00123108" w:rsidRDefault="004F34D9">
      <w:pPr>
        <w:pStyle w:val="ListParagraph"/>
        <w:ind w:firstLineChars="0"/>
        <w:jc w:val="left"/>
        <w:rPr>
          <w:rFonts w:eastAsia="楷体_GB2312"/>
          <w:sz w:val="32"/>
        </w:rPr>
      </w:pPr>
    </w:p>
    <w:p w:rsidR="004F34D9" w:rsidRPr="00123108" w:rsidRDefault="004F34D9">
      <w:pPr>
        <w:pStyle w:val="ListParagraph"/>
        <w:spacing w:line="360" w:lineRule="auto"/>
        <w:ind w:firstLine="480"/>
        <w:jc w:val="left"/>
        <w:rPr>
          <w:rFonts w:ascii="宋体" w:hAnsi="宋体" w:cs="宋体" w:hint="eastAsia"/>
          <w:bCs/>
          <w:sz w:val="24"/>
          <w:szCs w:val="24"/>
        </w:rPr>
        <w:sectPr w:rsidR="004F34D9" w:rsidRPr="00123108">
          <w:pgSz w:w="16840" w:h="11907" w:orient="landscape"/>
          <w:pgMar w:top="1440" w:right="1247" w:bottom="1440" w:left="1701" w:header="851" w:footer="992" w:gutter="0"/>
          <w:paperSrc w:first="7" w:other="7"/>
          <w:cols w:space="720"/>
        </w:sectPr>
      </w:pPr>
    </w:p>
    <w:p w:rsidR="004F34D9" w:rsidRDefault="004F34D9">
      <w:pPr>
        <w:jc w:val="center"/>
        <w:rPr>
          <w:rFonts w:ascii="宋体" w:hAnsi="宋体" w:cs="宋体" w:hint="eastAsia"/>
          <w:b/>
          <w:bCs/>
          <w:sz w:val="28"/>
          <w:szCs w:val="28"/>
        </w:rPr>
      </w:pPr>
      <w:r w:rsidRPr="00123108">
        <w:rPr>
          <w:rFonts w:ascii="宋体" w:hAnsi="宋体" w:cs="宋体" w:hint="eastAsia"/>
          <w:b/>
          <w:bCs/>
          <w:sz w:val="28"/>
          <w:szCs w:val="28"/>
        </w:rPr>
        <w:lastRenderedPageBreak/>
        <w:t>表2.12-2 重大危险源作业人员清单</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Default="004F34D9">
      <w:pPr>
        <w:spacing w:line="360" w:lineRule="auto"/>
        <w:jc w:val="center"/>
        <w:rPr>
          <w:rFonts w:ascii="宋体" w:hAnsi="宋体" w:cs="宋体" w:hint="eastAsia"/>
          <w:b/>
          <w:bCs/>
          <w:sz w:val="28"/>
          <w:szCs w:val="28"/>
        </w:rPr>
      </w:pPr>
      <w:r w:rsidRPr="00123108">
        <w:rPr>
          <w:rFonts w:ascii="宋体" w:hAnsi="宋体" w:cs="宋体" w:hint="eastAsia"/>
          <w:b/>
          <w:bCs/>
          <w:sz w:val="28"/>
          <w:szCs w:val="28"/>
        </w:rPr>
        <w:t>表2.12-3 危险工艺作业人员清单</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C686A" w:rsidRDefault="004C686A">
      <w:pPr>
        <w:spacing w:line="360" w:lineRule="auto"/>
        <w:jc w:val="center"/>
        <w:rPr>
          <w:rFonts w:ascii="宋体" w:hAnsi="宋体" w:cs="宋体" w:hint="eastAsia"/>
          <w:b/>
          <w:bCs/>
          <w:sz w:val="28"/>
          <w:szCs w:val="28"/>
        </w:rPr>
      </w:pPr>
    </w:p>
    <w:p w:rsidR="004F34D9" w:rsidRPr="00123108" w:rsidRDefault="004F34D9">
      <w:pPr>
        <w:spacing w:line="360" w:lineRule="auto"/>
        <w:jc w:val="center"/>
        <w:rPr>
          <w:rFonts w:ascii="宋体" w:hAnsi="宋体" w:cs="宋体"/>
          <w:b/>
          <w:bCs/>
          <w:sz w:val="28"/>
          <w:szCs w:val="28"/>
        </w:rPr>
        <w:sectPr w:rsidR="004F34D9" w:rsidRPr="00123108">
          <w:pgSz w:w="11907" w:h="16840"/>
          <w:pgMar w:top="1417" w:right="1134" w:bottom="1134" w:left="1587" w:header="851" w:footer="992" w:gutter="0"/>
          <w:paperSrc w:first="7" w:other="7"/>
          <w:cols w:space="720"/>
        </w:sectPr>
      </w:pPr>
    </w:p>
    <w:p w:rsidR="004F34D9" w:rsidRDefault="004F34D9">
      <w:pPr>
        <w:spacing w:line="360" w:lineRule="auto"/>
        <w:jc w:val="center"/>
        <w:rPr>
          <w:rFonts w:ascii="宋体" w:hAnsi="宋体" w:cs="宋体" w:hint="eastAsia"/>
          <w:b/>
          <w:bCs/>
          <w:sz w:val="28"/>
          <w:szCs w:val="28"/>
        </w:rPr>
      </w:pPr>
      <w:r w:rsidRPr="00123108">
        <w:rPr>
          <w:rFonts w:ascii="宋体" w:hAnsi="宋体" w:cs="宋体" w:hint="eastAsia"/>
          <w:b/>
          <w:bCs/>
          <w:sz w:val="28"/>
          <w:szCs w:val="28"/>
        </w:rPr>
        <w:lastRenderedPageBreak/>
        <w:t>表2.12-4  厂内机动车辆驾驶人员人员清单</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Default="004F34D9">
      <w:pPr>
        <w:spacing w:line="360" w:lineRule="auto"/>
        <w:jc w:val="center"/>
        <w:rPr>
          <w:rFonts w:ascii="宋体" w:hAnsi="宋体" w:cs="宋体" w:hint="eastAsia"/>
          <w:b/>
          <w:bCs/>
          <w:sz w:val="28"/>
          <w:szCs w:val="28"/>
        </w:rPr>
      </w:pPr>
      <w:r w:rsidRPr="00123108">
        <w:rPr>
          <w:rFonts w:ascii="宋体" w:hAnsi="宋体" w:cs="宋体" w:hint="eastAsia"/>
          <w:b/>
          <w:bCs/>
          <w:sz w:val="28"/>
          <w:szCs w:val="28"/>
        </w:rPr>
        <w:t>表2.12-5  机修及电工人员清单</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Default="004F34D9">
      <w:pPr>
        <w:spacing w:line="360" w:lineRule="auto"/>
        <w:jc w:val="center"/>
        <w:rPr>
          <w:rFonts w:ascii="宋体" w:hAnsi="宋体" w:cs="宋体" w:hint="eastAsia"/>
          <w:b/>
          <w:bCs/>
          <w:sz w:val="28"/>
          <w:szCs w:val="28"/>
        </w:rPr>
      </w:pPr>
      <w:r w:rsidRPr="00123108">
        <w:rPr>
          <w:rFonts w:ascii="宋体" w:hAnsi="宋体" w:cs="宋体" w:hint="eastAsia"/>
          <w:b/>
          <w:bCs/>
          <w:sz w:val="28"/>
          <w:szCs w:val="28"/>
        </w:rPr>
        <w:t>表2.12-6  高处作业人员清单</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Default="004F34D9">
      <w:pPr>
        <w:spacing w:line="360" w:lineRule="auto"/>
        <w:jc w:val="center"/>
        <w:rPr>
          <w:rFonts w:ascii="宋体" w:hAnsi="宋体" w:cs="宋体" w:hint="eastAsia"/>
          <w:b/>
          <w:bCs/>
          <w:sz w:val="28"/>
          <w:szCs w:val="28"/>
        </w:rPr>
      </w:pPr>
      <w:r w:rsidRPr="00123108">
        <w:rPr>
          <w:rFonts w:ascii="宋体" w:hAnsi="宋体" w:cs="宋体" w:hint="eastAsia"/>
          <w:b/>
          <w:bCs/>
          <w:sz w:val="28"/>
          <w:szCs w:val="28"/>
        </w:rPr>
        <w:t>表2.12-7 化工自动化控制仪表作业人员</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Default="004F34D9">
      <w:pPr>
        <w:spacing w:line="360" w:lineRule="auto"/>
        <w:jc w:val="center"/>
        <w:rPr>
          <w:rFonts w:ascii="宋体" w:hAnsi="宋体" w:cs="宋体" w:hint="eastAsia"/>
          <w:b/>
          <w:bCs/>
          <w:sz w:val="28"/>
          <w:szCs w:val="28"/>
        </w:rPr>
      </w:pPr>
      <w:r w:rsidRPr="00123108">
        <w:rPr>
          <w:rFonts w:ascii="宋体" w:hAnsi="宋体" w:cs="宋体" w:hint="eastAsia"/>
          <w:b/>
          <w:bCs/>
          <w:sz w:val="28"/>
          <w:szCs w:val="28"/>
        </w:rPr>
        <w:t>表2.12-8 消控人员清单</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Pr="00123108" w:rsidRDefault="004F34D9">
      <w:pPr>
        <w:spacing w:line="360" w:lineRule="auto"/>
        <w:jc w:val="center"/>
        <w:rPr>
          <w:rFonts w:ascii="宋体" w:hAnsi="宋体" w:cs="宋体"/>
          <w:b/>
          <w:bCs/>
          <w:sz w:val="28"/>
          <w:szCs w:val="28"/>
        </w:rPr>
        <w:sectPr w:rsidR="004F34D9" w:rsidRPr="00123108">
          <w:pgSz w:w="16840" w:h="11907" w:orient="landscape"/>
          <w:pgMar w:top="1587" w:right="1417" w:bottom="1134" w:left="1134" w:header="851" w:footer="992" w:gutter="0"/>
          <w:paperSrc w:first="7" w:other="7"/>
          <w:cols w:space="720"/>
          <w:docGrid w:linePitch="286"/>
        </w:sectPr>
      </w:pPr>
    </w:p>
    <w:p w:rsidR="004F34D9" w:rsidRPr="00123108" w:rsidRDefault="004F34D9">
      <w:pPr>
        <w:pStyle w:val="3"/>
        <w:rPr>
          <w:rFonts w:ascii="宋体" w:eastAsia="宋体" w:hAnsi="宋体" w:cs="宋体" w:hint="eastAsia"/>
          <w:sz w:val="28"/>
          <w:szCs w:val="28"/>
        </w:rPr>
      </w:pPr>
      <w:bookmarkStart w:id="612" w:name="_Toc29188"/>
      <w:bookmarkStart w:id="613" w:name="_Toc1742"/>
      <w:bookmarkStart w:id="614" w:name="_Toc27772"/>
      <w:bookmarkStart w:id="615" w:name="_Toc5350"/>
      <w:bookmarkStart w:id="616" w:name="_Toc26911"/>
      <w:bookmarkStart w:id="617" w:name="_Toc23279"/>
      <w:bookmarkStart w:id="618" w:name="_Toc190935774"/>
      <w:r w:rsidRPr="00123108">
        <w:rPr>
          <w:rFonts w:ascii="宋体" w:eastAsia="宋体" w:hAnsi="宋体" w:cs="宋体" w:hint="eastAsia"/>
          <w:sz w:val="28"/>
          <w:szCs w:val="28"/>
        </w:rPr>
        <w:lastRenderedPageBreak/>
        <w:t>2.12.3  安全管理制度</w:t>
      </w:r>
      <w:bookmarkEnd w:id="611"/>
      <w:bookmarkEnd w:id="612"/>
      <w:bookmarkEnd w:id="613"/>
      <w:bookmarkEnd w:id="614"/>
      <w:bookmarkEnd w:id="615"/>
      <w:bookmarkEnd w:id="616"/>
      <w:bookmarkEnd w:id="617"/>
      <w:bookmarkEnd w:id="618"/>
    </w:p>
    <w:p w:rsidR="004F34D9" w:rsidRDefault="004F34D9">
      <w:pPr>
        <w:spacing w:line="360" w:lineRule="auto"/>
        <w:ind w:firstLineChars="200" w:firstLine="560"/>
        <w:rPr>
          <w:rFonts w:ascii="宋体" w:hAnsi="宋体" w:cs="宋体" w:hint="eastAsia"/>
          <w:sz w:val="28"/>
        </w:rPr>
      </w:pPr>
      <w:r w:rsidRPr="00123108">
        <w:rPr>
          <w:rFonts w:ascii="宋体" w:hAnsi="宋体" w:cs="宋体" w:hint="eastAsia"/>
          <w:sz w:val="28"/>
        </w:rPr>
        <w:t>新桥化工制定的主要安全管理制度和安全操作规程详见表2.12-9、表2.12-10。</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C686A" w:rsidRDefault="004C686A">
      <w:pPr>
        <w:spacing w:line="360" w:lineRule="auto"/>
        <w:ind w:firstLineChars="200" w:firstLine="560"/>
        <w:rPr>
          <w:rFonts w:ascii="宋体" w:hAnsi="宋体" w:cs="宋体" w:hint="eastAsia"/>
          <w:sz w:val="28"/>
        </w:rPr>
      </w:pPr>
    </w:p>
    <w:p w:rsidR="004F34D9" w:rsidRPr="00123108" w:rsidRDefault="004F34D9">
      <w:pPr>
        <w:rPr>
          <w:rFonts w:ascii="宋体" w:hAnsi="宋体" w:cs="宋体" w:hint="eastAsia"/>
          <w:sz w:val="28"/>
        </w:rPr>
      </w:pPr>
      <w:bookmarkStart w:id="619" w:name="_Toc20976"/>
      <w:bookmarkStart w:id="620" w:name="_Toc17698"/>
    </w:p>
    <w:p w:rsidR="004F34D9" w:rsidRPr="00123108" w:rsidRDefault="004F34D9">
      <w:pPr>
        <w:pStyle w:val="3"/>
        <w:rPr>
          <w:rFonts w:ascii="宋体" w:eastAsia="宋体" w:hAnsi="宋体" w:cs="宋体" w:hint="eastAsia"/>
          <w:sz w:val="28"/>
          <w:szCs w:val="28"/>
        </w:rPr>
      </w:pPr>
      <w:bookmarkStart w:id="621" w:name="_Toc13325"/>
      <w:bookmarkStart w:id="622" w:name="_Toc14728"/>
      <w:bookmarkStart w:id="623" w:name="_Toc9907"/>
      <w:bookmarkStart w:id="624" w:name="_Toc3809031"/>
      <w:bookmarkStart w:id="625" w:name="_Toc27582"/>
      <w:bookmarkStart w:id="626" w:name="_Toc1702"/>
      <w:bookmarkStart w:id="627" w:name="_Toc21572"/>
      <w:bookmarkStart w:id="628" w:name="_Toc190935775"/>
      <w:bookmarkEnd w:id="619"/>
      <w:bookmarkEnd w:id="620"/>
      <w:r w:rsidRPr="00123108">
        <w:rPr>
          <w:rFonts w:ascii="宋体" w:eastAsia="宋体" w:hAnsi="宋体" w:cs="宋体" w:hint="eastAsia"/>
          <w:sz w:val="28"/>
          <w:szCs w:val="28"/>
        </w:rPr>
        <w:t>2.12.4  应急管理</w:t>
      </w:r>
      <w:bookmarkEnd w:id="621"/>
      <w:bookmarkEnd w:id="622"/>
      <w:bookmarkEnd w:id="623"/>
      <w:bookmarkEnd w:id="624"/>
      <w:bookmarkEnd w:id="625"/>
      <w:bookmarkEnd w:id="626"/>
      <w:bookmarkEnd w:id="627"/>
      <w:bookmarkEnd w:id="628"/>
    </w:p>
    <w:p w:rsidR="004F34D9" w:rsidRPr="00123108" w:rsidRDefault="004F34D9">
      <w:pPr>
        <w:spacing w:line="360" w:lineRule="auto"/>
        <w:ind w:firstLineChars="200" w:firstLine="560"/>
        <w:rPr>
          <w:rFonts w:ascii="宋体" w:hAnsi="宋体" w:cs="宋体" w:hint="eastAsia"/>
          <w:sz w:val="28"/>
        </w:rPr>
      </w:pPr>
      <w:r w:rsidRPr="00123108">
        <w:rPr>
          <w:rFonts w:ascii="宋体" w:hAnsi="宋体" w:cs="宋体" w:hint="eastAsia"/>
          <w:sz w:val="28"/>
        </w:rPr>
        <w:t>（1）事故应急救援预案的编制情况</w:t>
      </w:r>
    </w:p>
    <w:p w:rsidR="004F34D9" w:rsidRPr="00123108" w:rsidRDefault="004F34D9">
      <w:pPr>
        <w:spacing w:line="360" w:lineRule="auto"/>
        <w:ind w:firstLineChars="200" w:firstLine="560"/>
        <w:rPr>
          <w:rFonts w:ascii="宋体" w:hAnsi="宋体" w:cs="宋体" w:hint="eastAsia"/>
          <w:sz w:val="28"/>
        </w:rPr>
      </w:pPr>
      <w:r w:rsidRPr="00123108">
        <w:rPr>
          <w:rFonts w:ascii="宋体" w:hAnsi="宋体" w:cs="宋体" w:hint="eastAsia"/>
          <w:sz w:val="28"/>
        </w:rPr>
        <w:t>新桥化工根据自身的具体特点编制并定期修订应急预案，应急预案体系包括：《综合应急预案》、《专项应急预案》、《现场处置方案》，并于2024年3月1日在宁波市北仑区应急管理局进行备案，备案编号：33026-2024-063。</w:t>
      </w:r>
    </w:p>
    <w:p w:rsidR="004F34D9" w:rsidRPr="00123108" w:rsidRDefault="004F34D9">
      <w:pPr>
        <w:spacing w:line="360" w:lineRule="auto"/>
        <w:ind w:firstLineChars="200" w:firstLine="560"/>
        <w:rPr>
          <w:rFonts w:ascii="宋体" w:hAnsi="宋体" w:cs="宋体" w:hint="eastAsia"/>
          <w:sz w:val="28"/>
        </w:rPr>
      </w:pPr>
      <w:r w:rsidRPr="00123108">
        <w:rPr>
          <w:rFonts w:ascii="宋体" w:hAnsi="宋体" w:cs="宋体" w:hint="eastAsia"/>
          <w:sz w:val="28"/>
        </w:rPr>
        <w:t>（2）应急预案演练情况</w:t>
      </w:r>
    </w:p>
    <w:p w:rsidR="004F34D9" w:rsidRPr="00123108" w:rsidRDefault="004F34D9">
      <w:pPr>
        <w:spacing w:line="360" w:lineRule="auto"/>
        <w:ind w:firstLineChars="200" w:firstLine="560"/>
        <w:rPr>
          <w:rFonts w:ascii="宋体" w:hAnsi="宋体" w:cs="宋体" w:hint="eastAsia"/>
          <w:sz w:val="28"/>
        </w:rPr>
      </w:pPr>
      <w:r w:rsidRPr="00123108">
        <w:rPr>
          <w:rFonts w:ascii="宋体" w:hAnsi="宋体" w:cs="宋体" w:hint="eastAsia"/>
          <w:sz w:val="28"/>
        </w:rPr>
        <w:t>新桥化工每年年初制定应急预案演练计划，并按计划实施演练。近三年开展的演练情况统计见表2.12-11。</w:t>
      </w:r>
    </w:p>
    <w:p w:rsidR="004F34D9" w:rsidRDefault="004F34D9">
      <w:pPr>
        <w:spacing w:line="360" w:lineRule="auto"/>
        <w:jc w:val="center"/>
        <w:rPr>
          <w:rFonts w:ascii="宋体" w:hAnsi="宋体" w:cs="宋体" w:hint="eastAsia"/>
          <w:b/>
          <w:bCs/>
          <w:sz w:val="28"/>
        </w:rPr>
      </w:pPr>
      <w:r w:rsidRPr="00123108">
        <w:rPr>
          <w:rFonts w:ascii="宋体" w:hAnsi="宋体" w:cs="宋体" w:hint="eastAsia"/>
          <w:b/>
          <w:bCs/>
          <w:sz w:val="28"/>
        </w:rPr>
        <w:t>表2.12-11  近三年应急演练计划</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Pr="00123108" w:rsidRDefault="004F34D9">
      <w:pPr>
        <w:spacing w:line="360" w:lineRule="auto"/>
        <w:ind w:firstLineChars="200" w:firstLine="560"/>
        <w:rPr>
          <w:rFonts w:ascii="宋体" w:hAnsi="宋体" w:cs="宋体" w:hint="eastAsia"/>
          <w:sz w:val="28"/>
        </w:rPr>
      </w:pPr>
      <w:r w:rsidRPr="00123108">
        <w:rPr>
          <w:rFonts w:ascii="宋体" w:hAnsi="宋体" w:cs="宋体" w:hint="eastAsia"/>
          <w:sz w:val="28"/>
        </w:rPr>
        <w:t>（3）应急设施</w:t>
      </w:r>
    </w:p>
    <w:p w:rsidR="004F34D9" w:rsidRPr="00123108" w:rsidRDefault="004F34D9">
      <w:pPr>
        <w:spacing w:line="360" w:lineRule="auto"/>
        <w:ind w:firstLineChars="200" w:firstLine="560"/>
        <w:rPr>
          <w:rFonts w:ascii="宋体" w:hAnsi="宋体" w:cs="宋体" w:hint="eastAsia"/>
          <w:sz w:val="28"/>
        </w:rPr>
        <w:sectPr w:rsidR="004F34D9" w:rsidRPr="00123108">
          <w:pgSz w:w="11907" w:h="16840"/>
          <w:pgMar w:top="1417" w:right="1134" w:bottom="1134" w:left="1587" w:header="851" w:footer="992" w:gutter="0"/>
          <w:paperSrc w:first="7" w:other="7"/>
          <w:cols w:space="720"/>
        </w:sectPr>
      </w:pPr>
      <w:r w:rsidRPr="00123108">
        <w:rPr>
          <w:rFonts w:ascii="宋体" w:hAnsi="宋体" w:cs="宋体" w:hint="eastAsia"/>
          <w:sz w:val="28"/>
        </w:rPr>
        <w:t>新桥化工根据实际情况及相关规范要求配备了相应的应急器材，配置情况见表2.12-12。</w:t>
      </w:r>
    </w:p>
    <w:p w:rsidR="004F34D9" w:rsidRDefault="004F34D9">
      <w:pPr>
        <w:spacing w:line="360" w:lineRule="auto"/>
        <w:jc w:val="center"/>
        <w:rPr>
          <w:rFonts w:ascii="宋体" w:hAnsi="宋体" w:cs="宋体" w:hint="eastAsia"/>
          <w:b/>
          <w:bCs/>
          <w:sz w:val="28"/>
          <w:szCs w:val="28"/>
        </w:rPr>
      </w:pPr>
      <w:r w:rsidRPr="00123108">
        <w:rPr>
          <w:rFonts w:ascii="宋体" w:hAnsi="宋体" w:cs="宋体" w:hint="eastAsia"/>
          <w:b/>
          <w:bCs/>
          <w:sz w:val="28"/>
          <w:szCs w:val="28"/>
        </w:rPr>
        <w:lastRenderedPageBreak/>
        <w:t>表2.12-12 新桥化工应急物资储备清单</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C686A" w:rsidRDefault="004C686A">
      <w:pPr>
        <w:spacing w:line="360" w:lineRule="auto"/>
        <w:jc w:val="center"/>
        <w:rPr>
          <w:rFonts w:ascii="宋体" w:hAnsi="宋体" w:cs="宋体" w:hint="eastAsia"/>
          <w:b/>
          <w:bCs/>
          <w:sz w:val="28"/>
          <w:szCs w:val="28"/>
        </w:rPr>
      </w:pPr>
    </w:p>
    <w:p w:rsidR="004F34D9" w:rsidRPr="00123108" w:rsidRDefault="004F34D9">
      <w:pPr>
        <w:spacing w:line="360" w:lineRule="auto"/>
        <w:jc w:val="center"/>
        <w:rPr>
          <w:rFonts w:ascii="宋体" w:hAnsi="宋体" w:cs="宋体" w:hint="eastAsia"/>
          <w:b/>
          <w:bCs/>
          <w:sz w:val="28"/>
          <w:szCs w:val="28"/>
        </w:rPr>
        <w:sectPr w:rsidR="004F34D9" w:rsidRPr="00123108">
          <w:pgSz w:w="16840" w:h="11907" w:orient="landscape"/>
          <w:pgMar w:top="1587" w:right="1417" w:bottom="1134" w:left="1134" w:header="851" w:footer="992" w:gutter="0"/>
          <w:paperSrc w:first="7" w:other="7"/>
          <w:cols w:space="720"/>
        </w:sectPr>
      </w:pPr>
    </w:p>
    <w:p w:rsidR="004F34D9" w:rsidRPr="00123108" w:rsidRDefault="004F34D9">
      <w:pPr>
        <w:spacing w:line="360" w:lineRule="auto"/>
        <w:ind w:firstLineChars="200" w:firstLine="560"/>
        <w:rPr>
          <w:rFonts w:ascii="宋体" w:hAnsi="宋体" w:cs="宋体" w:hint="eastAsia"/>
          <w:sz w:val="28"/>
        </w:rPr>
      </w:pPr>
      <w:r w:rsidRPr="00123108">
        <w:rPr>
          <w:rFonts w:ascii="宋体" w:hAnsi="宋体" w:cs="宋体" w:hint="eastAsia"/>
          <w:sz w:val="28"/>
        </w:rPr>
        <w:lastRenderedPageBreak/>
        <w:t>（4）近3年安全生产事故情况</w:t>
      </w:r>
    </w:p>
    <w:p w:rsidR="004F34D9" w:rsidRDefault="004F34D9">
      <w:pPr>
        <w:spacing w:line="360" w:lineRule="auto"/>
        <w:jc w:val="center"/>
        <w:rPr>
          <w:rFonts w:ascii="宋体" w:hAnsi="宋体" w:cs="宋体" w:hint="eastAsia"/>
          <w:b/>
          <w:bCs/>
          <w:sz w:val="28"/>
        </w:rPr>
      </w:pPr>
      <w:r w:rsidRPr="00123108">
        <w:rPr>
          <w:rFonts w:ascii="宋体" w:hAnsi="宋体" w:cs="宋体" w:hint="eastAsia"/>
          <w:b/>
          <w:bCs/>
          <w:sz w:val="28"/>
        </w:rPr>
        <w:t>表2.12-13 近3年安全生产事故情况</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Pr="00123108" w:rsidRDefault="004F34D9">
      <w:pPr>
        <w:pStyle w:val="af2"/>
        <w:rPr>
          <w:rFonts w:hint="eastAsia"/>
        </w:rPr>
      </w:pPr>
      <w:bookmarkStart w:id="629" w:name="_Toc3809034"/>
      <w:bookmarkStart w:id="630" w:name="_Toc25373"/>
      <w:bookmarkStart w:id="631" w:name="_Toc13370"/>
      <w:bookmarkStart w:id="632" w:name="_Toc7516"/>
      <w:bookmarkStart w:id="633" w:name="_Toc14646"/>
      <w:bookmarkStart w:id="634" w:name="_Toc4203"/>
      <w:bookmarkStart w:id="635" w:name="_Toc32385"/>
    </w:p>
    <w:p w:rsidR="004F34D9" w:rsidRPr="00123108" w:rsidRDefault="004F34D9">
      <w:pPr>
        <w:pStyle w:val="3"/>
        <w:rPr>
          <w:rFonts w:ascii="宋体" w:eastAsia="宋体" w:hAnsi="宋体" w:cs="宋体" w:hint="eastAsia"/>
          <w:sz w:val="28"/>
          <w:szCs w:val="28"/>
        </w:rPr>
      </w:pPr>
      <w:bookmarkStart w:id="636" w:name="_Toc190935776"/>
      <w:r w:rsidRPr="00123108">
        <w:rPr>
          <w:rFonts w:ascii="宋体" w:eastAsia="宋体" w:hAnsi="宋体" w:cs="宋体" w:hint="eastAsia"/>
          <w:sz w:val="28"/>
          <w:szCs w:val="28"/>
        </w:rPr>
        <w:t>2.12.5  个体防护设施</w:t>
      </w:r>
      <w:bookmarkEnd w:id="636"/>
    </w:p>
    <w:p w:rsidR="004F34D9" w:rsidRPr="00123108" w:rsidRDefault="004F34D9">
      <w:pPr>
        <w:spacing w:line="360" w:lineRule="auto"/>
        <w:ind w:firstLineChars="200" w:firstLine="560"/>
        <w:rPr>
          <w:rFonts w:ascii="宋体" w:hAnsi="宋体" w:cs="宋体" w:hint="eastAsia"/>
          <w:sz w:val="28"/>
          <w:szCs w:val="28"/>
        </w:rPr>
      </w:pPr>
      <w:r w:rsidRPr="00123108">
        <w:rPr>
          <w:rFonts w:ascii="宋体" w:hAnsi="宋体" w:cs="宋体" w:hint="eastAsia"/>
          <w:sz w:val="28"/>
          <w:szCs w:val="28"/>
        </w:rPr>
        <w:t>新桥化工根据岗位主要危害，制定了相应劳动防护用品发放标准，具体见下表，劳动防护用品领用记录代表样张见附件5。</w:t>
      </w:r>
    </w:p>
    <w:p w:rsidR="004F34D9" w:rsidRDefault="004F34D9">
      <w:pPr>
        <w:spacing w:line="360" w:lineRule="auto"/>
        <w:ind w:firstLineChars="192" w:firstLine="540"/>
        <w:jc w:val="center"/>
        <w:rPr>
          <w:rFonts w:ascii="宋体" w:hAnsi="宋体" w:cs="宋体" w:hint="eastAsia"/>
          <w:b/>
          <w:sz w:val="28"/>
          <w:szCs w:val="28"/>
        </w:rPr>
      </w:pPr>
      <w:r w:rsidRPr="00123108">
        <w:rPr>
          <w:rFonts w:ascii="宋体" w:hAnsi="宋体" w:cs="宋体" w:hint="eastAsia"/>
          <w:b/>
          <w:sz w:val="28"/>
          <w:szCs w:val="28"/>
        </w:rPr>
        <w:t>表2.12-14 劳动防护用品发放清单</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Pr="00123108" w:rsidRDefault="004F34D9">
      <w:pPr>
        <w:spacing w:line="360" w:lineRule="auto"/>
        <w:outlineLvl w:val="2"/>
        <w:rPr>
          <w:rFonts w:ascii="宋体" w:hAnsi="宋体" w:cs="宋体" w:hint="eastAsia"/>
          <w:b/>
          <w:bCs/>
          <w:sz w:val="28"/>
          <w:szCs w:val="28"/>
        </w:rPr>
      </w:pPr>
      <w:bookmarkStart w:id="637" w:name="_Toc190935777"/>
      <w:r w:rsidRPr="00123108">
        <w:rPr>
          <w:rFonts w:ascii="宋体" w:hAnsi="宋体" w:cs="宋体" w:hint="eastAsia"/>
          <w:b/>
          <w:bCs/>
          <w:sz w:val="28"/>
          <w:szCs w:val="28"/>
        </w:rPr>
        <w:t>2.12.6  安全投入</w:t>
      </w:r>
      <w:bookmarkEnd w:id="629"/>
      <w:bookmarkEnd w:id="630"/>
      <w:bookmarkEnd w:id="631"/>
      <w:bookmarkEnd w:id="632"/>
      <w:bookmarkEnd w:id="633"/>
      <w:bookmarkEnd w:id="634"/>
      <w:bookmarkEnd w:id="635"/>
      <w:bookmarkEnd w:id="637"/>
    </w:p>
    <w:p w:rsidR="004F34D9" w:rsidRPr="00123108" w:rsidRDefault="004F34D9">
      <w:pPr>
        <w:spacing w:line="360" w:lineRule="auto"/>
        <w:ind w:firstLineChars="200" w:firstLine="560"/>
        <w:rPr>
          <w:rFonts w:ascii="宋体" w:hAnsi="宋体" w:cs="宋体" w:hint="eastAsia"/>
          <w:sz w:val="28"/>
          <w:szCs w:val="28"/>
        </w:rPr>
      </w:pPr>
      <w:r w:rsidRPr="00123108">
        <w:rPr>
          <w:rFonts w:ascii="宋体" w:hAnsi="宋体" w:cs="宋体" w:hint="eastAsia"/>
          <w:sz w:val="28"/>
          <w:szCs w:val="28"/>
        </w:rPr>
        <w:t>新桥化工制定了《安全生产费用管理规定》，近3年安全生产投入情况如下表所示，其中2022年11月开始按照新颁布的《企业安全生产费用提取和使用管理办法》财企〔2022〕136号第二十一条“</w:t>
      </w:r>
      <w:r w:rsidRPr="00123108">
        <w:rPr>
          <w:rFonts w:ascii="宋体" w:hAnsi="宋体" w:cs="宋体"/>
          <w:sz w:val="28"/>
          <w:szCs w:val="28"/>
        </w:rPr>
        <w:t>危险品生产与储存企业以上一年度营业收入为依据，采取超额累退方式确定本年度应计提金额，并逐月平均提取。具体如下：（一）上一年度营业收入不超过1000万元的，按照4.5%提取；（二）上一年度营业收入超过1000万元至1亿元的部分，按照2.25%提取；（三）上一年度营业收入超过1亿元至10亿元的部分，按照0.55%提取；（四）上一年度营业收入超过10亿元的部分，按照0.2%提取。</w:t>
      </w:r>
      <w:r w:rsidRPr="00123108">
        <w:rPr>
          <w:rFonts w:ascii="宋体" w:hAnsi="宋体" w:cs="宋体" w:hint="eastAsia"/>
          <w:sz w:val="28"/>
          <w:szCs w:val="28"/>
        </w:rPr>
        <w:t>”提取。</w:t>
      </w:r>
    </w:p>
    <w:p w:rsidR="004F34D9" w:rsidRDefault="004F34D9">
      <w:pPr>
        <w:spacing w:line="360" w:lineRule="auto"/>
        <w:ind w:firstLineChars="192" w:firstLine="540"/>
        <w:jc w:val="center"/>
        <w:rPr>
          <w:rFonts w:ascii="宋体" w:hAnsi="宋体" w:cs="宋体" w:hint="eastAsia"/>
          <w:b/>
          <w:sz w:val="28"/>
          <w:szCs w:val="28"/>
        </w:rPr>
      </w:pPr>
      <w:r w:rsidRPr="00123108">
        <w:rPr>
          <w:rFonts w:ascii="宋体" w:hAnsi="宋体" w:cs="宋体" w:hint="eastAsia"/>
          <w:b/>
          <w:sz w:val="28"/>
          <w:szCs w:val="28"/>
        </w:rPr>
        <w:t>表2.12-15  近3年安全生产投入情况</w:t>
      </w:r>
      <w:bookmarkStart w:id="638" w:name="_Toc3809035"/>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Pr="00123108" w:rsidRDefault="004F34D9">
      <w:pPr>
        <w:ind w:firstLineChars="200" w:firstLine="560"/>
        <w:rPr>
          <w:rFonts w:ascii="宋体" w:hAnsi="宋体" w:cs="宋体" w:hint="eastAsia"/>
          <w:sz w:val="28"/>
          <w:szCs w:val="28"/>
        </w:rPr>
      </w:pPr>
    </w:p>
    <w:p w:rsidR="004F34D9" w:rsidRPr="00123108" w:rsidRDefault="004F34D9">
      <w:pPr>
        <w:pStyle w:val="3"/>
        <w:rPr>
          <w:rFonts w:ascii="宋体" w:eastAsia="宋体" w:hAnsi="宋体" w:cs="宋体" w:hint="eastAsia"/>
          <w:sz w:val="28"/>
          <w:szCs w:val="28"/>
        </w:rPr>
      </w:pPr>
      <w:bookmarkStart w:id="639" w:name="_Toc14780"/>
      <w:bookmarkStart w:id="640" w:name="_Toc30465"/>
      <w:bookmarkStart w:id="641" w:name="_Toc1377"/>
      <w:bookmarkStart w:id="642" w:name="_Toc13902"/>
      <w:bookmarkStart w:id="643" w:name="_Toc10142"/>
      <w:bookmarkStart w:id="644" w:name="_Toc17917"/>
      <w:bookmarkStart w:id="645" w:name="_Toc190935778"/>
      <w:r w:rsidRPr="00123108">
        <w:rPr>
          <w:rFonts w:ascii="宋体" w:eastAsia="宋体" w:hAnsi="宋体" w:cs="宋体" w:hint="eastAsia"/>
          <w:sz w:val="28"/>
          <w:szCs w:val="28"/>
        </w:rPr>
        <w:t>2.12.7  安全检查情况</w:t>
      </w:r>
      <w:bookmarkEnd w:id="638"/>
      <w:bookmarkEnd w:id="639"/>
      <w:bookmarkEnd w:id="640"/>
      <w:bookmarkEnd w:id="641"/>
      <w:bookmarkEnd w:id="642"/>
      <w:bookmarkEnd w:id="643"/>
      <w:bookmarkEnd w:id="644"/>
      <w:bookmarkEnd w:id="645"/>
    </w:p>
    <w:p w:rsidR="004F34D9" w:rsidRPr="00123108" w:rsidRDefault="004F34D9">
      <w:pPr>
        <w:spacing w:line="360" w:lineRule="auto"/>
        <w:ind w:firstLineChars="200" w:firstLine="560"/>
        <w:rPr>
          <w:rFonts w:ascii="宋体" w:hAnsi="宋体" w:cs="宋体" w:hint="eastAsia"/>
          <w:sz w:val="28"/>
          <w:szCs w:val="28"/>
        </w:rPr>
      </w:pPr>
      <w:r w:rsidRPr="00123108">
        <w:rPr>
          <w:rFonts w:ascii="宋体" w:hAnsi="宋体" w:cs="宋体" w:hint="eastAsia"/>
          <w:sz w:val="28"/>
          <w:szCs w:val="28"/>
        </w:rPr>
        <w:t>新桥化工制定了《风险分级管控和隐患排查治理管理制度》，能定期开展各类安全检查，检查发现的问题制定整改计划并落实整改。安全检查内容及频次见表2.12-16。</w:t>
      </w:r>
    </w:p>
    <w:p w:rsidR="004F34D9" w:rsidRDefault="004F34D9">
      <w:pPr>
        <w:spacing w:line="360" w:lineRule="auto"/>
        <w:jc w:val="center"/>
        <w:rPr>
          <w:rFonts w:ascii="宋体" w:hAnsi="宋体" w:cs="宋体" w:hint="eastAsia"/>
          <w:b/>
          <w:sz w:val="28"/>
          <w:szCs w:val="28"/>
        </w:rPr>
      </w:pPr>
      <w:r w:rsidRPr="00123108">
        <w:rPr>
          <w:rFonts w:ascii="宋体" w:hAnsi="宋体" w:cs="宋体" w:hint="eastAsia"/>
          <w:b/>
          <w:sz w:val="28"/>
          <w:szCs w:val="28"/>
        </w:rPr>
        <w:t>表2.12-16  安全检查开展情况</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lastRenderedPageBreak/>
        <w:t>涉及企业机密，不予公开。</w:t>
      </w:r>
    </w:p>
    <w:p w:rsidR="004F34D9" w:rsidRPr="00123108" w:rsidRDefault="004F34D9" w:rsidP="001C128A">
      <w:pPr>
        <w:pStyle w:val="3"/>
        <w:spacing w:line="500" w:lineRule="exact"/>
        <w:rPr>
          <w:rFonts w:ascii="宋体" w:eastAsia="宋体" w:hAnsi="宋体" w:cs="宋体" w:hint="eastAsia"/>
          <w:sz w:val="28"/>
          <w:szCs w:val="28"/>
        </w:rPr>
      </w:pPr>
      <w:bookmarkStart w:id="646" w:name="_Toc28214"/>
      <w:bookmarkStart w:id="647" w:name="_Toc29386"/>
      <w:bookmarkStart w:id="648" w:name="_Toc8445"/>
      <w:bookmarkStart w:id="649" w:name="_Toc3809036"/>
      <w:bookmarkStart w:id="650" w:name="_Toc8263"/>
      <w:bookmarkStart w:id="651" w:name="_Toc9793"/>
      <w:bookmarkStart w:id="652" w:name="_Toc12646"/>
      <w:bookmarkStart w:id="653" w:name="_Toc190935779"/>
      <w:r w:rsidRPr="00123108">
        <w:rPr>
          <w:rFonts w:ascii="宋体" w:eastAsia="宋体" w:hAnsi="宋体" w:cs="宋体" w:hint="eastAsia"/>
          <w:sz w:val="28"/>
          <w:szCs w:val="28"/>
        </w:rPr>
        <w:t>2.12.8  安全培训情况</w:t>
      </w:r>
      <w:bookmarkEnd w:id="646"/>
      <w:bookmarkEnd w:id="647"/>
      <w:bookmarkEnd w:id="648"/>
      <w:bookmarkEnd w:id="649"/>
      <w:bookmarkEnd w:id="650"/>
      <w:bookmarkEnd w:id="651"/>
      <w:bookmarkEnd w:id="652"/>
      <w:bookmarkEnd w:id="653"/>
    </w:p>
    <w:p w:rsidR="004F34D9" w:rsidRPr="00123108" w:rsidRDefault="004F34D9" w:rsidP="001C128A">
      <w:pPr>
        <w:spacing w:line="500" w:lineRule="exact"/>
        <w:ind w:firstLine="704"/>
        <w:rPr>
          <w:rFonts w:ascii="宋体" w:hAnsi="宋体"/>
          <w:sz w:val="28"/>
          <w:szCs w:val="28"/>
        </w:rPr>
      </w:pPr>
      <w:r w:rsidRPr="00123108">
        <w:rPr>
          <w:rFonts w:ascii="宋体" w:hAnsi="宋体" w:hint="eastAsia"/>
          <w:sz w:val="28"/>
          <w:szCs w:val="28"/>
        </w:rPr>
        <w:t>新桥化工对每个新进员工上岗前必须进行三级安全教育，做好安全生产的岗前培训，部门和班组的安全教育，同时在各部门班组对员工进行以班会、早会的形式宣讲安全生产知识。</w:t>
      </w:r>
    </w:p>
    <w:p w:rsidR="004F34D9" w:rsidRPr="00123108" w:rsidRDefault="004F34D9" w:rsidP="001C128A">
      <w:pPr>
        <w:spacing w:line="500" w:lineRule="exact"/>
        <w:ind w:firstLineChars="200" w:firstLine="560"/>
        <w:rPr>
          <w:rFonts w:ascii="宋体" w:hAnsi="宋体"/>
          <w:sz w:val="28"/>
          <w:szCs w:val="28"/>
        </w:rPr>
      </w:pPr>
      <w:r w:rsidRPr="00123108">
        <w:rPr>
          <w:rFonts w:ascii="宋体" w:hAnsi="宋体" w:hint="eastAsia"/>
          <w:sz w:val="28"/>
          <w:szCs w:val="28"/>
        </w:rPr>
        <w:t>公司每年按时制定年度安全教育培训计划，如每月厂级安全教育培训、每次公司晨会安全知识分享、应急演练、消防演练、应急知识技能比赛等，安全生产教育培训方式多样，既包括传统的学习培训方法，又辅以图片宣传、视频观看、现场操作等。</w:t>
      </w:r>
    </w:p>
    <w:p w:rsidR="004F34D9" w:rsidRPr="00123108" w:rsidRDefault="004F34D9" w:rsidP="001C128A">
      <w:pPr>
        <w:spacing w:line="500" w:lineRule="exact"/>
        <w:ind w:firstLineChars="200" w:firstLine="560"/>
        <w:rPr>
          <w:rFonts w:ascii="宋体" w:hAnsi="宋体"/>
          <w:sz w:val="28"/>
          <w:szCs w:val="28"/>
        </w:rPr>
      </w:pPr>
      <w:r w:rsidRPr="00123108">
        <w:rPr>
          <w:rFonts w:ascii="宋体" w:hAnsi="宋体" w:hint="eastAsia"/>
          <w:sz w:val="28"/>
          <w:szCs w:val="28"/>
        </w:rPr>
        <w:t>为激励员工积极参加安全活动，公司采取了相应的激励措施，对于休息时间参加公司组织的安全教育培训的员工，均按超时加班结算。</w:t>
      </w:r>
    </w:p>
    <w:p w:rsidR="004F34D9" w:rsidRPr="00123108" w:rsidRDefault="004F34D9" w:rsidP="001C128A">
      <w:pPr>
        <w:spacing w:line="500" w:lineRule="exact"/>
        <w:ind w:firstLineChars="200" w:firstLine="560"/>
        <w:rPr>
          <w:rFonts w:ascii="宋体" w:hAnsi="宋体" w:hint="eastAsia"/>
          <w:sz w:val="28"/>
        </w:rPr>
      </w:pPr>
      <w:r w:rsidRPr="00123108">
        <w:rPr>
          <w:rFonts w:ascii="宋体" w:hAnsi="宋体" w:hint="eastAsia"/>
          <w:sz w:val="28"/>
        </w:rPr>
        <w:t>建立人员个人档案，三级安全培训资料按人员保存。近三年内部培训情况见表2.12-17 ，三级安全教育培训代表样张见附件。</w:t>
      </w:r>
    </w:p>
    <w:p w:rsidR="004F34D9" w:rsidRDefault="004F34D9">
      <w:pPr>
        <w:spacing w:line="500" w:lineRule="exact"/>
        <w:ind w:firstLineChars="200" w:firstLine="562"/>
        <w:jc w:val="center"/>
        <w:rPr>
          <w:rFonts w:ascii="黑体" w:eastAsia="黑体" w:hAnsi="黑体" w:hint="eastAsia"/>
          <w:b/>
          <w:sz w:val="28"/>
        </w:rPr>
      </w:pPr>
      <w:r w:rsidRPr="00123108">
        <w:rPr>
          <w:rFonts w:ascii="黑体" w:eastAsia="黑体" w:hAnsi="黑体" w:hint="eastAsia"/>
          <w:b/>
          <w:sz w:val="28"/>
        </w:rPr>
        <w:t>表2.12-17 近三年内部培训情况</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Pr="00123108" w:rsidRDefault="004F34D9" w:rsidP="001C128A">
      <w:pPr>
        <w:pStyle w:val="3"/>
        <w:spacing w:line="500" w:lineRule="exact"/>
        <w:rPr>
          <w:rFonts w:ascii="宋体" w:eastAsia="宋体" w:hAnsi="宋体" w:cs="宋体" w:hint="eastAsia"/>
          <w:sz w:val="28"/>
          <w:szCs w:val="28"/>
        </w:rPr>
      </w:pPr>
      <w:bookmarkStart w:id="654" w:name="_Toc190935780"/>
      <w:r w:rsidRPr="00123108">
        <w:rPr>
          <w:rFonts w:ascii="宋体" w:eastAsia="宋体" w:hAnsi="宋体" w:cs="宋体" w:hint="eastAsia"/>
          <w:sz w:val="28"/>
          <w:szCs w:val="28"/>
        </w:rPr>
        <w:t>2.12.9  数字化平台</w:t>
      </w:r>
      <w:bookmarkEnd w:id="654"/>
    </w:p>
    <w:p w:rsidR="004F34D9" w:rsidRDefault="004F34D9" w:rsidP="001C128A">
      <w:pPr>
        <w:spacing w:line="500" w:lineRule="exact"/>
        <w:ind w:firstLineChars="200" w:firstLine="560"/>
        <w:rPr>
          <w:rFonts w:ascii="宋体" w:hAnsi="宋体" w:hint="eastAsia"/>
          <w:sz w:val="28"/>
          <w:szCs w:val="28"/>
        </w:rPr>
      </w:pPr>
      <w:r w:rsidRPr="00123108">
        <w:rPr>
          <w:rFonts w:ascii="宋体" w:hAnsi="宋体" w:hint="eastAsia"/>
          <w:sz w:val="28"/>
          <w:szCs w:val="28"/>
        </w:rPr>
        <w:t>新桥化工于2022年投入数字化平台的使用，数字化平台内容主要为：重大危险源监测预警；双重预防建设；智能巡检；人员、车辆定位；特殊作业—电子作业票。</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C686A" w:rsidRDefault="004C686A" w:rsidP="004C686A">
      <w:pPr>
        <w:spacing w:line="500" w:lineRule="exact"/>
        <w:ind w:firstLineChars="200" w:firstLine="560"/>
        <w:rPr>
          <w:rFonts w:ascii="宋体" w:hAnsi="宋体" w:hint="eastAsia"/>
          <w:sz w:val="28"/>
          <w:szCs w:val="28"/>
        </w:rPr>
      </w:pPr>
    </w:p>
    <w:p w:rsidR="004F34D9" w:rsidRPr="00123108" w:rsidRDefault="004F34D9" w:rsidP="00D82871">
      <w:pPr>
        <w:tabs>
          <w:tab w:val="left" w:pos="0"/>
        </w:tabs>
        <w:ind w:firstLineChars="550" w:firstLine="1760"/>
        <w:jc w:val="left"/>
        <w:rPr>
          <w:rFonts w:ascii="宋体" w:hAnsi="宋体"/>
          <w:sz w:val="32"/>
          <w:szCs w:val="32"/>
        </w:rPr>
      </w:pPr>
    </w:p>
    <w:p w:rsidR="004F34D9" w:rsidRPr="00123108" w:rsidRDefault="004F34D9" w:rsidP="00D82871">
      <w:pPr>
        <w:tabs>
          <w:tab w:val="left" w:pos="0"/>
        </w:tabs>
        <w:ind w:firstLineChars="400" w:firstLine="1120"/>
        <w:jc w:val="left"/>
        <w:rPr>
          <w:rFonts w:ascii="宋体" w:hAnsi="宋体"/>
          <w:sz w:val="28"/>
          <w:szCs w:val="28"/>
        </w:rPr>
      </w:pPr>
    </w:p>
    <w:p w:rsidR="004F34D9" w:rsidRPr="00123108" w:rsidRDefault="004F34D9">
      <w:pPr>
        <w:rPr>
          <w:rFonts w:hint="eastAsia"/>
        </w:rPr>
      </w:pPr>
    </w:p>
    <w:p w:rsidR="004F34D9" w:rsidRPr="00123108" w:rsidRDefault="004F34D9">
      <w:pPr>
        <w:pStyle w:val="3"/>
        <w:rPr>
          <w:rFonts w:ascii="宋体" w:eastAsia="宋体" w:hAnsi="宋体" w:cs="宋体" w:hint="eastAsia"/>
          <w:sz w:val="28"/>
          <w:szCs w:val="28"/>
        </w:rPr>
      </w:pPr>
      <w:bookmarkStart w:id="655" w:name="_Toc12460"/>
      <w:bookmarkStart w:id="656" w:name="_Toc5346"/>
      <w:bookmarkStart w:id="657" w:name="_Toc3809037"/>
      <w:bookmarkStart w:id="658" w:name="_Toc11301"/>
      <w:bookmarkStart w:id="659" w:name="_Toc23676"/>
      <w:bookmarkStart w:id="660" w:name="_Toc7733"/>
      <w:bookmarkStart w:id="661" w:name="_Toc30205"/>
      <w:bookmarkStart w:id="662" w:name="_Toc190935781"/>
      <w:r w:rsidRPr="00123108">
        <w:rPr>
          <w:rFonts w:ascii="宋体" w:eastAsia="宋体" w:hAnsi="宋体" w:cs="宋体" w:hint="eastAsia"/>
          <w:sz w:val="28"/>
          <w:szCs w:val="28"/>
        </w:rPr>
        <w:t>2.12.10 HAZOP分析、SIL定级及验算开展情况</w:t>
      </w:r>
      <w:bookmarkEnd w:id="655"/>
      <w:bookmarkEnd w:id="656"/>
      <w:bookmarkEnd w:id="657"/>
      <w:bookmarkEnd w:id="658"/>
      <w:bookmarkEnd w:id="659"/>
      <w:bookmarkEnd w:id="660"/>
      <w:bookmarkEnd w:id="661"/>
      <w:bookmarkEnd w:id="662"/>
    </w:p>
    <w:p w:rsidR="004F34D9" w:rsidRPr="00123108" w:rsidRDefault="004F34D9">
      <w:pPr>
        <w:adjustRightInd w:val="0"/>
        <w:snapToGrid w:val="0"/>
        <w:spacing w:line="360" w:lineRule="auto"/>
        <w:ind w:firstLineChars="200" w:firstLine="560"/>
        <w:rPr>
          <w:rFonts w:ascii="宋体" w:hAnsi="宋体" w:cs="宋体" w:hint="eastAsia"/>
          <w:sz w:val="28"/>
          <w:szCs w:val="28"/>
        </w:rPr>
      </w:pPr>
      <w:bookmarkStart w:id="663" w:name="_Toc393724116"/>
      <w:bookmarkStart w:id="664" w:name="_Toc3809038"/>
      <w:r w:rsidRPr="00123108">
        <w:rPr>
          <w:rFonts w:ascii="宋体" w:hAnsi="宋体" w:cs="宋体" w:hint="eastAsia"/>
          <w:sz w:val="28"/>
          <w:szCs w:val="28"/>
        </w:rPr>
        <w:t>（1）HAZOP分析</w:t>
      </w:r>
    </w:p>
    <w:p w:rsidR="004F34D9" w:rsidRPr="00123108" w:rsidRDefault="004F34D9">
      <w:pPr>
        <w:adjustRightInd w:val="0"/>
        <w:snapToGrid w:val="0"/>
        <w:spacing w:line="360" w:lineRule="auto"/>
        <w:ind w:firstLineChars="200" w:firstLine="560"/>
        <w:rPr>
          <w:rFonts w:ascii="宋体" w:hAnsi="宋体" w:cs="宋体" w:hint="eastAsia"/>
          <w:sz w:val="28"/>
          <w:szCs w:val="28"/>
        </w:rPr>
      </w:pPr>
      <w:r w:rsidRPr="00123108">
        <w:rPr>
          <w:rFonts w:ascii="宋体" w:hAnsi="宋体" w:cs="宋体" w:hint="eastAsia"/>
          <w:sz w:val="28"/>
          <w:szCs w:val="28"/>
        </w:rPr>
        <w:t>新桥化工定期进行HAZOP分析。</w:t>
      </w:r>
    </w:p>
    <w:p w:rsidR="004F34D9" w:rsidRPr="00123108" w:rsidRDefault="004F34D9">
      <w:pPr>
        <w:adjustRightInd w:val="0"/>
        <w:snapToGrid w:val="0"/>
        <w:spacing w:line="360" w:lineRule="auto"/>
        <w:ind w:firstLineChars="200" w:firstLine="560"/>
        <w:rPr>
          <w:rFonts w:ascii="宋体" w:hAnsi="宋体" w:cs="宋体"/>
          <w:sz w:val="28"/>
          <w:szCs w:val="28"/>
        </w:rPr>
      </w:pPr>
      <w:r w:rsidRPr="00123108">
        <w:rPr>
          <w:rFonts w:ascii="宋体" w:hAnsi="宋体" w:cs="宋体" w:hint="eastAsia"/>
          <w:sz w:val="28"/>
          <w:szCs w:val="28"/>
        </w:rPr>
        <w:t>最近一期HAZOP分析委托北京安优华维技术咨询有限公司于2024年一</w:t>
      </w:r>
      <w:r w:rsidRPr="00123108">
        <w:rPr>
          <w:rFonts w:ascii="宋体" w:hAnsi="宋体" w:cs="宋体" w:hint="eastAsia"/>
          <w:sz w:val="28"/>
          <w:szCs w:val="28"/>
        </w:rPr>
        <w:lastRenderedPageBreak/>
        <w:t>月开展，并出具《宁波新桥化工有限公司年产12万吨可发性聚苯乙烯项目危险与可操作性HAZOP分析报告》，（该报告未识别出新的高风险及高后果，未进行LOPA分析），提出的建议措施四条，均已完成整改，见表2.12-18。</w:t>
      </w:r>
    </w:p>
    <w:p w:rsidR="004F34D9" w:rsidRDefault="004F34D9">
      <w:pPr>
        <w:adjustRightInd w:val="0"/>
        <w:snapToGrid w:val="0"/>
        <w:spacing w:line="360" w:lineRule="auto"/>
        <w:jc w:val="center"/>
        <w:rPr>
          <w:rFonts w:ascii="黑体" w:eastAsia="黑体" w:hAnsi="黑体" w:cs="宋体" w:hint="eastAsia"/>
          <w:b/>
          <w:sz w:val="28"/>
          <w:szCs w:val="28"/>
        </w:rPr>
      </w:pPr>
      <w:r w:rsidRPr="00123108">
        <w:rPr>
          <w:rFonts w:ascii="黑体" w:eastAsia="黑体" w:hAnsi="黑体" w:cs="宋体" w:hint="eastAsia"/>
          <w:b/>
          <w:sz w:val="28"/>
          <w:szCs w:val="28"/>
        </w:rPr>
        <w:t>表2.12-18 新桥化工HAZOP分析建议措施落实情况</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Pr="00123108" w:rsidRDefault="004F34D9">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（2）SIL定级及验算</w:t>
      </w:r>
    </w:p>
    <w:p w:rsidR="004F34D9" w:rsidRPr="00123108" w:rsidRDefault="004F34D9">
      <w:pPr>
        <w:spacing w:line="500" w:lineRule="exact"/>
        <w:ind w:firstLineChars="200" w:firstLine="560"/>
        <w:rPr>
          <w:rFonts w:ascii="宋体" w:hAnsi="宋体" w:cs="宋体"/>
          <w:sz w:val="28"/>
          <w:szCs w:val="28"/>
        </w:rPr>
      </w:pPr>
      <w:r w:rsidRPr="00123108">
        <w:rPr>
          <w:rFonts w:ascii="宋体" w:hAnsi="宋体" w:cs="宋体" w:hint="eastAsia"/>
          <w:sz w:val="28"/>
          <w:szCs w:val="28"/>
        </w:rPr>
        <w:t>根据《国家安全监管总局关于加强化工安全仪表系统管理的指导意见》安监总管三[2014]116号的要求：涉及“两重点一重大”在役生产装置或设施的化工企业和危险化学品储存单位，要在全面开展过程危险分析（如危险与可操作性分析）基础上，通过风险分析确定安全仪表功能及其风险降低要求，并尽快评估现有安全仪表功能是否满足风险降低要求。</w:t>
      </w:r>
    </w:p>
    <w:p w:rsidR="004F34D9" w:rsidRPr="00123108" w:rsidRDefault="004F34D9">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新桥化工于</w:t>
      </w:r>
      <w:r w:rsidR="00391F81" w:rsidRPr="00123108">
        <w:rPr>
          <w:rFonts w:ascii="宋体" w:hAnsi="宋体" w:cs="宋体" w:hint="eastAsia"/>
          <w:sz w:val="28"/>
          <w:szCs w:val="28"/>
        </w:rPr>
        <w:t>2024</w:t>
      </w:r>
      <w:r w:rsidRPr="00123108">
        <w:rPr>
          <w:rFonts w:ascii="宋体" w:hAnsi="宋体" w:cs="宋体" w:hint="eastAsia"/>
          <w:sz w:val="28"/>
          <w:szCs w:val="28"/>
        </w:rPr>
        <w:t>年</w:t>
      </w:r>
      <w:r w:rsidR="00391F81" w:rsidRPr="00123108">
        <w:rPr>
          <w:rFonts w:ascii="宋体" w:hAnsi="宋体" w:cs="宋体" w:hint="eastAsia"/>
          <w:sz w:val="28"/>
          <w:szCs w:val="28"/>
        </w:rPr>
        <w:t>1</w:t>
      </w:r>
      <w:r w:rsidR="0015563A" w:rsidRPr="00123108">
        <w:rPr>
          <w:rFonts w:ascii="宋体" w:hAnsi="宋体" w:cs="宋体" w:hint="eastAsia"/>
          <w:sz w:val="28"/>
          <w:szCs w:val="28"/>
        </w:rPr>
        <w:t>月</w:t>
      </w:r>
      <w:r w:rsidRPr="00123108">
        <w:rPr>
          <w:rFonts w:ascii="宋体" w:hAnsi="宋体" w:cs="宋体" w:hint="eastAsia"/>
          <w:sz w:val="28"/>
          <w:szCs w:val="28"/>
        </w:rPr>
        <w:t>委托北京安优华维技术咨询有限公司完成《宁波新桥化工有限公司年产12万吨可发性聚苯乙烯项目安全仪表系统</w:t>
      </w:r>
      <w:r w:rsidRPr="00123108">
        <w:rPr>
          <w:rFonts w:ascii="宋体" w:hAnsi="宋体" w:cs="宋体"/>
          <w:sz w:val="28"/>
          <w:szCs w:val="28"/>
          <w:lang w:val="zh-CN"/>
        </w:rPr>
        <w:t>SIL定级（LOPA）分析报告</w:t>
      </w:r>
      <w:r w:rsidRPr="00123108">
        <w:rPr>
          <w:rFonts w:ascii="宋体" w:hAnsi="宋体" w:cs="宋体" w:hint="eastAsia"/>
          <w:sz w:val="28"/>
          <w:szCs w:val="28"/>
        </w:rPr>
        <w:t>》。</w:t>
      </w:r>
    </w:p>
    <w:p w:rsidR="004F34D9" w:rsidRDefault="004F34D9">
      <w:pPr>
        <w:adjustRightInd w:val="0"/>
        <w:snapToGrid w:val="0"/>
        <w:spacing w:line="360" w:lineRule="auto"/>
        <w:jc w:val="center"/>
        <w:rPr>
          <w:rFonts w:ascii="宋体" w:hAnsi="宋体" w:cs="宋体" w:hint="eastAsia"/>
          <w:b/>
          <w:sz w:val="28"/>
          <w:szCs w:val="28"/>
        </w:rPr>
      </w:pPr>
      <w:r w:rsidRPr="00123108">
        <w:rPr>
          <w:rFonts w:ascii="宋体" w:hAnsi="宋体" w:cs="宋体" w:hint="eastAsia"/>
          <w:b/>
          <w:sz w:val="28"/>
          <w:szCs w:val="28"/>
        </w:rPr>
        <w:t xml:space="preserve">表2.12-19 </w:t>
      </w:r>
      <w:r w:rsidRPr="00123108">
        <w:rPr>
          <w:rFonts w:ascii="宋体" w:hAnsi="宋体" w:cs="宋体"/>
          <w:b/>
          <w:sz w:val="28"/>
          <w:szCs w:val="28"/>
          <w:lang w:val="zh-CN"/>
        </w:rPr>
        <w:t>SIL定级</w:t>
      </w:r>
      <w:r w:rsidRPr="00123108">
        <w:rPr>
          <w:rFonts w:ascii="宋体" w:hAnsi="宋体" w:cs="宋体" w:hint="eastAsia"/>
          <w:b/>
          <w:sz w:val="28"/>
          <w:szCs w:val="28"/>
        </w:rPr>
        <w:t>一览表</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Pr="00123108" w:rsidRDefault="004F34D9" w:rsidP="00391F81">
      <w:pPr>
        <w:pStyle w:val="3"/>
        <w:spacing w:line="500" w:lineRule="exact"/>
        <w:rPr>
          <w:rFonts w:ascii="宋体" w:eastAsia="宋体" w:hAnsi="宋体" w:cs="宋体" w:hint="eastAsia"/>
          <w:sz w:val="28"/>
          <w:szCs w:val="28"/>
        </w:rPr>
      </w:pPr>
      <w:bookmarkStart w:id="665" w:name="_Toc20909"/>
      <w:bookmarkStart w:id="666" w:name="_Toc5779"/>
      <w:bookmarkStart w:id="667" w:name="_Toc31426"/>
      <w:bookmarkStart w:id="668" w:name="_Toc23346"/>
      <w:bookmarkStart w:id="669" w:name="_Toc13866"/>
      <w:bookmarkStart w:id="670" w:name="_Toc25636"/>
      <w:bookmarkStart w:id="671" w:name="_Toc190935782"/>
      <w:r w:rsidRPr="00123108">
        <w:rPr>
          <w:rFonts w:ascii="宋体" w:eastAsia="宋体" w:hAnsi="宋体" w:cs="宋体" w:hint="eastAsia"/>
          <w:sz w:val="28"/>
          <w:szCs w:val="28"/>
        </w:rPr>
        <w:t>2.12.11 反应热风险评估情况</w:t>
      </w:r>
      <w:bookmarkEnd w:id="671"/>
    </w:p>
    <w:p w:rsidR="004F34D9" w:rsidRPr="00123108" w:rsidRDefault="004F34D9">
      <w:pPr>
        <w:spacing w:line="500" w:lineRule="exact"/>
        <w:ind w:firstLineChars="200" w:firstLine="560"/>
        <w:rPr>
          <w:rFonts w:ascii="宋体" w:hAnsi="宋体" w:cs="宋体" w:hint="eastAsia"/>
          <w:sz w:val="28"/>
        </w:rPr>
      </w:pPr>
      <w:r w:rsidRPr="00123108">
        <w:rPr>
          <w:rFonts w:ascii="宋体" w:hAnsi="宋体" w:cs="宋体" w:hint="eastAsia"/>
          <w:sz w:val="28"/>
          <w:lang w:val="zh-CN"/>
        </w:rPr>
        <w:t>根据《国家安全监管总局关于公布首批重点监管的危险化工工艺目录的通知》原安监总管三〔2009〕116号，</w:t>
      </w:r>
      <w:r w:rsidRPr="00123108">
        <w:rPr>
          <w:rFonts w:ascii="宋体" w:hAnsi="宋体" w:cs="宋体" w:hint="eastAsia"/>
          <w:sz w:val="28"/>
        </w:rPr>
        <w:t>本项</w:t>
      </w:r>
      <w:r w:rsidRPr="00123108">
        <w:rPr>
          <w:rFonts w:ascii="宋体" w:hAnsi="宋体" w:cs="宋体" w:hint="eastAsia"/>
          <w:sz w:val="28"/>
          <w:szCs w:val="28"/>
        </w:rPr>
        <w:t>目</w:t>
      </w:r>
      <w:r w:rsidRPr="00123108">
        <w:rPr>
          <w:rFonts w:ascii="宋体" w:hAnsi="宋体" w:cs="宋体" w:hint="eastAsia"/>
          <w:sz w:val="28"/>
          <w:szCs w:val="28"/>
          <w:lang w:val="en-US" w:eastAsia="zh-CN"/>
        </w:rPr>
        <w:t>聚合反应工艺为重点监管的危险化工工艺</w:t>
      </w:r>
      <w:r w:rsidRPr="00123108">
        <w:rPr>
          <w:rFonts w:ascii="宋体" w:hAnsi="宋体" w:cs="宋体" w:hint="eastAsia"/>
          <w:sz w:val="28"/>
          <w:szCs w:val="28"/>
        </w:rPr>
        <w:t>，</w:t>
      </w:r>
      <w:r w:rsidRPr="00123108">
        <w:rPr>
          <w:rFonts w:ascii="宋体" w:hAnsi="宋体" w:hint="eastAsia"/>
          <w:sz w:val="28"/>
          <w:szCs w:val="28"/>
        </w:rPr>
        <w:t>聚合工艺</w:t>
      </w:r>
      <w:r w:rsidRPr="00123108">
        <w:rPr>
          <w:rFonts w:ascii="宋体" w:hAnsi="宋体" w:cs="宋体" w:hint="eastAsia"/>
          <w:sz w:val="28"/>
          <w:szCs w:val="28"/>
        </w:rPr>
        <w:t>属于间歇反应。</w:t>
      </w:r>
    </w:p>
    <w:p w:rsidR="004F34D9" w:rsidRPr="00123108" w:rsidRDefault="004F34D9">
      <w:pPr>
        <w:pStyle w:val="af2"/>
        <w:spacing w:line="500" w:lineRule="exact"/>
        <w:ind w:firstLineChars="200" w:firstLine="560"/>
        <w:jc w:val="both"/>
        <w:rPr>
          <w:rFonts w:ascii="宋体" w:hAnsi="宋体" w:cs="宋体" w:hint="eastAsia"/>
          <w:sz w:val="28"/>
        </w:rPr>
      </w:pPr>
      <w:r w:rsidRPr="00123108">
        <w:rPr>
          <w:rFonts w:ascii="宋体" w:hAnsi="宋体" w:cs="宋体" w:hint="eastAsia"/>
          <w:sz w:val="28"/>
        </w:rPr>
        <w:t>依据《国家安全监管总局关于加强精细化工反应安全风险评估工作的指导意见》原安监总管三〔2017〕1号，本项目聚合反应需进行反应安全风险评估。新桥化工已于2020年12月委托浙江焓泰检测技术有限公司进行化学反应安全风险评估并出具“化学反应热检测与风险评估报告”。</w:t>
      </w:r>
    </w:p>
    <w:p w:rsidR="004F34D9" w:rsidRPr="00123108" w:rsidRDefault="004F34D9">
      <w:pPr>
        <w:pStyle w:val="af2"/>
        <w:spacing w:line="500" w:lineRule="exact"/>
        <w:ind w:firstLineChars="200" w:firstLine="560"/>
        <w:jc w:val="both"/>
        <w:rPr>
          <w:rFonts w:ascii="宋体" w:hAnsi="宋体" w:cs="宋体" w:hint="eastAsia"/>
          <w:sz w:val="28"/>
          <w:lang w:eastAsia="zh-CN"/>
        </w:rPr>
      </w:pPr>
      <w:r w:rsidRPr="00123108">
        <w:rPr>
          <w:rFonts w:ascii="宋体" w:hAnsi="宋体" w:cs="宋体" w:hint="eastAsia"/>
          <w:sz w:val="28"/>
        </w:rPr>
        <w:t>反应评估结论</w:t>
      </w:r>
      <w:r w:rsidR="00D74BFF" w:rsidRPr="00123108">
        <w:rPr>
          <w:rFonts w:ascii="宋体" w:hAnsi="宋体" w:cs="宋体" w:hint="eastAsia"/>
          <w:sz w:val="28"/>
          <w:lang w:eastAsia="zh-CN"/>
        </w:rPr>
        <w:t>见表2.12-20</w:t>
      </w:r>
    </w:p>
    <w:p w:rsidR="004F34D9" w:rsidRDefault="004F34D9">
      <w:pPr>
        <w:pStyle w:val="af2"/>
        <w:spacing w:line="500" w:lineRule="exact"/>
        <w:rPr>
          <w:rFonts w:ascii="黑体" w:eastAsia="黑体" w:hAnsi="黑体" w:cs="宋体" w:hint="eastAsia"/>
          <w:b/>
          <w:bCs/>
          <w:sz w:val="28"/>
          <w:lang w:eastAsia="zh-CN"/>
        </w:rPr>
      </w:pPr>
      <w:r w:rsidRPr="00123108">
        <w:rPr>
          <w:rFonts w:ascii="黑体" w:eastAsia="黑体" w:hAnsi="黑体" w:cs="宋体" w:hint="eastAsia"/>
          <w:b/>
          <w:sz w:val="28"/>
        </w:rPr>
        <w:t>表2.12-</w:t>
      </w:r>
      <w:r w:rsidR="00D74BFF" w:rsidRPr="00123108">
        <w:rPr>
          <w:rFonts w:ascii="黑体" w:eastAsia="黑体" w:hAnsi="黑体" w:cs="宋体" w:hint="eastAsia"/>
          <w:b/>
          <w:sz w:val="28"/>
          <w:lang w:eastAsia="zh-CN"/>
        </w:rPr>
        <w:t>20</w:t>
      </w:r>
      <w:r w:rsidRPr="00123108">
        <w:rPr>
          <w:rFonts w:ascii="黑体" w:eastAsia="黑体" w:hAnsi="黑体" w:cs="宋体" w:hint="eastAsia"/>
          <w:b/>
          <w:sz w:val="28"/>
        </w:rPr>
        <w:t xml:space="preserve">  聚合反应</w:t>
      </w:r>
      <w:r w:rsidRPr="00123108">
        <w:rPr>
          <w:rFonts w:ascii="黑体" w:eastAsia="黑体" w:hAnsi="黑体" w:cs="宋体" w:hint="eastAsia"/>
          <w:b/>
          <w:bCs/>
          <w:sz w:val="28"/>
        </w:rPr>
        <w:t>安全风险评估结论表</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C686A" w:rsidRDefault="004C686A">
      <w:pPr>
        <w:pStyle w:val="af2"/>
        <w:spacing w:line="500" w:lineRule="exact"/>
        <w:rPr>
          <w:rFonts w:ascii="黑体" w:eastAsia="黑体" w:hAnsi="黑体" w:cs="宋体" w:hint="eastAsia"/>
          <w:b/>
          <w:bCs/>
          <w:sz w:val="28"/>
          <w:lang w:eastAsia="zh-CN"/>
        </w:rPr>
      </w:pPr>
    </w:p>
    <w:p w:rsidR="004F34D9" w:rsidRPr="00123108" w:rsidRDefault="004F34D9" w:rsidP="00E36E64">
      <w:pPr>
        <w:pStyle w:val="2"/>
        <w:spacing w:line="500" w:lineRule="exact"/>
        <w:jc w:val="both"/>
        <w:rPr>
          <w:rFonts w:ascii="宋体" w:eastAsia="宋体" w:cs="宋体" w:hint="eastAsia"/>
          <w:sz w:val="28"/>
          <w:szCs w:val="28"/>
        </w:rPr>
      </w:pPr>
      <w:bookmarkStart w:id="672" w:name="_Toc190935783"/>
      <w:r w:rsidRPr="00123108">
        <w:rPr>
          <w:rFonts w:ascii="宋体" w:eastAsia="宋体" w:cs="宋体" w:hint="eastAsia"/>
          <w:sz w:val="28"/>
          <w:szCs w:val="28"/>
        </w:rPr>
        <w:t xml:space="preserve">2.13  </w:t>
      </w:r>
      <w:bookmarkStart w:id="673" w:name="_Toc238867500"/>
      <w:bookmarkStart w:id="674" w:name="_Toc236122629"/>
      <w:bookmarkEnd w:id="663"/>
      <w:bookmarkEnd w:id="664"/>
      <w:bookmarkEnd w:id="665"/>
      <w:bookmarkEnd w:id="666"/>
      <w:bookmarkEnd w:id="667"/>
      <w:bookmarkEnd w:id="668"/>
      <w:bookmarkEnd w:id="669"/>
      <w:bookmarkEnd w:id="670"/>
      <w:r w:rsidRPr="00123108">
        <w:rPr>
          <w:rFonts w:ascii="宋体" w:eastAsia="宋体" w:cs="宋体" w:hint="eastAsia"/>
          <w:sz w:val="28"/>
          <w:szCs w:val="28"/>
        </w:rPr>
        <w:t>上次评价到本次评价之间主要生产现状变化情况</w:t>
      </w:r>
      <w:bookmarkEnd w:id="672"/>
      <w:bookmarkEnd w:id="673"/>
      <w:bookmarkEnd w:id="674"/>
    </w:p>
    <w:p w:rsidR="004F34D9" w:rsidRPr="00123108" w:rsidRDefault="004F34D9">
      <w:pPr>
        <w:spacing w:line="360" w:lineRule="auto"/>
        <w:ind w:firstLineChars="200" w:firstLine="560"/>
        <w:rPr>
          <w:rFonts w:ascii="宋体" w:hAnsi="宋体" w:hint="eastAsia"/>
          <w:sz w:val="28"/>
          <w:szCs w:val="28"/>
        </w:rPr>
      </w:pPr>
      <w:r w:rsidRPr="00123108">
        <w:rPr>
          <w:rFonts w:ascii="宋体" w:hAnsi="宋体" w:hint="eastAsia"/>
          <w:sz w:val="28"/>
          <w:szCs w:val="28"/>
        </w:rPr>
        <w:t>本次安全评价与上次安全评价之间无新改扩建项目。</w:t>
      </w:r>
      <w:r w:rsidRPr="00123108">
        <w:rPr>
          <w:rFonts w:ascii="宋体" w:hAnsi="宋体" w:hint="eastAsia"/>
          <w:sz w:val="28"/>
          <w:szCs w:val="28"/>
          <w:lang w:val="zh-CN"/>
        </w:rPr>
        <w:t>主要生产现状变化情况</w:t>
      </w:r>
      <w:r w:rsidRPr="00123108">
        <w:rPr>
          <w:rFonts w:ascii="宋体" w:hAnsi="宋体" w:hint="eastAsia"/>
          <w:sz w:val="28"/>
          <w:szCs w:val="28"/>
        </w:rPr>
        <w:t>具体见表2.13-1。</w:t>
      </w:r>
    </w:p>
    <w:p w:rsidR="004F34D9" w:rsidRDefault="004F34D9">
      <w:pPr>
        <w:spacing w:line="360" w:lineRule="auto"/>
        <w:jc w:val="center"/>
        <w:rPr>
          <w:rFonts w:ascii="宋体" w:hAnsi="宋体" w:cs="宋体" w:hint="eastAsia"/>
          <w:b/>
          <w:bCs/>
          <w:sz w:val="28"/>
        </w:rPr>
      </w:pPr>
      <w:r w:rsidRPr="00123108">
        <w:rPr>
          <w:rFonts w:ascii="宋体" w:hAnsi="宋体" w:cs="宋体" w:hint="eastAsia"/>
          <w:b/>
          <w:bCs/>
          <w:sz w:val="28"/>
        </w:rPr>
        <w:t xml:space="preserve">表2.13-1  </w:t>
      </w:r>
      <w:r w:rsidRPr="00123108">
        <w:rPr>
          <w:rFonts w:ascii="宋体" w:hAnsi="宋体" w:cs="宋体" w:hint="eastAsia"/>
          <w:b/>
          <w:bCs/>
          <w:sz w:val="28"/>
          <w:lang w:val="zh-CN"/>
        </w:rPr>
        <w:t>主要生产现状变化情况</w:t>
      </w:r>
      <w:r w:rsidRPr="00123108">
        <w:rPr>
          <w:rFonts w:ascii="宋体" w:hAnsi="宋体" w:cs="宋体" w:hint="eastAsia"/>
          <w:b/>
          <w:bCs/>
          <w:sz w:val="28"/>
        </w:rPr>
        <w:t>表</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Pr="00123108" w:rsidRDefault="004F34D9" w:rsidP="00A23D55">
      <w:pPr>
        <w:pStyle w:val="1"/>
        <w:spacing w:beforeLines="0" w:before="0" w:afterLines="0" w:after="0" w:line="500" w:lineRule="exact"/>
        <w:rPr>
          <w:rFonts w:ascii="宋体" w:eastAsia="宋体" w:cs="宋体" w:hint="eastAsia"/>
          <w:spacing w:val="-4"/>
        </w:rPr>
      </w:pPr>
      <w:bookmarkStart w:id="675" w:name="_Toc241310906"/>
      <w:bookmarkStart w:id="676" w:name="_Toc224442391"/>
      <w:bookmarkStart w:id="677" w:name="_Toc218914650"/>
      <w:bookmarkStart w:id="678" w:name="_Toc245793482"/>
      <w:bookmarkStart w:id="679" w:name="_Toc25319"/>
      <w:bookmarkStart w:id="680" w:name="_Toc225056881"/>
      <w:bookmarkStart w:id="681" w:name="_Toc15372"/>
      <w:bookmarkStart w:id="682" w:name="_Toc3417"/>
      <w:bookmarkStart w:id="683" w:name="_Toc20075"/>
      <w:bookmarkStart w:id="684" w:name="_Toc252533242"/>
      <w:bookmarkStart w:id="685" w:name="_Toc3809039"/>
      <w:bookmarkStart w:id="686" w:name="_Toc13607"/>
      <w:bookmarkStart w:id="687" w:name="_Toc32511"/>
      <w:bookmarkStart w:id="688" w:name="_Toc219518722"/>
      <w:bookmarkStart w:id="689" w:name="_Toc190935784"/>
      <w:r w:rsidRPr="00123108">
        <w:rPr>
          <w:rFonts w:ascii="宋体" w:eastAsia="宋体" w:cs="宋体" w:hint="eastAsia"/>
          <w:spacing w:val="-4"/>
        </w:rPr>
        <w:t>3  安全现状评价范围</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9"/>
    </w:p>
    <w:p w:rsidR="004F34D9" w:rsidRPr="00123108" w:rsidRDefault="004F34D9">
      <w:pPr>
        <w:spacing w:line="500" w:lineRule="exact"/>
        <w:ind w:firstLineChars="200" w:firstLine="560"/>
        <w:rPr>
          <w:rFonts w:ascii="宋体" w:hAnsi="宋体" w:cs="宋体" w:hint="eastAsia"/>
          <w:sz w:val="28"/>
        </w:rPr>
      </w:pPr>
      <w:r w:rsidRPr="00123108">
        <w:rPr>
          <w:rFonts w:ascii="宋体" w:hAnsi="宋体" w:cs="宋体" w:hint="eastAsia"/>
          <w:sz w:val="28"/>
          <w:szCs w:val="28"/>
        </w:rPr>
        <w:t>本次安全现状评价范围为新桥化工生产厂区</w:t>
      </w:r>
      <w:r w:rsidRPr="00123108">
        <w:rPr>
          <w:rFonts w:ascii="宋体" w:hAnsi="宋体" w:cs="宋体" w:hint="eastAsia"/>
          <w:sz w:val="28"/>
        </w:rPr>
        <w:t>，包括生产工艺、设备设施、储存设施</w:t>
      </w:r>
      <w:r w:rsidRPr="00123108">
        <w:rPr>
          <w:rFonts w:ascii="宋体" w:hAnsi="宋体" w:hint="eastAsia"/>
          <w:sz w:val="28"/>
        </w:rPr>
        <w:t>（包括仓库、储罐区和冷藏库）</w:t>
      </w:r>
      <w:r w:rsidRPr="00123108">
        <w:rPr>
          <w:rFonts w:ascii="宋体" w:hAnsi="宋体" w:cs="宋体" w:hint="eastAsia"/>
          <w:sz w:val="28"/>
        </w:rPr>
        <w:t>及装卸设施、产品、副产品、</w:t>
      </w:r>
      <w:r w:rsidRPr="00123108">
        <w:rPr>
          <w:rFonts w:ascii="宋体" w:hAnsi="宋体" w:cs="宋体" w:hint="eastAsia"/>
          <w:sz w:val="28"/>
          <w:szCs w:val="28"/>
        </w:rPr>
        <w:t>原辅材料、</w:t>
      </w:r>
      <w:r w:rsidRPr="00123108">
        <w:rPr>
          <w:rFonts w:ascii="宋体" w:hAnsi="宋体" w:cs="宋体" w:hint="eastAsia"/>
          <w:sz w:val="28"/>
        </w:rPr>
        <w:t>建构筑物、公用工程、安全管理等方面，具体的评价范围如下。</w:t>
      </w:r>
    </w:p>
    <w:p w:rsidR="004F34D9" w:rsidRPr="00123108" w:rsidRDefault="004F34D9">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（1）原辅料及产品</w:t>
      </w:r>
    </w:p>
    <w:p w:rsidR="004C686A" w:rsidRDefault="004F34D9" w:rsidP="004C686A">
      <w:pPr>
        <w:spacing w:line="500" w:lineRule="exact"/>
        <w:jc w:val="center"/>
        <w:rPr>
          <w:rFonts w:ascii="宋体" w:hAnsi="宋体"/>
          <w:b/>
          <w:bCs/>
          <w:sz w:val="28"/>
          <w:szCs w:val="28"/>
        </w:rPr>
      </w:pPr>
      <w:r w:rsidRPr="00123108">
        <w:rPr>
          <w:rFonts w:ascii="宋体" w:hAnsi="宋体" w:cs="宋体" w:hint="eastAsia"/>
          <w:sz w:val="28"/>
          <w:szCs w:val="28"/>
        </w:rPr>
        <w:t>生产过程中涉及的主要原料有：</w:t>
      </w:r>
      <w:r w:rsidR="004C686A">
        <w:rPr>
          <w:rFonts w:ascii="宋体" w:hAnsi="宋体" w:hint="eastAsia"/>
          <w:b/>
          <w:sz w:val="28"/>
          <w:szCs w:val="28"/>
        </w:rPr>
        <w:t>涉及企业机密，不予公开。</w:t>
      </w:r>
    </w:p>
    <w:p w:rsidR="004F34D9" w:rsidRPr="00123108" w:rsidRDefault="004F34D9">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其他还包括RTO及厂内机动车辆使用的燃料柴油、氮封及吹扫用的氮气、</w:t>
      </w:r>
    </w:p>
    <w:p w:rsidR="004F34D9" w:rsidRPr="00123108" w:rsidRDefault="004F34D9">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（2）设备设施</w:t>
      </w:r>
    </w:p>
    <w:p w:rsidR="004F34D9" w:rsidRPr="00123108" w:rsidRDefault="004F34D9">
      <w:pPr>
        <w:spacing w:line="500" w:lineRule="exact"/>
        <w:ind w:firstLineChars="200" w:firstLine="576"/>
        <w:rPr>
          <w:rFonts w:ascii="宋体" w:hAnsi="宋体" w:cs="宋体" w:hint="eastAsia"/>
          <w:spacing w:val="4"/>
          <w:sz w:val="28"/>
          <w:szCs w:val="28"/>
        </w:rPr>
      </w:pPr>
      <w:r w:rsidRPr="00123108">
        <w:rPr>
          <w:rFonts w:ascii="宋体" w:hAnsi="宋体" w:cs="宋体" w:hint="eastAsia"/>
          <w:spacing w:val="4"/>
          <w:sz w:val="28"/>
          <w:szCs w:val="28"/>
        </w:rPr>
        <w:t>A、B</w:t>
      </w:r>
      <w:r w:rsidRPr="00123108">
        <w:rPr>
          <w:rFonts w:ascii="宋体" w:hAnsi="宋体" w:hint="eastAsia"/>
          <w:sz w:val="28"/>
        </w:rPr>
        <w:t>反应部及筛析部</w:t>
      </w:r>
      <w:r w:rsidRPr="00123108">
        <w:rPr>
          <w:rFonts w:ascii="宋体" w:hAnsi="宋体" w:cs="宋体" w:hint="eastAsia"/>
          <w:spacing w:val="4"/>
          <w:sz w:val="28"/>
          <w:szCs w:val="28"/>
        </w:rPr>
        <w:t>、罐区、循环水场、污水处理、尾气处理设施及配套公用工程等辅助设施。</w:t>
      </w:r>
    </w:p>
    <w:p w:rsidR="004F34D9" w:rsidRPr="00123108" w:rsidRDefault="004F34D9">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（3）</w:t>
      </w:r>
      <w:r w:rsidRPr="00123108">
        <w:rPr>
          <w:rFonts w:ascii="宋体" w:hAnsi="宋体" w:hint="eastAsia"/>
          <w:kern w:val="0"/>
          <w:sz w:val="28"/>
          <w:szCs w:val="28"/>
        </w:rPr>
        <w:t>本项目所涉及到的建构筑物，包括：生产厂房、冷库、仓库、办公大楼、配电间、公用工程房、污水处理厂等。</w:t>
      </w:r>
    </w:p>
    <w:p w:rsidR="004F34D9" w:rsidRPr="00123108" w:rsidRDefault="004F34D9">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（4）安全生产管理：包括涉及的安全生产管理制度、人员培训、设备设施管理、应急救援等。</w:t>
      </w:r>
    </w:p>
    <w:p w:rsidR="004F34D9" w:rsidRPr="00123108" w:rsidRDefault="004F34D9">
      <w:pPr>
        <w:spacing w:line="500" w:lineRule="exact"/>
        <w:ind w:firstLine="560"/>
        <w:rPr>
          <w:rFonts w:ascii="宋体" w:hAnsi="宋体" w:cs="宋体" w:hint="eastAsia"/>
          <w:sz w:val="28"/>
        </w:rPr>
      </w:pPr>
      <w:r w:rsidRPr="00123108">
        <w:rPr>
          <w:rFonts w:ascii="宋体" w:hAnsi="宋体" w:cs="宋体" w:hint="eastAsia"/>
          <w:sz w:val="28"/>
        </w:rPr>
        <w:t>评价所需资料涉及企业部分均由企业提供。其中部分物料因企业保密需要，</w:t>
      </w:r>
      <w:r w:rsidR="0026546B" w:rsidRPr="00123108">
        <w:rPr>
          <w:rFonts w:ascii="宋体" w:hAnsi="宋体" w:cs="宋体" w:hint="eastAsia"/>
          <w:sz w:val="28"/>
        </w:rPr>
        <w:t>未</w:t>
      </w:r>
      <w:r w:rsidRPr="00123108">
        <w:rPr>
          <w:rFonts w:ascii="宋体" w:hAnsi="宋体" w:cs="宋体" w:hint="eastAsia"/>
          <w:sz w:val="28"/>
        </w:rPr>
        <w:t>提供的代码及物料特性；此外工艺、设备、人员资质及各类检测报告等内容，其真实性由企业负责，评价组依据上述资料对项目作出评价。</w:t>
      </w:r>
    </w:p>
    <w:p w:rsidR="004F34D9" w:rsidRPr="00123108" w:rsidRDefault="004F34D9">
      <w:pPr>
        <w:spacing w:line="500" w:lineRule="exact"/>
        <w:ind w:firstLine="560"/>
        <w:rPr>
          <w:rFonts w:ascii="宋体" w:hAnsi="宋体" w:cs="宋体" w:hint="eastAsia"/>
          <w:sz w:val="28"/>
        </w:rPr>
      </w:pPr>
      <w:r w:rsidRPr="00123108">
        <w:rPr>
          <w:rFonts w:ascii="宋体" w:hAnsi="宋体" w:cs="宋体" w:hint="eastAsia"/>
          <w:sz w:val="28"/>
        </w:rPr>
        <w:t>以下内容不在</w:t>
      </w:r>
      <w:r w:rsidRPr="00123108">
        <w:rPr>
          <w:rFonts w:ascii="宋体" w:hAnsi="宋体" w:hint="eastAsia"/>
          <w:sz w:val="28"/>
          <w:szCs w:val="28"/>
        </w:rPr>
        <w:t>本次安全现状评价</w:t>
      </w:r>
      <w:r w:rsidRPr="00123108">
        <w:rPr>
          <w:rFonts w:ascii="宋体" w:hAnsi="宋体" w:cs="宋体" w:hint="eastAsia"/>
          <w:sz w:val="28"/>
        </w:rPr>
        <w:t>范围之内：</w:t>
      </w:r>
    </w:p>
    <w:p w:rsidR="004F34D9" w:rsidRPr="00123108" w:rsidRDefault="004F34D9">
      <w:pPr>
        <w:numPr>
          <w:ilvl w:val="0"/>
          <w:numId w:val="50"/>
        </w:numPr>
        <w:tabs>
          <w:tab w:val="left" w:pos="1365"/>
        </w:tabs>
        <w:spacing w:line="500" w:lineRule="exact"/>
        <w:ind w:left="0" w:firstLineChars="200" w:firstLine="560"/>
        <w:rPr>
          <w:rFonts w:hint="eastAsia"/>
          <w:sz w:val="28"/>
          <w:szCs w:val="28"/>
        </w:rPr>
      </w:pPr>
      <w:r w:rsidRPr="00123108">
        <w:rPr>
          <w:rFonts w:hint="eastAsia"/>
          <w:sz w:val="28"/>
          <w:szCs w:val="28"/>
        </w:rPr>
        <w:t>委托方不能提供准确的资料、信息而可能造成的危险危害。</w:t>
      </w:r>
    </w:p>
    <w:p w:rsidR="004F34D9" w:rsidRPr="00123108" w:rsidRDefault="004F34D9">
      <w:pPr>
        <w:numPr>
          <w:ilvl w:val="0"/>
          <w:numId w:val="50"/>
        </w:numPr>
        <w:tabs>
          <w:tab w:val="left" w:pos="1365"/>
        </w:tabs>
        <w:spacing w:line="500" w:lineRule="exact"/>
        <w:ind w:left="0" w:firstLineChars="200" w:firstLine="560"/>
        <w:rPr>
          <w:rFonts w:hint="eastAsia"/>
          <w:sz w:val="28"/>
          <w:szCs w:val="28"/>
        </w:rPr>
      </w:pPr>
      <w:r w:rsidRPr="00123108">
        <w:rPr>
          <w:rFonts w:hint="eastAsia"/>
          <w:sz w:val="28"/>
          <w:szCs w:val="28"/>
        </w:rPr>
        <w:t>凡涉及本项目的环保、厂外运输等方面的内容，应按照国家有关标准和规定执行，本评价引用到的环保标准和相关法规与安全评价有一定的</w:t>
      </w:r>
      <w:r w:rsidRPr="00123108">
        <w:rPr>
          <w:rFonts w:hint="eastAsia"/>
          <w:sz w:val="28"/>
          <w:szCs w:val="28"/>
        </w:rPr>
        <w:lastRenderedPageBreak/>
        <w:t>关联，环保应符合国家相关法律、法规的规定，本项目只进行一般性检查、评价，环境保护的验收以其主管部门的意见为准。</w:t>
      </w:r>
    </w:p>
    <w:p w:rsidR="004F34D9" w:rsidRPr="00123108" w:rsidRDefault="004F34D9">
      <w:pPr>
        <w:numPr>
          <w:ilvl w:val="0"/>
          <w:numId w:val="50"/>
        </w:numPr>
        <w:tabs>
          <w:tab w:val="left" w:pos="1365"/>
        </w:tabs>
        <w:spacing w:line="500" w:lineRule="exact"/>
        <w:ind w:left="0" w:firstLineChars="200" w:firstLine="560"/>
        <w:rPr>
          <w:rFonts w:hint="eastAsia"/>
          <w:sz w:val="28"/>
          <w:szCs w:val="28"/>
        </w:rPr>
      </w:pPr>
      <w:r w:rsidRPr="00123108">
        <w:rPr>
          <w:rFonts w:hint="eastAsia"/>
          <w:sz w:val="28"/>
          <w:szCs w:val="28"/>
        </w:rPr>
        <w:t>新桥化工分析所用危险化学品不在本项目评价范围内。</w:t>
      </w:r>
    </w:p>
    <w:p w:rsidR="004F34D9" w:rsidRPr="00123108" w:rsidRDefault="004F34D9">
      <w:pPr>
        <w:numPr>
          <w:ilvl w:val="0"/>
          <w:numId w:val="50"/>
        </w:numPr>
        <w:tabs>
          <w:tab w:val="left" w:pos="1365"/>
        </w:tabs>
        <w:spacing w:line="500" w:lineRule="exact"/>
        <w:ind w:left="0" w:firstLineChars="200" w:firstLine="560"/>
        <w:rPr>
          <w:rFonts w:hint="eastAsia"/>
          <w:sz w:val="28"/>
          <w:szCs w:val="28"/>
        </w:rPr>
      </w:pPr>
      <w:r w:rsidRPr="00123108">
        <w:rPr>
          <w:rFonts w:hint="eastAsia"/>
          <w:sz w:val="28"/>
          <w:szCs w:val="28"/>
        </w:rPr>
        <w:t>地震、台风、海啸、洪水等不可抗拒的自然灾害和人为破坏造成的危险危害。</w:t>
      </w:r>
    </w:p>
    <w:p w:rsidR="004F34D9" w:rsidRPr="00123108" w:rsidRDefault="004F34D9">
      <w:pPr>
        <w:spacing w:line="500" w:lineRule="exact"/>
        <w:ind w:firstLineChars="200" w:firstLine="560"/>
        <w:rPr>
          <w:rFonts w:ascii="宋体" w:hAnsi="宋体" w:cs="宋体" w:hint="eastAsia"/>
          <w:b/>
          <w:bCs/>
          <w:sz w:val="28"/>
          <w:szCs w:val="20"/>
          <w:lang w:val="zh-CN"/>
        </w:rPr>
      </w:pPr>
      <w:r w:rsidRPr="00123108">
        <w:rPr>
          <w:rFonts w:ascii="宋体" w:hAnsi="宋体" w:hint="eastAsia"/>
          <w:sz w:val="28"/>
          <w:szCs w:val="28"/>
        </w:rPr>
        <w:t>安全现状评价</w:t>
      </w:r>
      <w:r w:rsidRPr="00123108">
        <w:rPr>
          <w:rFonts w:ascii="宋体" w:hAnsi="宋体" w:cs="宋体" w:hint="eastAsia"/>
          <w:spacing w:val="-4"/>
          <w:sz w:val="28"/>
          <w:szCs w:val="28"/>
        </w:rPr>
        <w:t>是针对企业目前的现状，一旦企业现状发生变化（如厂址变更、工艺、设备设施和总平面布置发生变化等），应重新进行安全评价，以确保安全生产。人为破坏造成的危害等问题，</w:t>
      </w:r>
      <w:r w:rsidRPr="00123108">
        <w:rPr>
          <w:rFonts w:ascii="宋体" w:hAnsi="宋体" w:cs="宋体" w:hint="eastAsia"/>
          <w:sz w:val="28"/>
          <w:szCs w:val="28"/>
        </w:rPr>
        <w:t>也</w:t>
      </w:r>
      <w:r w:rsidRPr="00123108">
        <w:rPr>
          <w:rFonts w:ascii="宋体" w:hAnsi="宋体" w:cs="宋体" w:hint="eastAsia"/>
          <w:spacing w:val="-4"/>
          <w:sz w:val="28"/>
          <w:szCs w:val="28"/>
        </w:rPr>
        <w:t>不在本次</w:t>
      </w:r>
      <w:r w:rsidRPr="00123108">
        <w:rPr>
          <w:rFonts w:ascii="宋体" w:hAnsi="宋体" w:hint="eastAsia"/>
          <w:sz w:val="28"/>
          <w:szCs w:val="28"/>
        </w:rPr>
        <w:t>安全现状评价</w:t>
      </w:r>
      <w:r w:rsidRPr="00123108">
        <w:rPr>
          <w:rFonts w:ascii="宋体" w:hAnsi="宋体" w:cs="宋体" w:hint="eastAsia"/>
          <w:spacing w:val="-4"/>
          <w:sz w:val="28"/>
          <w:szCs w:val="28"/>
        </w:rPr>
        <w:t>范围之内</w:t>
      </w:r>
      <w:r w:rsidRPr="00123108">
        <w:rPr>
          <w:rFonts w:ascii="宋体" w:hAnsi="宋体" w:cs="宋体" w:hint="eastAsia"/>
          <w:sz w:val="28"/>
        </w:rPr>
        <w:t>。</w:t>
      </w:r>
    </w:p>
    <w:p w:rsidR="004F34D9" w:rsidRPr="00123108" w:rsidRDefault="004F34D9">
      <w:pPr>
        <w:spacing w:line="360" w:lineRule="auto"/>
        <w:rPr>
          <w:rFonts w:ascii="宋体" w:hAnsi="宋体" w:cs="宋体" w:hint="eastAsia"/>
          <w:b/>
          <w:bCs/>
          <w:sz w:val="28"/>
          <w:szCs w:val="20"/>
          <w:lang w:val="zh-CN"/>
        </w:rPr>
        <w:sectPr w:rsidR="004F34D9" w:rsidRPr="00123108">
          <w:type w:val="nextColumn"/>
          <w:pgSz w:w="11907" w:h="16840"/>
          <w:pgMar w:top="1418" w:right="1134" w:bottom="1134" w:left="1588" w:header="851" w:footer="992" w:gutter="0"/>
          <w:paperSrc w:first="7" w:other="7"/>
          <w:cols w:space="720"/>
        </w:sectPr>
      </w:pPr>
    </w:p>
    <w:p w:rsidR="004F34D9" w:rsidRPr="00123108" w:rsidRDefault="004F34D9" w:rsidP="00D06780">
      <w:pPr>
        <w:pStyle w:val="1"/>
        <w:spacing w:beforeLines="0" w:before="0" w:afterLines="0" w:after="0" w:line="500" w:lineRule="exact"/>
        <w:rPr>
          <w:rFonts w:ascii="宋体" w:eastAsia="宋体" w:cs="宋体" w:hint="eastAsia"/>
          <w:spacing w:val="-4"/>
        </w:rPr>
      </w:pPr>
      <w:bookmarkStart w:id="690" w:name="_Toc155236206"/>
      <w:bookmarkStart w:id="691" w:name="_Toc225056882"/>
      <w:bookmarkStart w:id="692" w:name="_Toc245793483"/>
      <w:bookmarkStart w:id="693" w:name="_Toc3809040"/>
      <w:bookmarkStart w:id="694" w:name="_Toc252533243"/>
      <w:bookmarkStart w:id="695" w:name="_Toc156189521"/>
      <w:bookmarkStart w:id="696" w:name="_Toc156189096"/>
      <w:bookmarkStart w:id="697" w:name="_Toc154996409"/>
      <w:bookmarkStart w:id="698" w:name="_Toc156189757"/>
      <w:bookmarkStart w:id="699" w:name="_Toc156189946"/>
      <w:bookmarkStart w:id="700" w:name="_Toc14288"/>
      <w:bookmarkStart w:id="701" w:name="_Toc238867502"/>
      <w:bookmarkStart w:id="702" w:name="_Toc156199720"/>
      <w:bookmarkStart w:id="703" w:name="_Toc218914651"/>
      <w:bookmarkStart w:id="704" w:name="_Toc2681"/>
      <w:bookmarkStart w:id="705" w:name="_Toc156200297"/>
      <w:bookmarkStart w:id="706" w:name="_Toc9410"/>
      <w:bookmarkStart w:id="707" w:name="_Toc236122631"/>
      <w:bookmarkStart w:id="708" w:name="_Toc21673"/>
      <w:bookmarkStart w:id="709" w:name="_Toc224442392"/>
      <w:bookmarkStart w:id="710" w:name="_Toc10872"/>
      <w:bookmarkStart w:id="711" w:name="_Toc156189259"/>
      <w:bookmarkStart w:id="712" w:name="_Toc25281"/>
      <w:bookmarkStart w:id="713" w:name="_Toc190935785"/>
      <w:r w:rsidRPr="00123108">
        <w:rPr>
          <w:rFonts w:ascii="宋体" w:eastAsia="宋体" w:cs="宋体" w:hint="eastAsia"/>
          <w:spacing w:val="-4"/>
        </w:rPr>
        <w:lastRenderedPageBreak/>
        <w:t>4  安全现状评价原则、内容和程序</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4F34D9" w:rsidRPr="00123108" w:rsidRDefault="004F34D9" w:rsidP="00D06780">
      <w:pPr>
        <w:pStyle w:val="2"/>
        <w:spacing w:line="500" w:lineRule="exact"/>
        <w:jc w:val="both"/>
        <w:rPr>
          <w:rFonts w:ascii="宋体" w:eastAsia="宋体" w:cs="宋体" w:hint="eastAsia"/>
          <w:sz w:val="28"/>
          <w:szCs w:val="28"/>
        </w:rPr>
      </w:pPr>
      <w:bookmarkStart w:id="714" w:name="_Toc238867503"/>
      <w:bookmarkStart w:id="715" w:name="_Toc154996410"/>
      <w:bookmarkStart w:id="716" w:name="_Toc225056883"/>
      <w:bookmarkStart w:id="717" w:name="_Toc23971"/>
      <w:bookmarkStart w:id="718" w:name="_Toc156189097"/>
      <w:bookmarkStart w:id="719" w:name="_Toc2272"/>
      <w:bookmarkStart w:id="720" w:name="_Toc21665"/>
      <w:bookmarkStart w:id="721" w:name="_Toc3809041"/>
      <w:bookmarkStart w:id="722" w:name="_Toc156189947"/>
      <w:bookmarkStart w:id="723" w:name="_Toc21891"/>
      <w:bookmarkStart w:id="724" w:name="_Toc156189260"/>
      <w:bookmarkStart w:id="725" w:name="_Toc156199721"/>
      <w:bookmarkStart w:id="726" w:name="_Toc156189522"/>
      <w:bookmarkStart w:id="727" w:name="_Toc218914652"/>
      <w:bookmarkStart w:id="728" w:name="_Toc252533244"/>
      <w:bookmarkStart w:id="729" w:name="_Toc245793484"/>
      <w:bookmarkStart w:id="730" w:name="_Toc156200298"/>
      <w:bookmarkStart w:id="731" w:name="_Toc155236207"/>
      <w:bookmarkStart w:id="732" w:name="_Toc12244"/>
      <w:bookmarkStart w:id="733" w:name="_Toc156189758"/>
      <w:bookmarkStart w:id="734" w:name="_Toc236122632"/>
      <w:bookmarkStart w:id="735" w:name="_Toc19969"/>
      <w:bookmarkStart w:id="736" w:name="_Toc224442393"/>
      <w:bookmarkStart w:id="737" w:name="_Toc190935786"/>
      <w:r w:rsidRPr="00123108">
        <w:rPr>
          <w:rFonts w:ascii="宋体" w:eastAsia="宋体" w:cs="宋体" w:hint="eastAsia"/>
          <w:sz w:val="28"/>
          <w:szCs w:val="28"/>
        </w:rPr>
        <w:t>4.1  安全现状评价原则</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rsidR="004F34D9" w:rsidRPr="00123108" w:rsidRDefault="004F34D9" w:rsidP="00D06780">
      <w:pPr>
        <w:spacing w:line="500" w:lineRule="exact"/>
        <w:ind w:firstLineChars="200" w:firstLine="560"/>
        <w:rPr>
          <w:rFonts w:ascii="宋体" w:hAnsi="宋体" w:cs="宋体" w:hint="eastAsia"/>
          <w:sz w:val="28"/>
        </w:rPr>
      </w:pPr>
      <w:r w:rsidRPr="00123108">
        <w:rPr>
          <w:rFonts w:ascii="宋体" w:hAnsi="宋体" w:cs="宋体" w:hint="eastAsia"/>
          <w:sz w:val="28"/>
        </w:rPr>
        <w:t>本安全现状评价将按国家现行有关安全卫生的法律、法规和标准要求进行，同时遵循下列原则：</w:t>
      </w:r>
    </w:p>
    <w:p w:rsidR="004F34D9" w:rsidRPr="00123108" w:rsidRDefault="004F34D9" w:rsidP="00D06780">
      <w:pPr>
        <w:spacing w:line="500" w:lineRule="exact"/>
        <w:ind w:firstLineChars="200" w:firstLine="560"/>
        <w:rPr>
          <w:rFonts w:ascii="宋体" w:hAnsi="宋体" w:cs="宋体" w:hint="eastAsia"/>
          <w:sz w:val="28"/>
        </w:rPr>
      </w:pPr>
      <w:r w:rsidRPr="00123108">
        <w:rPr>
          <w:rFonts w:ascii="宋体" w:hAnsi="宋体" w:cs="宋体" w:hint="eastAsia"/>
          <w:sz w:val="28"/>
          <w:szCs w:val="28"/>
          <w:lang w:val="zh-CN"/>
        </w:rPr>
        <w:t>（1）</w:t>
      </w:r>
      <w:r w:rsidRPr="00123108">
        <w:rPr>
          <w:rFonts w:ascii="宋体" w:hAnsi="宋体" w:cs="宋体" w:hint="eastAsia"/>
          <w:sz w:val="28"/>
        </w:rPr>
        <w:t>在国家和地方应急管理部门的指导、监督下，严格执行国家、地方颁布的有关安全卫生方面的法律、法规和标准，保证评价的权威性。</w:t>
      </w:r>
    </w:p>
    <w:p w:rsidR="004F34D9" w:rsidRPr="00123108" w:rsidRDefault="004F34D9" w:rsidP="00D06780">
      <w:pPr>
        <w:spacing w:line="500" w:lineRule="exact"/>
        <w:ind w:firstLineChars="200" w:firstLine="560"/>
        <w:rPr>
          <w:rFonts w:ascii="宋体" w:hAnsi="宋体" w:cs="宋体" w:hint="eastAsia"/>
          <w:sz w:val="28"/>
        </w:rPr>
      </w:pPr>
      <w:r w:rsidRPr="00123108">
        <w:rPr>
          <w:rFonts w:ascii="宋体" w:hAnsi="宋体" w:cs="宋体" w:hint="eastAsia"/>
          <w:sz w:val="28"/>
          <w:szCs w:val="28"/>
          <w:lang w:val="zh-CN"/>
        </w:rPr>
        <w:t>（2）</w:t>
      </w:r>
      <w:r w:rsidRPr="00123108">
        <w:rPr>
          <w:rFonts w:ascii="宋体" w:hAnsi="宋体" w:cs="宋体" w:hint="eastAsia"/>
          <w:sz w:val="28"/>
        </w:rPr>
        <w:t>按科学的工作程序，采用科学的方法和可靠的数据，全面、准确、客观地提出科学的结论，体现安全评价的科学性。</w:t>
      </w:r>
    </w:p>
    <w:p w:rsidR="004F34D9" w:rsidRPr="00123108" w:rsidRDefault="004F34D9" w:rsidP="00D06780">
      <w:pPr>
        <w:spacing w:line="500" w:lineRule="exact"/>
        <w:ind w:firstLineChars="200" w:firstLine="560"/>
        <w:rPr>
          <w:rFonts w:ascii="宋体" w:hAnsi="宋体" w:cs="宋体" w:hint="eastAsia"/>
          <w:sz w:val="28"/>
        </w:rPr>
      </w:pPr>
      <w:r w:rsidRPr="00123108">
        <w:rPr>
          <w:rFonts w:ascii="宋体" w:hAnsi="宋体" w:cs="宋体" w:hint="eastAsia"/>
          <w:sz w:val="28"/>
          <w:szCs w:val="28"/>
          <w:lang w:val="zh-CN"/>
        </w:rPr>
        <w:t>（3）</w:t>
      </w:r>
      <w:r w:rsidRPr="00123108">
        <w:rPr>
          <w:rFonts w:ascii="宋体" w:hAnsi="宋体" w:cs="宋体" w:hint="eastAsia"/>
          <w:sz w:val="28"/>
        </w:rPr>
        <w:t xml:space="preserve">采用可靠、先进、适用的评价技术，在最大程度上保证评价结论的正确性、对策措施的针对性和可行性。 </w:t>
      </w:r>
    </w:p>
    <w:p w:rsidR="004F34D9" w:rsidRPr="00123108" w:rsidRDefault="004F34D9" w:rsidP="00D06780">
      <w:pPr>
        <w:spacing w:line="500" w:lineRule="exact"/>
        <w:ind w:firstLineChars="200" w:firstLine="560"/>
        <w:rPr>
          <w:rFonts w:ascii="宋体" w:hAnsi="宋体" w:cs="宋体" w:hint="eastAsia"/>
          <w:sz w:val="28"/>
        </w:rPr>
      </w:pPr>
      <w:r w:rsidRPr="00123108">
        <w:rPr>
          <w:rFonts w:ascii="宋体" w:hAnsi="宋体" w:cs="宋体" w:hint="eastAsia"/>
          <w:sz w:val="28"/>
          <w:szCs w:val="28"/>
          <w:lang w:val="zh-CN"/>
        </w:rPr>
        <w:t>（4）</w:t>
      </w:r>
      <w:r w:rsidRPr="00123108">
        <w:rPr>
          <w:rFonts w:ascii="宋体" w:hAnsi="宋体" w:cs="宋体" w:hint="eastAsia"/>
          <w:sz w:val="28"/>
        </w:rPr>
        <w:t>有关有毒有害物质、噪声等危害的影响，分别依据物质特性及现场监测数据进行。</w:t>
      </w:r>
    </w:p>
    <w:p w:rsidR="004F34D9" w:rsidRPr="00123108" w:rsidRDefault="004F34D9" w:rsidP="00D06780">
      <w:pPr>
        <w:pStyle w:val="2"/>
        <w:spacing w:line="500" w:lineRule="exact"/>
        <w:jc w:val="both"/>
        <w:rPr>
          <w:rFonts w:ascii="宋体" w:eastAsia="宋体" w:cs="宋体" w:hint="eastAsia"/>
          <w:sz w:val="28"/>
          <w:szCs w:val="28"/>
        </w:rPr>
      </w:pPr>
      <w:bookmarkStart w:id="738" w:name="_Toc155236208"/>
      <w:bookmarkStart w:id="739" w:name="_Toc238867504"/>
      <w:bookmarkStart w:id="740" w:name="_Toc245793485"/>
      <w:bookmarkStart w:id="741" w:name="_Toc3809042"/>
      <w:bookmarkStart w:id="742" w:name="_Toc156199722"/>
      <w:bookmarkStart w:id="743" w:name="_Toc156189261"/>
      <w:bookmarkStart w:id="744" w:name="_Toc156189098"/>
      <w:bookmarkStart w:id="745" w:name="_Toc156200299"/>
      <w:bookmarkStart w:id="746" w:name="_Toc156189523"/>
      <w:bookmarkStart w:id="747" w:name="_Toc17118"/>
      <w:bookmarkStart w:id="748" w:name="_Toc11456"/>
      <w:bookmarkStart w:id="749" w:name="_Toc25808"/>
      <w:bookmarkStart w:id="750" w:name="_Toc225056884"/>
      <w:bookmarkStart w:id="751" w:name="_Toc156189948"/>
      <w:bookmarkStart w:id="752" w:name="_Toc9043"/>
      <w:bookmarkStart w:id="753" w:name="_Toc154996411"/>
      <w:bookmarkStart w:id="754" w:name="_Toc236122633"/>
      <w:bookmarkStart w:id="755" w:name="_Toc252533245"/>
      <w:bookmarkStart w:id="756" w:name="_Toc224442394"/>
      <w:bookmarkStart w:id="757" w:name="_Toc218914653"/>
      <w:bookmarkStart w:id="758" w:name="_Toc21700"/>
      <w:bookmarkStart w:id="759" w:name="_Toc29863"/>
      <w:bookmarkStart w:id="760" w:name="_Toc156189759"/>
      <w:bookmarkStart w:id="761" w:name="_Toc190935787"/>
      <w:r w:rsidRPr="00123108">
        <w:rPr>
          <w:rFonts w:ascii="宋体" w:eastAsia="宋体" w:cs="宋体" w:hint="eastAsia"/>
          <w:sz w:val="28"/>
          <w:szCs w:val="28"/>
        </w:rPr>
        <w:t>4.2  安全现状评价内容</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rsidR="004F34D9" w:rsidRPr="00123108" w:rsidRDefault="004F34D9" w:rsidP="00D06780">
      <w:pPr>
        <w:spacing w:line="500" w:lineRule="exact"/>
        <w:ind w:firstLineChars="200" w:firstLine="560"/>
        <w:rPr>
          <w:rFonts w:ascii="宋体" w:hAnsi="宋体" w:cs="宋体" w:hint="eastAsia"/>
          <w:sz w:val="28"/>
        </w:rPr>
      </w:pPr>
      <w:bookmarkStart w:id="762" w:name="_Toc224442395"/>
      <w:bookmarkStart w:id="763" w:name="_Toc236122634"/>
      <w:bookmarkStart w:id="764" w:name="_Toc238867505"/>
      <w:bookmarkStart w:id="765" w:name="_Toc218914654"/>
      <w:bookmarkStart w:id="766" w:name="_Toc245793184"/>
      <w:bookmarkStart w:id="767" w:name="_Toc217891003"/>
      <w:bookmarkStart w:id="768" w:name="_Toc225056885"/>
      <w:bookmarkStart w:id="769" w:name="_Toc155236209"/>
      <w:bookmarkStart w:id="770" w:name="_Toc156189949"/>
      <w:bookmarkStart w:id="771" w:name="_Toc156189262"/>
      <w:bookmarkStart w:id="772" w:name="_Toc156199723"/>
      <w:bookmarkStart w:id="773" w:name="_Toc156189524"/>
      <w:bookmarkStart w:id="774" w:name="_Toc156189099"/>
      <w:bookmarkStart w:id="775" w:name="_Toc156200300"/>
      <w:bookmarkStart w:id="776" w:name="_Toc156189760"/>
      <w:bookmarkStart w:id="777" w:name="_Toc154996412"/>
      <w:bookmarkStart w:id="778" w:name="_Toc245793486"/>
      <w:r w:rsidRPr="00123108">
        <w:rPr>
          <w:rFonts w:ascii="宋体" w:hAnsi="宋体" w:cs="宋体" w:hint="eastAsia"/>
          <w:sz w:val="28"/>
        </w:rPr>
        <w:t>安全现状评价内容包括生产安全、安全管理等。</w:t>
      </w:r>
    </w:p>
    <w:p w:rsidR="004F34D9" w:rsidRPr="00123108" w:rsidRDefault="004F34D9" w:rsidP="00D06780">
      <w:pPr>
        <w:spacing w:line="500" w:lineRule="exact"/>
        <w:ind w:firstLineChars="200" w:firstLine="560"/>
        <w:rPr>
          <w:rFonts w:ascii="宋体" w:hAnsi="宋体" w:cs="宋体" w:hint="eastAsia"/>
          <w:sz w:val="28"/>
        </w:rPr>
      </w:pPr>
      <w:r w:rsidRPr="00123108">
        <w:rPr>
          <w:rFonts w:ascii="宋体" w:hAnsi="宋体" w:cs="宋体" w:hint="eastAsia"/>
          <w:sz w:val="28"/>
        </w:rPr>
        <w:t>生产安全方面的评价内容有：企业外部安全条件、总平面布置、建构筑物布置、</w:t>
      </w:r>
      <w:r w:rsidRPr="00123108">
        <w:rPr>
          <w:rFonts w:ascii="宋体" w:hAnsi="宋体" w:cs="宋体" w:hint="eastAsia"/>
          <w:sz w:val="28"/>
          <w:lang w:val="zh-CN"/>
        </w:rPr>
        <w:t>生产工艺、设备设施</w:t>
      </w:r>
      <w:r w:rsidRPr="00123108">
        <w:rPr>
          <w:rFonts w:ascii="宋体" w:hAnsi="宋体" w:cs="宋体" w:hint="eastAsia"/>
          <w:sz w:val="28"/>
        </w:rPr>
        <w:t>、</w:t>
      </w:r>
      <w:r w:rsidRPr="00123108">
        <w:rPr>
          <w:rFonts w:ascii="宋体" w:hAnsi="宋体" w:cs="宋体" w:hint="eastAsia"/>
          <w:sz w:val="28"/>
          <w:lang w:val="zh-CN"/>
        </w:rPr>
        <w:t>防火防爆措施、防雷防静电、</w:t>
      </w:r>
      <w:r w:rsidRPr="00123108">
        <w:rPr>
          <w:rFonts w:ascii="宋体" w:hAnsi="宋体" w:cs="宋体" w:hint="eastAsia"/>
          <w:sz w:val="28"/>
        </w:rPr>
        <w:t>消防设施、电气照明设施、常规设施、自动化控制系统、</w:t>
      </w:r>
      <w:r w:rsidRPr="00123108">
        <w:rPr>
          <w:rFonts w:ascii="宋体" w:hAnsi="宋体" w:cs="宋体" w:hint="eastAsia"/>
          <w:sz w:val="28"/>
          <w:lang w:val="zh-CN"/>
        </w:rPr>
        <w:t>职业危害、劳动防护用品、《化工企业安全检查重点指导目录》符合性、</w:t>
      </w:r>
      <w:r w:rsidRPr="00123108">
        <w:rPr>
          <w:rFonts w:ascii="宋体" w:hAnsi="宋体" w:cs="宋体" w:hint="eastAsia"/>
          <w:sz w:val="28"/>
        </w:rPr>
        <w:t>重大生产安全事故隐患判定、两重点一重大、</w:t>
      </w:r>
      <w:r w:rsidRPr="00123108">
        <w:rPr>
          <w:rFonts w:ascii="宋体" w:hAnsi="宋体" w:cs="宋体" w:hint="eastAsia"/>
          <w:sz w:val="28"/>
          <w:lang w:val="zh-CN"/>
        </w:rPr>
        <w:t>生产单位特殊作业、</w:t>
      </w:r>
      <w:r w:rsidRPr="00123108">
        <w:rPr>
          <w:rFonts w:ascii="宋体" w:hAnsi="宋体" w:cs="宋体" w:hint="eastAsia"/>
          <w:sz w:val="28"/>
        </w:rPr>
        <w:t>安全生产许可证取证情况符合性、</w:t>
      </w:r>
      <w:r w:rsidRPr="00123108">
        <w:rPr>
          <w:rFonts w:ascii="宋体" w:hAnsi="宋体" w:cs="宋体" w:hint="eastAsia"/>
          <w:sz w:val="28"/>
          <w:lang w:val="zh-CN"/>
        </w:rPr>
        <w:t>危险化学品企业安全风险隐患排查、安全生产专项提升整治、</w:t>
      </w:r>
      <w:r w:rsidRPr="00123108">
        <w:rPr>
          <w:rFonts w:ascii="宋体" w:hAnsi="宋体" w:cs="宋体" w:hint="eastAsia"/>
          <w:sz w:val="28"/>
        </w:rPr>
        <w:t>环保设施安全风险、易制爆危险化学品储存场所评价、本次安全评价与上次安全评价之间的变化、上次安全评价整改措施落实等，评价涉及人员、工艺、设备等方面。</w:t>
      </w:r>
    </w:p>
    <w:p w:rsidR="004F34D9" w:rsidRPr="00123108" w:rsidRDefault="004F34D9" w:rsidP="00D06780">
      <w:pPr>
        <w:spacing w:line="500" w:lineRule="exact"/>
        <w:ind w:firstLineChars="200" w:firstLine="560"/>
        <w:rPr>
          <w:rFonts w:ascii="宋体" w:hAnsi="宋体" w:cs="宋体" w:hint="eastAsia"/>
          <w:sz w:val="28"/>
        </w:rPr>
      </w:pPr>
      <w:r w:rsidRPr="00123108">
        <w:rPr>
          <w:rFonts w:ascii="宋体" w:hAnsi="宋体" w:cs="宋体" w:hint="eastAsia"/>
          <w:sz w:val="28"/>
        </w:rPr>
        <w:t>安全管理方面的评价内容包括：安全管理组织结构、各级安全生产责任制、安全管理制度、事故应急救援、安全设施、管理培训等。</w:t>
      </w:r>
    </w:p>
    <w:p w:rsidR="004F34D9" w:rsidRPr="00123108" w:rsidRDefault="004F34D9" w:rsidP="00D06780">
      <w:pPr>
        <w:pStyle w:val="2"/>
        <w:spacing w:line="500" w:lineRule="exact"/>
        <w:jc w:val="both"/>
        <w:rPr>
          <w:rFonts w:ascii="宋体" w:eastAsia="宋体" w:cs="宋体" w:hint="eastAsia"/>
          <w:sz w:val="28"/>
          <w:szCs w:val="28"/>
        </w:rPr>
      </w:pPr>
      <w:bookmarkStart w:id="779" w:name="_Toc504"/>
      <w:bookmarkStart w:id="780" w:name="_Toc238867506"/>
      <w:bookmarkStart w:id="781" w:name="_Toc19167"/>
      <w:bookmarkStart w:id="782" w:name="_Toc9558"/>
      <w:bookmarkStart w:id="783" w:name="_Toc3809043"/>
      <w:bookmarkStart w:id="784" w:name="_Toc30973"/>
      <w:bookmarkStart w:id="785" w:name="_Toc2828"/>
      <w:bookmarkStart w:id="786" w:name="_Toc218914655"/>
      <w:bookmarkStart w:id="787" w:name="_Toc252533246"/>
      <w:bookmarkStart w:id="788" w:name="_Toc225056886"/>
      <w:bookmarkStart w:id="789" w:name="_Toc224442396"/>
      <w:bookmarkStart w:id="790" w:name="_Toc236122635"/>
      <w:bookmarkStart w:id="791" w:name="_Toc245793487"/>
      <w:bookmarkStart w:id="792" w:name="_Toc27873"/>
      <w:bookmarkStart w:id="793" w:name="_Toc190935788"/>
      <w:bookmarkEnd w:id="762"/>
      <w:bookmarkEnd w:id="763"/>
      <w:bookmarkEnd w:id="764"/>
      <w:bookmarkEnd w:id="765"/>
      <w:bookmarkEnd w:id="766"/>
      <w:bookmarkEnd w:id="767"/>
      <w:bookmarkEnd w:id="768"/>
      <w:bookmarkEnd w:id="778"/>
      <w:r w:rsidRPr="00123108">
        <w:rPr>
          <w:rFonts w:ascii="宋体" w:eastAsia="宋体" w:cs="宋体" w:hint="eastAsia"/>
          <w:sz w:val="28"/>
          <w:szCs w:val="28"/>
        </w:rPr>
        <w:t>4.3  评价程序</w:t>
      </w:r>
      <w:bookmarkEnd w:id="769"/>
      <w:bookmarkEnd w:id="770"/>
      <w:bookmarkEnd w:id="771"/>
      <w:bookmarkEnd w:id="772"/>
      <w:bookmarkEnd w:id="773"/>
      <w:bookmarkEnd w:id="774"/>
      <w:bookmarkEnd w:id="775"/>
      <w:bookmarkEnd w:id="776"/>
      <w:bookmarkEnd w:id="777"/>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rsidR="004F34D9" w:rsidRPr="00123108" w:rsidRDefault="004F34D9" w:rsidP="00D06780">
      <w:pPr>
        <w:autoSpaceDE w:val="0"/>
        <w:autoSpaceDN w:val="0"/>
        <w:adjustRightInd w:val="0"/>
        <w:spacing w:line="500" w:lineRule="exact"/>
        <w:ind w:firstLine="560"/>
        <w:jc w:val="left"/>
        <w:rPr>
          <w:rFonts w:ascii="宋体" w:hAnsi="宋体" w:cs="宋体" w:hint="eastAsia"/>
          <w:sz w:val="28"/>
          <w:szCs w:val="28"/>
          <w:lang w:val="zh-CN"/>
        </w:rPr>
      </w:pPr>
      <w:r w:rsidRPr="00123108">
        <w:rPr>
          <w:rFonts w:ascii="宋体" w:hAnsi="宋体" w:cs="宋体" w:hint="eastAsia"/>
          <w:sz w:val="28"/>
          <w:szCs w:val="28"/>
          <w:lang w:val="zh-CN"/>
        </w:rPr>
        <w:t>（1）通过该企业项目资料分析及现场勘查，结合类似生产企业中事故案例的研究、分析，确定该企业潜在的危险危害性；</w:t>
      </w:r>
    </w:p>
    <w:p w:rsidR="004F34D9" w:rsidRPr="00123108" w:rsidRDefault="004F34D9" w:rsidP="00D06780">
      <w:pPr>
        <w:autoSpaceDE w:val="0"/>
        <w:autoSpaceDN w:val="0"/>
        <w:adjustRightInd w:val="0"/>
        <w:spacing w:line="500" w:lineRule="exact"/>
        <w:ind w:firstLine="560"/>
        <w:jc w:val="left"/>
        <w:rPr>
          <w:rFonts w:ascii="宋体" w:hAnsi="宋体" w:cs="宋体" w:hint="eastAsia"/>
          <w:sz w:val="28"/>
          <w:szCs w:val="28"/>
          <w:lang w:val="zh-CN"/>
        </w:rPr>
      </w:pPr>
      <w:r w:rsidRPr="00123108">
        <w:rPr>
          <w:rFonts w:ascii="宋体" w:hAnsi="宋体" w:cs="宋体" w:hint="eastAsia"/>
          <w:sz w:val="28"/>
          <w:szCs w:val="28"/>
          <w:lang w:val="zh-CN"/>
        </w:rPr>
        <w:t>（2）从安全卫生的角度对该企业现有生产工艺过程、主要设备设施及</w:t>
      </w:r>
      <w:r w:rsidRPr="00123108">
        <w:rPr>
          <w:rFonts w:ascii="宋体" w:hAnsi="宋体" w:cs="宋体" w:hint="eastAsia"/>
          <w:sz w:val="28"/>
          <w:szCs w:val="28"/>
          <w:lang w:val="zh-CN"/>
        </w:rPr>
        <w:lastRenderedPageBreak/>
        <w:t>安全技术措施等进行分析与论证，并作出评价结论；</w:t>
      </w:r>
    </w:p>
    <w:p w:rsidR="004F34D9" w:rsidRPr="00123108" w:rsidRDefault="004F34D9" w:rsidP="00D06780">
      <w:pPr>
        <w:autoSpaceDE w:val="0"/>
        <w:autoSpaceDN w:val="0"/>
        <w:adjustRightInd w:val="0"/>
        <w:spacing w:line="500" w:lineRule="exact"/>
        <w:ind w:firstLine="560"/>
        <w:jc w:val="left"/>
        <w:rPr>
          <w:rFonts w:ascii="宋体" w:hAnsi="宋体" w:cs="宋体" w:hint="eastAsia"/>
          <w:sz w:val="28"/>
          <w:szCs w:val="28"/>
          <w:lang w:val="zh-CN"/>
        </w:rPr>
      </w:pPr>
      <w:r w:rsidRPr="00123108">
        <w:rPr>
          <w:rFonts w:ascii="宋体" w:hAnsi="宋体" w:cs="宋体" w:hint="eastAsia"/>
          <w:sz w:val="28"/>
          <w:szCs w:val="28"/>
          <w:lang w:val="zh-CN"/>
        </w:rPr>
        <w:t>（3）采用定性定量分析法，对该企业的主要危险危害场所进行分析，并作出相应评价结论；</w:t>
      </w:r>
    </w:p>
    <w:p w:rsidR="004F34D9" w:rsidRPr="00123108" w:rsidRDefault="004F34D9" w:rsidP="00D06780">
      <w:pPr>
        <w:autoSpaceDE w:val="0"/>
        <w:autoSpaceDN w:val="0"/>
        <w:adjustRightInd w:val="0"/>
        <w:spacing w:line="500" w:lineRule="exact"/>
        <w:ind w:firstLine="560"/>
        <w:jc w:val="left"/>
        <w:rPr>
          <w:rFonts w:ascii="宋体" w:hAnsi="宋体" w:cs="宋体" w:hint="eastAsia"/>
          <w:sz w:val="28"/>
          <w:szCs w:val="28"/>
          <w:lang w:val="zh-CN"/>
        </w:rPr>
      </w:pPr>
      <w:r w:rsidRPr="00123108">
        <w:rPr>
          <w:rFonts w:ascii="宋体" w:hAnsi="宋体" w:cs="宋体" w:hint="eastAsia"/>
          <w:sz w:val="28"/>
          <w:szCs w:val="28"/>
          <w:lang w:val="zh-CN"/>
        </w:rPr>
        <w:t>（4）结合企业现状的实际，在分析评价的基础上提出有针对性的安全生产对策与措施；</w:t>
      </w:r>
    </w:p>
    <w:p w:rsidR="004F34D9" w:rsidRPr="00123108" w:rsidRDefault="004F34D9" w:rsidP="00D06780">
      <w:pPr>
        <w:autoSpaceDE w:val="0"/>
        <w:autoSpaceDN w:val="0"/>
        <w:adjustRightInd w:val="0"/>
        <w:spacing w:line="500" w:lineRule="exact"/>
        <w:ind w:firstLine="560"/>
        <w:jc w:val="left"/>
        <w:rPr>
          <w:rFonts w:ascii="宋体" w:hAnsi="宋体" w:cs="宋体" w:hint="eastAsia"/>
          <w:sz w:val="28"/>
          <w:szCs w:val="28"/>
          <w:lang w:val="zh-CN"/>
        </w:rPr>
      </w:pPr>
      <w:r w:rsidRPr="00123108">
        <w:rPr>
          <w:rFonts w:ascii="宋体" w:hAnsi="宋体" w:cs="宋体" w:hint="eastAsia"/>
          <w:sz w:val="28"/>
          <w:szCs w:val="28"/>
          <w:lang w:val="zh-CN"/>
        </w:rPr>
        <w:t>（5）提出安全现状评价结论。</w:t>
      </w:r>
    </w:p>
    <w:p w:rsidR="004F34D9" w:rsidRPr="00123108" w:rsidRDefault="004F34D9" w:rsidP="00D06780">
      <w:pPr>
        <w:autoSpaceDE w:val="0"/>
        <w:autoSpaceDN w:val="0"/>
        <w:adjustRightInd w:val="0"/>
        <w:spacing w:line="500" w:lineRule="exact"/>
        <w:ind w:firstLineChars="200" w:firstLine="560"/>
        <w:rPr>
          <w:rFonts w:ascii="宋体" w:hAnsi="宋体" w:cs="宋体" w:hint="eastAsia"/>
          <w:sz w:val="28"/>
          <w:szCs w:val="28"/>
          <w:lang w:val="zh-CN"/>
        </w:rPr>
      </w:pPr>
      <w:r w:rsidRPr="00123108">
        <w:rPr>
          <w:rFonts w:ascii="宋体" w:hAnsi="宋体" w:cs="宋体" w:hint="eastAsia"/>
          <w:sz w:val="28"/>
          <w:szCs w:val="28"/>
          <w:lang w:val="zh-CN"/>
        </w:rPr>
        <w:t>具体评价程序见图4.3-1。</w:t>
      </w:r>
    </w:p>
    <w:p w:rsidR="004F34D9" w:rsidRPr="00123108" w:rsidRDefault="0027750A">
      <w:pPr>
        <w:pStyle w:val="aff7"/>
        <w:ind w:firstLineChars="600" w:firstLine="1680"/>
        <w:rPr>
          <w:rFonts w:ascii="宋体" w:hAnsi="宋体" w:cs="宋体" w:hint="eastAsia"/>
          <w:sz w:val="28"/>
          <w:szCs w:val="28"/>
          <w:lang w:val="zh-CN"/>
        </w:rPr>
      </w:pPr>
      <w:r w:rsidRPr="00123108">
        <w:rPr>
          <w:rFonts w:ascii="宋体" w:hAnsi="宋体" w:cs="宋体" w:hint="eastAsia"/>
          <w:noProof/>
          <w:sz w:val="28"/>
          <w:szCs w:val="28"/>
          <w:lang w:val="zh-CN"/>
        </w:rPr>
        <w:drawing>
          <wp:inline distT="0" distB="0" distL="0" distR="0">
            <wp:extent cx="3644265" cy="5281930"/>
            <wp:effectExtent l="0" t="0" r="0" b="0"/>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44265" cy="5281930"/>
                    </a:xfrm>
                    <a:prstGeom prst="rect">
                      <a:avLst/>
                    </a:prstGeom>
                    <a:noFill/>
                    <a:ln>
                      <a:noFill/>
                    </a:ln>
                  </pic:spPr>
                </pic:pic>
              </a:graphicData>
            </a:graphic>
          </wp:inline>
        </w:drawing>
      </w:r>
    </w:p>
    <w:p w:rsidR="004F34D9" w:rsidRPr="00123108" w:rsidRDefault="004F34D9">
      <w:pPr>
        <w:autoSpaceDE w:val="0"/>
        <w:autoSpaceDN w:val="0"/>
        <w:adjustRightInd w:val="0"/>
        <w:spacing w:line="360" w:lineRule="auto"/>
        <w:jc w:val="center"/>
        <w:rPr>
          <w:rFonts w:ascii="宋体" w:hAnsi="宋体" w:cs="宋体" w:hint="eastAsia"/>
          <w:b/>
          <w:bCs/>
          <w:sz w:val="28"/>
          <w:szCs w:val="28"/>
          <w:lang w:val="zh-CN"/>
        </w:rPr>
        <w:sectPr w:rsidR="004F34D9" w:rsidRPr="00123108">
          <w:pgSz w:w="11907" w:h="16840"/>
          <w:pgMar w:top="1418" w:right="1134" w:bottom="1134" w:left="1588" w:header="851" w:footer="992" w:gutter="0"/>
          <w:paperSrc w:first="7" w:other="7"/>
          <w:cols w:space="720"/>
        </w:sectPr>
      </w:pPr>
      <w:r w:rsidRPr="00123108">
        <w:rPr>
          <w:rFonts w:ascii="宋体" w:hAnsi="宋体" w:cs="宋体" w:hint="eastAsia"/>
          <w:b/>
          <w:bCs/>
          <w:sz w:val="28"/>
          <w:szCs w:val="28"/>
          <w:lang w:val="zh-CN"/>
        </w:rPr>
        <w:t>图4.3</w:t>
      </w:r>
      <w:r w:rsidRPr="00123108">
        <w:rPr>
          <w:rFonts w:ascii="宋体" w:hAnsi="宋体" w:cs="宋体" w:hint="eastAsia"/>
          <w:b/>
          <w:bCs/>
          <w:sz w:val="28"/>
          <w:szCs w:val="28"/>
        </w:rPr>
        <w:t>-1</w:t>
      </w:r>
      <w:r w:rsidRPr="00123108">
        <w:rPr>
          <w:rFonts w:ascii="宋体" w:hAnsi="宋体" w:cs="宋体" w:hint="eastAsia"/>
          <w:b/>
          <w:bCs/>
          <w:sz w:val="28"/>
          <w:szCs w:val="28"/>
          <w:lang w:val="zh-CN"/>
        </w:rPr>
        <w:t xml:space="preserve">  安全现状评价工作程序图</w:t>
      </w:r>
    </w:p>
    <w:p w:rsidR="004F34D9" w:rsidRPr="00123108" w:rsidRDefault="004F34D9" w:rsidP="00D06780">
      <w:pPr>
        <w:pStyle w:val="1"/>
        <w:spacing w:beforeLines="0" w:before="0" w:afterLines="0" w:after="0" w:line="500" w:lineRule="exact"/>
        <w:rPr>
          <w:rFonts w:ascii="宋体" w:eastAsia="宋体" w:cs="宋体" w:hint="eastAsia"/>
          <w:spacing w:val="-4"/>
        </w:rPr>
      </w:pPr>
      <w:bookmarkStart w:id="794" w:name="_Toc156200301"/>
      <w:bookmarkStart w:id="795" w:name="_Toc13297"/>
      <w:bookmarkStart w:id="796" w:name="_Toc16366"/>
      <w:bookmarkStart w:id="797" w:name="_Toc245793488"/>
      <w:bookmarkStart w:id="798" w:name="_Toc238867507"/>
      <w:bookmarkStart w:id="799" w:name="_Toc225056887"/>
      <w:bookmarkStart w:id="800" w:name="_Toc6699"/>
      <w:bookmarkStart w:id="801" w:name="_Toc218914656"/>
      <w:bookmarkStart w:id="802" w:name="_Toc155236210"/>
      <w:bookmarkStart w:id="803" w:name="_Toc26360"/>
      <w:bookmarkStart w:id="804" w:name="_Toc154996413"/>
      <w:bookmarkStart w:id="805" w:name="_Toc3809044"/>
      <w:bookmarkStart w:id="806" w:name="_Toc156199724"/>
      <w:bookmarkStart w:id="807" w:name="_Toc156189263"/>
      <w:bookmarkStart w:id="808" w:name="_Toc252533247"/>
      <w:bookmarkStart w:id="809" w:name="_Toc236122636"/>
      <w:bookmarkStart w:id="810" w:name="_Toc156189761"/>
      <w:bookmarkStart w:id="811" w:name="_Toc156189100"/>
      <w:bookmarkStart w:id="812" w:name="_Toc224442397"/>
      <w:bookmarkStart w:id="813" w:name="_Toc23296"/>
      <w:bookmarkStart w:id="814" w:name="_Toc156189950"/>
      <w:bookmarkStart w:id="815" w:name="_Toc13068"/>
      <w:bookmarkStart w:id="816" w:name="_Toc156189525"/>
      <w:bookmarkStart w:id="817" w:name="_Toc190935789"/>
      <w:r w:rsidRPr="00123108">
        <w:rPr>
          <w:rFonts w:ascii="宋体" w:eastAsia="宋体" w:cs="宋体" w:hint="eastAsia"/>
          <w:spacing w:val="-4"/>
        </w:rPr>
        <w:lastRenderedPageBreak/>
        <w:t>5  评价方法和评价单元</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rsidR="004F34D9" w:rsidRPr="00123108" w:rsidRDefault="004F34D9" w:rsidP="00D06780">
      <w:pPr>
        <w:pStyle w:val="2"/>
        <w:spacing w:line="500" w:lineRule="exact"/>
        <w:jc w:val="both"/>
        <w:rPr>
          <w:rFonts w:ascii="宋体" w:eastAsia="宋体" w:cs="宋体" w:hint="eastAsia"/>
          <w:sz w:val="28"/>
          <w:szCs w:val="28"/>
        </w:rPr>
      </w:pPr>
      <w:bookmarkStart w:id="818" w:name="_Toc156189102"/>
      <w:bookmarkStart w:id="819" w:name="_Toc3809045"/>
      <w:bookmarkStart w:id="820" w:name="_Toc18085"/>
      <w:bookmarkStart w:id="821" w:name="_Toc156189527"/>
      <w:bookmarkStart w:id="822" w:name="_Toc224442399"/>
      <w:bookmarkStart w:id="823" w:name="_Toc245793489"/>
      <w:bookmarkStart w:id="824" w:name="_Toc5122"/>
      <w:bookmarkStart w:id="825" w:name="_Toc156189952"/>
      <w:bookmarkStart w:id="826" w:name="_Toc238867508"/>
      <w:bookmarkStart w:id="827" w:name="_Toc218914658"/>
      <w:bookmarkStart w:id="828" w:name="_Toc156200303"/>
      <w:bookmarkStart w:id="829" w:name="_Toc7563"/>
      <w:bookmarkStart w:id="830" w:name="_Toc17666"/>
      <w:bookmarkStart w:id="831" w:name="_Toc156189763"/>
      <w:bookmarkStart w:id="832" w:name="_Toc155236212"/>
      <w:bookmarkStart w:id="833" w:name="_Toc225056888"/>
      <w:bookmarkStart w:id="834" w:name="_Toc156199726"/>
      <w:bookmarkStart w:id="835" w:name="_Toc23034"/>
      <w:bookmarkStart w:id="836" w:name="_Toc236122637"/>
      <w:bookmarkStart w:id="837" w:name="_Toc24570"/>
      <w:bookmarkStart w:id="838" w:name="_Toc252533248"/>
      <w:bookmarkStart w:id="839" w:name="_Toc154996415"/>
      <w:bookmarkStart w:id="840" w:name="_Toc156189265"/>
      <w:bookmarkStart w:id="841" w:name="_Toc190935790"/>
      <w:r w:rsidRPr="00123108">
        <w:rPr>
          <w:rFonts w:ascii="宋体" w:eastAsia="宋体" w:cs="宋体" w:hint="eastAsia"/>
          <w:sz w:val="28"/>
          <w:szCs w:val="28"/>
        </w:rPr>
        <w:t>5.1  评价单元的划分</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rsidR="004F34D9" w:rsidRPr="00123108" w:rsidRDefault="004F34D9" w:rsidP="00D06780">
      <w:pPr>
        <w:autoSpaceDE w:val="0"/>
        <w:autoSpaceDN w:val="0"/>
        <w:adjustRightInd w:val="0"/>
        <w:spacing w:line="500" w:lineRule="exact"/>
        <w:ind w:firstLineChars="200" w:firstLine="560"/>
        <w:rPr>
          <w:rFonts w:ascii="宋体" w:hAnsi="宋体" w:cs="宋体" w:hint="eastAsia"/>
          <w:sz w:val="28"/>
          <w:lang w:val="zh-CN"/>
        </w:rPr>
      </w:pPr>
      <w:r w:rsidRPr="00123108">
        <w:rPr>
          <w:rFonts w:ascii="宋体" w:hAnsi="宋体" w:cs="宋体" w:hint="eastAsia"/>
          <w:sz w:val="28"/>
          <w:lang w:val="zh-CN"/>
        </w:rPr>
        <w:t xml:space="preserve">评价单元就是在危险、有害因素分析的基础上。根据评价目标和评价方法的需要，将系统分成有限的、确定范围进行评价的单元。 </w:t>
      </w:r>
    </w:p>
    <w:p w:rsidR="004F34D9" w:rsidRPr="00123108" w:rsidRDefault="004F34D9" w:rsidP="00D06780">
      <w:pPr>
        <w:autoSpaceDE w:val="0"/>
        <w:autoSpaceDN w:val="0"/>
        <w:adjustRightInd w:val="0"/>
        <w:spacing w:line="500" w:lineRule="exact"/>
        <w:ind w:firstLineChars="200" w:firstLine="560"/>
        <w:rPr>
          <w:rFonts w:ascii="宋体" w:hAnsi="宋体" w:cs="宋体" w:hint="eastAsia"/>
          <w:sz w:val="28"/>
          <w:lang w:val="zh-CN"/>
        </w:rPr>
      </w:pPr>
      <w:r w:rsidRPr="00123108">
        <w:rPr>
          <w:rFonts w:ascii="宋体" w:hAnsi="宋体" w:cs="宋体" w:hint="eastAsia"/>
          <w:sz w:val="28"/>
          <w:lang w:val="zh-CN"/>
        </w:rPr>
        <w:t>单元划分的原则主要有两条：</w:t>
      </w:r>
    </w:p>
    <w:p w:rsidR="004F34D9" w:rsidRPr="00123108" w:rsidRDefault="004F34D9" w:rsidP="00D06780">
      <w:pPr>
        <w:autoSpaceDE w:val="0"/>
        <w:autoSpaceDN w:val="0"/>
        <w:adjustRightInd w:val="0"/>
        <w:spacing w:line="500" w:lineRule="exact"/>
        <w:ind w:firstLineChars="200" w:firstLine="560"/>
        <w:rPr>
          <w:rFonts w:ascii="宋体" w:hAnsi="宋体" w:cs="宋体" w:hint="eastAsia"/>
          <w:sz w:val="28"/>
          <w:lang w:val="zh-CN"/>
        </w:rPr>
      </w:pPr>
      <w:r w:rsidRPr="00123108">
        <w:rPr>
          <w:rFonts w:ascii="宋体" w:hAnsi="宋体" w:cs="宋体" w:hint="eastAsia"/>
          <w:sz w:val="28"/>
          <w:lang w:val="zh-CN"/>
        </w:rPr>
        <w:t>（1）以危险、有害因素的类别为主划分评价单元；</w:t>
      </w:r>
    </w:p>
    <w:p w:rsidR="004F34D9" w:rsidRPr="00123108" w:rsidRDefault="004F34D9" w:rsidP="00D06780">
      <w:pPr>
        <w:autoSpaceDE w:val="0"/>
        <w:autoSpaceDN w:val="0"/>
        <w:adjustRightInd w:val="0"/>
        <w:spacing w:line="500" w:lineRule="exact"/>
        <w:ind w:firstLineChars="200" w:firstLine="560"/>
        <w:rPr>
          <w:rFonts w:ascii="宋体" w:hAnsi="宋体" w:cs="宋体" w:hint="eastAsia"/>
          <w:sz w:val="28"/>
          <w:szCs w:val="28"/>
          <w:lang w:val="zh-CN"/>
        </w:rPr>
      </w:pPr>
      <w:r w:rsidRPr="00123108">
        <w:rPr>
          <w:rFonts w:ascii="宋体" w:hAnsi="宋体" w:cs="宋体" w:hint="eastAsia"/>
          <w:sz w:val="28"/>
          <w:szCs w:val="28"/>
          <w:lang w:val="zh-CN"/>
        </w:rPr>
        <w:t>（2）以装置、设施和工艺流程的特征划分。</w:t>
      </w:r>
    </w:p>
    <w:p w:rsidR="004F34D9" w:rsidRPr="00123108" w:rsidRDefault="004F34D9" w:rsidP="00D06780">
      <w:pPr>
        <w:autoSpaceDE w:val="0"/>
        <w:autoSpaceDN w:val="0"/>
        <w:adjustRightInd w:val="0"/>
        <w:spacing w:line="500" w:lineRule="exact"/>
        <w:ind w:firstLineChars="200" w:firstLine="560"/>
        <w:rPr>
          <w:rFonts w:ascii="宋体" w:hAnsi="宋体" w:cs="宋体" w:hint="eastAsia"/>
          <w:sz w:val="28"/>
          <w:szCs w:val="28"/>
          <w:lang w:val="zh-CN"/>
        </w:rPr>
      </w:pPr>
      <w:r w:rsidRPr="00123108">
        <w:rPr>
          <w:rFonts w:ascii="宋体" w:hAnsi="宋体" w:cs="宋体" w:hint="eastAsia"/>
          <w:sz w:val="28"/>
          <w:szCs w:val="28"/>
          <w:lang w:val="zh-CN"/>
        </w:rPr>
        <w:t>另外可以将安全管理、外部周边情况分别划分为一个评价单元。</w:t>
      </w:r>
    </w:p>
    <w:p w:rsidR="004F34D9" w:rsidRPr="00123108" w:rsidRDefault="004F34D9" w:rsidP="00D06780">
      <w:pPr>
        <w:spacing w:line="500" w:lineRule="exact"/>
        <w:ind w:firstLineChars="200" w:firstLine="560"/>
        <w:rPr>
          <w:rFonts w:ascii="宋体" w:hAnsi="宋体" w:cs="宋体" w:hint="eastAsia"/>
          <w:sz w:val="28"/>
          <w:szCs w:val="28"/>
          <w:lang w:val="zh-CN"/>
        </w:rPr>
      </w:pPr>
      <w:r w:rsidRPr="00123108">
        <w:rPr>
          <w:rFonts w:ascii="宋体" w:hAnsi="宋体" w:cs="宋体" w:hint="eastAsia"/>
          <w:sz w:val="28"/>
          <w:lang w:val="zh-CN"/>
        </w:rPr>
        <w:t>本评价</w:t>
      </w:r>
      <w:r w:rsidRPr="00123108">
        <w:rPr>
          <w:rFonts w:ascii="宋体" w:hAnsi="宋体" w:cs="宋体" w:hint="eastAsia"/>
          <w:sz w:val="28"/>
          <w:szCs w:val="28"/>
          <w:lang w:val="zh-CN"/>
        </w:rPr>
        <w:t>根据该企业生产、储存的实际情况，本着全面分析、重点评价的原则，划分如下评价单元，包括：</w:t>
      </w:r>
      <w:r w:rsidRPr="00123108">
        <w:rPr>
          <w:rFonts w:ascii="宋体" w:hAnsi="宋体" w:cs="宋体" w:hint="eastAsia"/>
          <w:sz w:val="28"/>
          <w:szCs w:val="28"/>
        </w:rPr>
        <w:t>风险程度分析、安全条件分析、安全生产条件分析</w:t>
      </w:r>
      <w:r w:rsidRPr="00123108">
        <w:rPr>
          <w:rFonts w:ascii="宋体" w:hAnsi="宋体" w:cs="宋体" w:hint="eastAsia"/>
          <w:sz w:val="28"/>
          <w:szCs w:val="28"/>
          <w:lang w:val="zh-CN"/>
        </w:rPr>
        <w:t>。</w:t>
      </w:r>
    </w:p>
    <w:p w:rsidR="004F34D9" w:rsidRPr="00123108" w:rsidRDefault="004F34D9" w:rsidP="00D06780">
      <w:pPr>
        <w:pStyle w:val="2"/>
        <w:spacing w:line="500" w:lineRule="exact"/>
        <w:jc w:val="both"/>
        <w:rPr>
          <w:rFonts w:ascii="宋体" w:eastAsia="宋体" w:cs="宋体" w:hint="eastAsia"/>
          <w:sz w:val="28"/>
          <w:szCs w:val="28"/>
        </w:rPr>
      </w:pPr>
      <w:bookmarkStart w:id="842" w:name="_Toc8858"/>
      <w:bookmarkStart w:id="843" w:name="_Toc238867509"/>
      <w:bookmarkStart w:id="844" w:name="_Toc236122638"/>
      <w:bookmarkStart w:id="845" w:name="_Toc3809046"/>
      <w:bookmarkStart w:id="846" w:name="_Toc156200302"/>
      <w:bookmarkStart w:id="847" w:name="_Toc156189951"/>
      <w:bookmarkStart w:id="848" w:name="_Toc156189264"/>
      <w:bookmarkStart w:id="849" w:name="_Toc224442398"/>
      <w:bookmarkStart w:id="850" w:name="_Toc225056889"/>
      <w:bookmarkStart w:id="851" w:name="_Toc29627"/>
      <w:bookmarkStart w:id="852" w:name="_Toc156189101"/>
      <w:bookmarkStart w:id="853" w:name="_Toc2519"/>
      <w:bookmarkStart w:id="854" w:name="_Toc156199725"/>
      <w:bookmarkStart w:id="855" w:name="_Toc26609"/>
      <w:bookmarkStart w:id="856" w:name="_Toc156189762"/>
      <w:bookmarkStart w:id="857" w:name="_Toc1493"/>
      <w:bookmarkStart w:id="858" w:name="_Toc154996414"/>
      <w:bookmarkStart w:id="859" w:name="_Toc252533249"/>
      <w:bookmarkStart w:id="860" w:name="_Toc156189526"/>
      <w:bookmarkStart w:id="861" w:name="_Toc245793490"/>
      <w:bookmarkStart w:id="862" w:name="_Toc218914657"/>
      <w:bookmarkStart w:id="863" w:name="_Toc155236211"/>
      <w:bookmarkStart w:id="864" w:name="_Toc24975"/>
      <w:bookmarkStart w:id="865" w:name="_Toc190935791"/>
      <w:r w:rsidRPr="00123108">
        <w:rPr>
          <w:rFonts w:ascii="宋体" w:eastAsia="宋体" w:cs="宋体" w:hint="eastAsia"/>
          <w:sz w:val="28"/>
          <w:szCs w:val="28"/>
        </w:rPr>
        <w:t>5.2  评价方法</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rsidR="004F34D9" w:rsidRPr="00123108" w:rsidRDefault="004F34D9" w:rsidP="00D06780">
      <w:pPr>
        <w:autoSpaceDE w:val="0"/>
        <w:autoSpaceDN w:val="0"/>
        <w:adjustRightInd w:val="0"/>
        <w:spacing w:line="500" w:lineRule="exact"/>
        <w:ind w:firstLine="560"/>
        <w:rPr>
          <w:rFonts w:ascii="宋体" w:hAnsi="宋体" w:cs="宋体" w:hint="eastAsia"/>
          <w:sz w:val="28"/>
          <w:szCs w:val="28"/>
          <w:lang w:val="zh-CN"/>
        </w:rPr>
      </w:pPr>
      <w:r w:rsidRPr="00123108">
        <w:rPr>
          <w:rFonts w:ascii="宋体" w:hAnsi="宋体" w:cs="宋体" w:hint="eastAsia"/>
          <w:sz w:val="28"/>
          <w:szCs w:val="28"/>
          <w:lang w:val="zh-CN"/>
        </w:rPr>
        <w:t>根据该企业的工艺过程、生产特点、危险物料特性的分析，结合国内外评价方法，本评价采用定性、定量相结合的方法进行综合性安全评价。确定采用的评价方法有：</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（1）安全检查表（SCL）—— 定性分析法</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（2）综合分析法 —— 定性分析法</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（3）事故后果模拟分析（软件计算法） —— 定量分析法</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评价方法与评价单元见表5.2-1。</w:t>
      </w:r>
    </w:p>
    <w:p w:rsidR="004F34D9" w:rsidRPr="00123108" w:rsidRDefault="004F34D9">
      <w:pPr>
        <w:spacing w:line="360" w:lineRule="auto"/>
        <w:ind w:firstLineChars="200" w:firstLine="560"/>
        <w:rPr>
          <w:rFonts w:ascii="宋体" w:hAnsi="宋体" w:cs="宋体" w:hint="eastAsia"/>
          <w:sz w:val="28"/>
          <w:szCs w:val="28"/>
        </w:rPr>
      </w:pPr>
    </w:p>
    <w:p w:rsidR="004F34D9" w:rsidRPr="00123108" w:rsidRDefault="004F34D9">
      <w:pPr>
        <w:autoSpaceDE w:val="0"/>
        <w:autoSpaceDN w:val="0"/>
        <w:adjustRightInd w:val="0"/>
        <w:spacing w:line="360" w:lineRule="auto"/>
        <w:jc w:val="center"/>
        <w:rPr>
          <w:rFonts w:ascii="宋体" w:hAnsi="宋体" w:cs="宋体" w:hint="eastAsia"/>
          <w:b/>
          <w:sz w:val="28"/>
        </w:rPr>
      </w:pPr>
      <w:bookmarkStart w:id="866" w:name="_Toc225056890"/>
      <w:bookmarkStart w:id="867" w:name="_Toc245793189"/>
      <w:bookmarkStart w:id="868" w:name="_Toc224442400"/>
      <w:bookmarkStart w:id="869" w:name="_Toc245793491"/>
      <w:bookmarkStart w:id="870" w:name="_Toc217891008"/>
      <w:bookmarkStart w:id="871" w:name="_Toc238867510"/>
      <w:bookmarkStart w:id="872" w:name="_Toc236122639"/>
      <w:bookmarkStart w:id="873" w:name="_Toc218914659"/>
      <w:r w:rsidRPr="00123108">
        <w:rPr>
          <w:rFonts w:ascii="宋体" w:hAnsi="宋体" w:cs="宋体" w:hint="eastAsia"/>
          <w:b/>
          <w:sz w:val="28"/>
        </w:rPr>
        <w:br w:type="page"/>
      </w:r>
      <w:r w:rsidRPr="00123108">
        <w:rPr>
          <w:rFonts w:ascii="宋体" w:hAnsi="宋体" w:cs="宋体" w:hint="eastAsia"/>
          <w:b/>
          <w:sz w:val="28"/>
        </w:rPr>
        <w:lastRenderedPageBreak/>
        <w:t>表5.2-1  评价方法选择表</w:t>
      </w:r>
      <w:bookmarkEnd w:id="866"/>
      <w:bookmarkEnd w:id="867"/>
      <w:bookmarkEnd w:id="868"/>
      <w:bookmarkEnd w:id="869"/>
      <w:bookmarkEnd w:id="870"/>
      <w:bookmarkEnd w:id="871"/>
      <w:bookmarkEnd w:id="872"/>
      <w:bookmarkEnd w:id="873"/>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5074"/>
        <w:gridCol w:w="2613"/>
      </w:tblGrid>
      <w:tr w:rsidR="004F34D9" w:rsidRPr="00123108">
        <w:trPr>
          <w:trHeight w:val="397"/>
          <w:jc w:val="center"/>
        </w:trPr>
        <w:tc>
          <w:tcPr>
            <w:tcW w:w="811" w:type="pc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lang w:val="zh-CN"/>
              </w:rPr>
              <w:t>评价单元</w:t>
            </w:r>
          </w:p>
        </w:tc>
        <w:tc>
          <w:tcPr>
            <w:tcW w:w="2765" w:type="pc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lang w:val="zh-CN"/>
              </w:rPr>
              <w:t>主要评价单元的评价因子</w:t>
            </w:r>
          </w:p>
        </w:tc>
        <w:tc>
          <w:tcPr>
            <w:tcW w:w="1424" w:type="pc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lang w:val="zh-CN"/>
              </w:rPr>
              <w:t>评价方法选择</w:t>
            </w:r>
          </w:p>
        </w:tc>
      </w:tr>
      <w:tr w:rsidR="004F34D9" w:rsidRPr="00123108">
        <w:trPr>
          <w:trHeight w:val="397"/>
          <w:jc w:val="center"/>
        </w:trPr>
        <w:tc>
          <w:tcPr>
            <w:tcW w:w="811" w:type="pct"/>
            <w:vMerge w:val="restar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lang w:val="zh-CN"/>
              </w:rPr>
              <w:t>固有危险程度分析</w:t>
            </w:r>
          </w:p>
        </w:tc>
        <w:tc>
          <w:tcPr>
            <w:tcW w:w="2765" w:type="pct"/>
            <w:vAlign w:val="center"/>
          </w:tcPr>
          <w:p w:rsidR="004F34D9" w:rsidRPr="00123108" w:rsidRDefault="004F34D9">
            <w:pPr>
              <w:jc w:val="center"/>
              <w:rPr>
                <w:rFonts w:ascii="宋体" w:hAnsi="宋体" w:cs="宋体" w:hint="eastAsia"/>
              </w:rPr>
            </w:pPr>
            <w:r w:rsidRPr="00123108">
              <w:rPr>
                <w:rFonts w:ascii="宋体" w:hAnsi="宋体" w:cs="宋体" w:hint="eastAsia"/>
              </w:rPr>
              <w:t>危险化学品数量、浓度、状态、部位及其状况分析</w:t>
            </w:r>
          </w:p>
        </w:tc>
        <w:tc>
          <w:tcPr>
            <w:tcW w:w="1424" w:type="pc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lang w:val="zh-CN"/>
              </w:rPr>
              <w:t>综合分析法</w:t>
            </w:r>
          </w:p>
        </w:tc>
      </w:tr>
      <w:tr w:rsidR="004F34D9" w:rsidRPr="00123108">
        <w:trPr>
          <w:trHeight w:val="397"/>
          <w:jc w:val="center"/>
        </w:trPr>
        <w:tc>
          <w:tcPr>
            <w:tcW w:w="811" w:type="pct"/>
            <w:vMerge/>
            <w:vAlign w:val="center"/>
          </w:tcPr>
          <w:p w:rsidR="004F34D9" w:rsidRPr="00123108" w:rsidRDefault="004F34D9">
            <w:pPr>
              <w:autoSpaceDE w:val="0"/>
              <w:autoSpaceDN w:val="0"/>
              <w:adjustRightInd w:val="0"/>
              <w:jc w:val="center"/>
              <w:rPr>
                <w:rFonts w:ascii="宋体" w:hAnsi="宋体" w:cs="宋体" w:hint="eastAsia"/>
                <w:lang w:val="zh-CN"/>
              </w:rPr>
            </w:pPr>
          </w:p>
        </w:tc>
        <w:tc>
          <w:tcPr>
            <w:tcW w:w="2765" w:type="pct"/>
            <w:vAlign w:val="center"/>
          </w:tcPr>
          <w:p w:rsidR="004F34D9" w:rsidRPr="00123108" w:rsidRDefault="004F34D9">
            <w:pPr>
              <w:jc w:val="center"/>
              <w:rPr>
                <w:rFonts w:ascii="宋体" w:hAnsi="宋体" w:cs="宋体" w:hint="eastAsia"/>
              </w:rPr>
            </w:pPr>
            <w:r w:rsidRPr="00123108">
              <w:rPr>
                <w:rFonts w:hint="eastAsia"/>
                <w:szCs w:val="28"/>
              </w:rPr>
              <w:t>定量分析建设项目各个评价单元的固有危险程度</w:t>
            </w:r>
          </w:p>
        </w:tc>
        <w:tc>
          <w:tcPr>
            <w:tcW w:w="1424" w:type="pc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lang w:val="zh-CN"/>
              </w:rPr>
              <w:t>综合分析法</w:t>
            </w:r>
          </w:p>
        </w:tc>
      </w:tr>
      <w:tr w:rsidR="004F34D9" w:rsidRPr="00123108">
        <w:trPr>
          <w:trHeight w:val="397"/>
          <w:jc w:val="center"/>
        </w:trPr>
        <w:tc>
          <w:tcPr>
            <w:tcW w:w="811" w:type="pct"/>
            <w:vMerge w:val="restar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lang w:val="zh-CN"/>
              </w:rPr>
              <w:t>风险程度分析</w:t>
            </w:r>
          </w:p>
        </w:tc>
        <w:tc>
          <w:tcPr>
            <w:tcW w:w="2765" w:type="pc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lang w:val="zh-CN"/>
              </w:rPr>
              <w:t>个人风险和社会风险</w:t>
            </w:r>
          </w:p>
        </w:tc>
        <w:tc>
          <w:tcPr>
            <w:tcW w:w="1424" w:type="pc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lang w:val="zh-CN"/>
              </w:rPr>
              <w:t>事故后果模拟分析（软件计算法）</w:t>
            </w:r>
          </w:p>
        </w:tc>
      </w:tr>
      <w:tr w:rsidR="004F34D9" w:rsidRPr="00123108">
        <w:trPr>
          <w:trHeight w:val="397"/>
          <w:jc w:val="center"/>
        </w:trPr>
        <w:tc>
          <w:tcPr>
            <w:tcW w:w="811" w:type="pct"/>
            <w:vMerge/>
            <w:vAlign w:val="center"/>
          </w:tcPr>
          <w:p w:rsidR="004F34D9" w:rsidRPr="00123108" w:rsidRDefault="004F34D9">
            <w:pPr>
              <w:autoSpaceDE w:val="0"/>
              <w:autoSpaceDN w:val="0"/>
              <w:adjustRightInd w:val="0"/>
              <w:jc w:val="center"/>
              <w:rPr>
                <w:rFonts w:ascii="宋体" w:hAnsi="宋体" w:cs="宋体" w:hint="eastAsia"/>
                <w:lang w:val="zh-CN"/>
              </w:rPr>
            </w:pPr>
          </w:p>
        </w:tc>
        <w:tc>
          <w:tcPr>
            <w:tcW w:w="2765" w:type="pct"/>
            <w:vAlign w:val="center"/>
          </w:tcPr>
          <w:p w:rsidR="004F34D9" w:rsidRPr="00123108" w:rsidRDefault="004F34D9">
            <w:pPr>
              <w:autoSpaceDE w:val="0"/>
              <w:autoSpaceDN w:val="0"/>
              <w:adjustRightInd w:val="0"/>
              <w:jc w:val="center"/>
              <w:rPr>
                <w:rFonts w:ascii="宋体" w:hAnsi="宋体" w:cs="宋体" w:hint="eastAsia"/>
              </w:rPr>
            </w:pPr>
            <w:r w:rsidRPr="00123108">
              <w:rPr>
                <w:rFonts w:ascii="宋体" w:hAnsi="宋体" w:cs="宋体" w:hint="eastAsia"/>
              </w:rPr>
              <w:t>事故后果模拟</w:t>
            </w:r>
          </w:p>
        </w:tc>
        <w:tc>
          <w:tcPr>
            <w:tcW w:w="1424" w:type="pc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lang w:val="zh-CN"/>
              </w:rPr>
              <w:t>事故后果模拟分析（软件计算法）</w:t>
            </w:r>
          </w:p>
        </w:tc>
      </w:tr>
      <w:tr w:rsidR="004F34D9" w:rsidRPr="00123108">
        <w:trPr>
          <w:trHeight w:val="397"/>
          <w:jc w:val="center"/>
        </w:trPr>
        <w:tc>
          <w:tcPr>
            <w:tcW w:w="811" w:type="pct"/>
            <w:vMerge/>
            <w:vAlign w:val="center"/>
          </w:tcPr>
          <w:p w:rsidR="004F34D9" w:rsidRPr="00123108" w:rsidRDefault="004F34D9">
            <w:pPr>
              <w:autoSpaceDE w:val="0"/>
              <w:autoSpaceDN w:val="0"/>
              <w:adjustRightInd w:val="0"/>
              <w:jc w:val="center"/>
              <w:rPr>
                <w:rFonts w:ascii="宋体" w:hAnsi="宋体" w:cs="宋体" w:hint="eastAsia"/>
                <w:lang w:val="zh-CN"/>
              </w:rPr>
            </w:pPr>
          </w:p>
        </w:tc>
        <w:tc>
          <w:tcPr>
            <w:tcW w:w="2765" w:type="pct"/>
            <w:vAlign w:val="center"/>
          </w:tcPr>
          <w:p w:rsidR="004F34D9" w:rsidRPr="00123108" w:rsidRDefault="004F34D9">
            <w:pPr>
              <w:autoSpaceDE w:val="0"/>
              <w:autoSpaceDN w:val="0"/>
              <w:adjustRightInd w:val="0"/>
              <w:jc w:val="center"/>
              <w:rPr>
                <w:rFonts w:ascii="宋体" w:hAnsi="宋体" w:cs="宋体" w:hint="eastAsia"/>
              </w:rPr>
            </w:pPr>
            <w:r w:rsidRPr="00123108">
              <w:rPr>
                <w:rFonts w:ascii="宋体" w:hAnsi="宋体" w:cs="宋体" w:hint="eastAsia"/>
              </w:rPr>
              <w:t>外部安全防护距离</w:t>
            </w:r>
          </w:p>
        </w:tc>
        <w:tc>
          <w:tcPr>
            <w:tcW w:w="1424" w:type="pc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lang w:val="zh-CN"/>
              </w:rPr>
              <w:t>事故后果模拟分析（软件计算法）</w:t>
            </w:r>
          </w:p>
        </w:tc>
      </w:tr>
      <w:tr w:rsidR="004F34D9" w:rsidRPr="00123108">
        <w:trPr>
          <w:trHeight w:val="397"/>
          <w:jc w:val="center"/>
        </w:trPr>
        <w:tc>
          <w:tcPr>
            <w:tcW w:w="811" w:type="pct"/>
            <w:vMerge/>
            <w:vAlign w:val="center"/>
          </w:tcPr>
          <w:p w:rsidR="004F34D9" w:rsidRPr="00123108" w:rsidRDefault="004F34D9">
            <w:pPr>
              <w:autoSpaceDE w:val="0"/>
              <w:autoSpaceDN w:val="0"/>
              <w:adjustRightInd w:val="0"/>
              <w:jc w:val="center"/>
              <w:rPr>
                <w:rFonts w:ascii="宋体" w:hAnsi="宋体" w:cs="宋体" w:hint="eastAsia"/>
                <w:lang w:val="zh-CN"/>
              </w:rPr>
            </w:pPr>
          </w:p>
        </w:tc>
        <w:tc>
          <w:tcPr>
            <w:tcW w:w="2765" w:type="pct"/>
            <w:vAlign w:val="center"/>
          </w:tcPr>
          <w:p w:rsidR="004F34D9" w:rsidRPr="00123108" w:rsidRDefault="004F34D9">
            <w:pPr>
              <w:autoSpaceDE w:val="0"/>
              <w:autoSpaceDN w:val="0"/>
              <w:adjustRightInd w:val="0"/>
              <w:jc w:val="center"/>
              <w:rPr>
                <w:rFonts w:ascii="宋体" w:hAnsi="宋体" w:cs="宋体" w:hint="eastAsia"/>
              </w:rPr>
            </w:pPr>
            <w:r w:rsidRPr="00123108">
              <w:rPr>
                <w:rFonts w:ascii="宋体" w:hAnsi="宋体" w:cs="宋体" w:hint="eastAsia"/>
              </w:rPr>
              <w:t>多米诺效应</w:t>
            </w:r>
          </w:p>
        </w:tc>
        <w:tc>
          <w:tcPr>
            <w:tcW w:w="1424" w:type="pc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lang w:val="zh-CN"/>
              </w:rPr>
              <w:t>事故后果模拟分析（软件计算法）</w:t>
            </w:r>
          </w:p>
        </w:tc>
      </w:tr>
      <w:tr w:rsidR="004F34D9" w:rsidRPr="00123108">
        <w:trPr>
          <w:trHeight w:val="397"/>
          <w:jc w:val="center"/>
        </w:trPr>
        <w:tc>
          <w:tcPr>
            <w:tcW w:w="811" w:type="pct"/>
            <w:vMerge/>
            <w:vAlign w:val="center"/>
          </w:tcPr>
          <w:p w:rsidR="004F34D9" w:rsidRPr="00123108" w:rsidRDefault="004F34D9">
            <w:pPr>
              <w:autoSpaceDE w:val="0"/>
              <w:autoSpaceDN w:val="0"/>
              <w:adjustRightInd w:val="0"/>
              <w:jc w:val="center"/>
              <w:rPr>
                <w:rFonts w:ascii="宋体" w:hAnsi="宋体" w:cs="宋体" w:hint="eastAsia"/>
                <w:lang w:val="zh-CN"/>
              </w:rPr>
            </w:pPr>
          </w:p>
        </w:tc>
        <w:tc>
          <w:tcPr>
            <w:tcW w:w="2765" w:type="pct"/>
            <w:vAlign w:val="center"/>
          </w:tcPr>
          <w:p w:rsidR="004F34D9" w:rsidRPr="00123108" w:rsidRDefault="004F34D9">
            <w:pPr>
              <w:autoSpaceDE w:val="0"/>
              <w:autoSpaceDN w:val="0"/>
              <w:adjustRightInd w:val="0"/>
              <w:jc w:val="center"/>
              <w:rPr>
                <w:rFonts w:ascii="宋体" w:hAnsi="宋体" w:cs="宋体" w:hint="eastAsia"/>
              </w:rPr>
            </w:pPr>
            <w:r w:rsidRPr="00123108">
              <w:rPr>
                <w:rFonts w:ascii="宋体" w:hAnsi="宋体" w:cs="宋体" w:hint="eastAsia"/>
              </w:rPr>
              <w:t>道化学火灾、爆炸危险指数评价法分析</w:t>
            </w:r>
          </w:p>
        </w:tc>
        <w:tc>
          <w:tcPr>
            <w:tcW w:w="1424" w:type="pc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rPr>
              <w:t>道化学火灾、爆炸危险指数评价法</w:t>
            </w:r>
          </w:p>
        </w:tc>
      </w:tr>
      <w:tr w:rsidR="004F34D9" w:rsidRPr="00123108">
        <w:trPr>
          <w:trHeight w:val="397"/>
          <w:jc w:val="center"/>
        </w:trPr>
        <w:tc>
          <w:tcPr>
            <w:tcW w:w="811" w:type="pct"/>
            <w:vMerge w:val="restart"/>
            <w:vAlign w:val="center"/>
          </w:tcPr>
          <w:p w:rsidR="004F34D9" w:rsidRPr="00123108" w:rsidRDefault="004F34D9">
            <w:pPr>
              <w:autoSpaceDE w:val="0"/>
              <w:autoSpaceDN w:val="0"/>
              <w:adjustRightInd w:val="0"/>
              <w:jc w:val="center"/>
              <w:rPr>
                <w:rFonts w:ascii="宋体" w:hAnsi="宋体" w:cs="宋体" w:hint="eastAsia"/>
              </w:rPr>
            </w:pPr>
            <w:r w:rsidRPr="00123108">
              <w:rPr>
                <w:rFonts w:ascii="宋体" w:hAnsi="宋体" w:cs="宋体" w:hint="eastAsia"/>
              </w:rPr>
              <w:t>安全条件分析</w:t>
            </w:r>
          </w:p>
        </w:tc>
        <w:tc>
          <w:tcPr>
            <w:tcW w:w="2765" w:type="pc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lang w:val="zh-CN"/>
              </w:rPr>
              <w:t>选址及周边环境</w:t>
            </w:r>
          </w:p>
        </w:tc>
        <w:tc>
          <w:tcPr>
            <w:tcW w:w="1424" w:type="pc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lang w:val="zh-CN"/>
              </w:rPr>
              <w:t>安全检查表</w:t>
            </w:r>
          </w:p>
        </w:tc>
      </w:tr>
      <w:tr w:rsidR="004F34D9" w:rsidRPr="00123108">
        <w:trPr>
          <w:trHeight w:val="397"/>
          <w:jc w:val="center"/>
        </w:trPr>
        <w:tc>
          <w:tcPr>
            <w:tcW w:w="811" w:type="pct"/>
            <w:vMerge/>
            <w:vAlign w:val="center"/>
          </w:tcPr>
          <w:p w:rsidR="004F34D9" w:rsidRPr="00123108" w:rsidRDefault="004F34D9">
            <w:pPr>
              <w:autoSpaceDE w:val="0"/>
              <w:autoSpaceDN w:val="0"/>
              <w:adjustRightInd w:val="0"/>
              <w:jc w:val="center"/>
              <w:rPr>
                <w:rFonts w:ascii="宋体" w:hAnsi="宋体" w:cs="宋体" w:hint="eastAsia"/>
                <w:lang w:val="zh-CN"/>
              </w:rPr>
            </w:pPr>
          </w:p>
        </w:tc>
        <w:tc>
          <w:tcPr>
            <w:tcW w:w="2765" w:type="pct"/>
            <w:vAlign w:val="center"/>
          </w:tcPr>
          <w:p w:rsidR="004F34D9" w:rsidRPr="00123108" w:rsidRDefault="004F34D9">
            <w:pPr>
              <w:autoSpaceDE w:val="0"/>
              <w:autoSpaceDN w:val="0"/>
              <w:adjustRightInd w:val="0"/>
              <w:jc w:val="center"/>
              <w:rPr>
                <w:rFonts w:ascii="宋体" w:hAnsi="宋体" w:cs="宋体" w:hint="eastAsia"/>
              </w:rPr>
            </w:pPr>
            <w:r w:rsidRPr="00123108">
              <w:rPr>
                <w:rFonts w:ascii="宋体" w:hAnsi="宋体" w:cs="宋体" w:hint="eastAsia"/>
              </w:rPr>
              <w:t>与周边环境的相互影响</w:t>
            </w:r>
          </w:p>
        </w:tc>
        <w:tc>
          <w:tcPr>
            <w:tcW w:w="1424" w:type="pc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lang w:val="zh-CN"/>
              </w:rPr>
              <w:t>综合分析法</w:t>
            </w:r>
          </w:p>
        </w:tc>
      </w:tr>
      <w:tr w:rsidR="004F34D9" w:rsidRPr="00123108">
        <w:trPr>
          <w:trHeight w:val="397"/>
          <w:jc w:val="center"/>
        </w:trPr>
        <w:tc>
          <w:tcPr>
            <w:tcW w:w="811" w:type="pct"/>
            <w:vMerge/>
            <w:vAlign w:val="center"/>
          </w:tcPr>
          <w:p w:rsidR="004F34D9" w:rsidRPr="00123108" w:rsidRDefault="004F34D9">
            <w:pPr>
              <w:autoSpaceDE w:val="0"/>
              <w:autoSpaceDN w:val="0"/>
              <w:adjustRightInd w:val="0"/>
              <w:jc w:val="center"/>
              <w:rPr>
                <w:rFonts w:ascii="宋体" w:hAnsi="宋体" w:cs="宋体" w:hint="eastAsia"/>
                <w:lang w:val="zh-CN"/>
              </w:rPr>
            </w:pPr>
          </w:p>
        </w:tc>
        <w:tc>
          <w:tcPr>
            <w:tcW w:w="2765" w:type="pc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lang w:val="zh-CN"/>
              </w:rPr>
              <w:t>自然条件的影响</w:t>
            </w:r>
          </w:p>
        </w:tc>
        <w:tc>
          <w:tcPr>
            <w:tcW w:w="1424" w:type="pc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lang w:val="zh-CN"/>
              </w:rPr>
              <w:t>综合分析法</w:t>
            </w:r>
          </w:p>
        </w:tc>
      </w:tr>
      <w:tr w:rsidR="004F34D9" w:rsidRPr="00123108">
        <w:trPr>
          <w:trHeight w:val="397"/>
          <w:jc w:val="center"/>
        </w:trPr>
        <w:tc>
          <w:tcPr>
            <w:tcW w:w="811" w:type="pct"/>
            <w:vMerge w:val="restart"/>
            <w:vAlign w:val="center"/>
          </w:tcPr>
          <w:p w:rsidR="004F34D9" w:rsidRPr="00123108" w:rsidRDefault="004F34D9">
            <w:pPr>
              <w:spacing w:line="240" w:lineRule="exact"/>
              <w:jc w:val="center"/>
              <w:rPr>
                <w:rFonts w:ascii="宋体" w:hAnsi="宋体" w:cs="宋体" w:hint="eastAsia"/>
              </w:rPr>
            </w:pPr>
            <w:r w:rsidRPr="00123108">
              <w:rPr>
                <w:rFonts w:ascii="宋体" w:hAnsi="宋体" w:cs="宋体" w:hint="eastAsia"/>
              </w:rPr>
              <w:t>安全生产条件</w:t>
            </w:r>
          </w:p>
        </w:tc>
        <w:tc>
          <w:tcPr>
            <w:tcW w:w="2765" w:type="pc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rPr>
              <w:t>总平面布置评价</w:t>
            </w:r>
          </w:p>
        </w:tc>
        <w:tc>
          <w:tcPr>
            <w:tcW w:w="1424" w:type="pct"/>
            <w:vAlign w:val="center"/>
          </w:tcPr>
          <w:p w:rsidR="004F34D9" w:rsidRPr="00123108" w:rsidRDefault="004F34D9">
            <w:pPr>
              <w:spacing w:line="240" w:lineRule="exact"/>
              <w:jc w:val="center"/>
              <w:rPr>
                <w:rFonts w:ascii="宋体" w:hAnsi="宋体" w:cs="宋体" w:hint="eastAsia"/>
              </w:rPr>
            </w:pPr>
            <w:r w:rsidRPr="00123108">
              <w:rPr>
                <w:rFonts w:ascii="宋体" w:hAnsi="宋体" w:cs="宋体" w:hint="eastAsia"/>
              </w:rPr>
              <w:t>安全检查表</w:t>
            </w:r>
          </w:p>
        </w:tc>
      </w:tr>
      <w:tr w:rsidR="004F34D9" w:rsidRPr="00123108">
        <w:trPr>
          <w:trHeight w:val="397"/>
          <w:jc w:val="center"/>
        </w:trPr>
        <w:tc>
          <w:tcPr>
            <w:tcW w:w="811" w:type="pct"/>
            <w:vMerge/>
            <w:vAlign w:val="center"/>
          </w:tcPr>
          <w:p w:rsidR="004F34D9" w:rsidRPr="00123108" w:rsidRDefault="004F34D9">
            <w:pPr>
              <w:spacing w:line="240" w:lineRule="exact"/>
              <w:jc w:val="center"/>
              <w:rPr>
                <w:rFonts w:ascii="宋体" w:hAnsi="宋体" w:cs="宋体" w:hint="eastAsia"/>
              </w:rPr>
            </w:pPr>
          </w:p>
        </w:tc>
        <w:tc>
          <w:tcPr>
            <w:tcW w:w="2765" w:type="pc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rPr>
              <w:t>建构筑物布置评价</w:t>
            </w:r>
          </w:p>
        </w:tc>
        <w:tc>
          <w:tcPr>
            <w:tcW w:w="1424" w:type="pct"/>
            <w:vAlign w:val="center"/>
          </w:tcPr>
          <w:p w:rsidR="004F34D9" w:rsidRPr="00123108" w:rsidRDefault="004F34D9">
            <w:pPr>
              <w:spacing w:line="240" w:lineRule="exact"/>
              <w:jc w:val="center"/>
              <w:rPr>
                <w:rFonts w:ascii="宋体" w:hAnsi="宋体" w:cs="宋体" w:hint="eastAsia"/>
              </w:rPr>
            </w:pPr>
            <w:r w:rsidRPr="00123108">
              <w:rPr>
                <w:rFonts w:ascii="宋体" w:hAnsi="宋体" w:cs="宋体" w:hint="eastAsia"/>
              </w:rPr>
              <w:t>安全检查表</w:t>
            </w:r>
          </w:p>
        </w:tc>
      </w:tr>
      <w:tr w:rsidR="004F34D9" w:rsidRPr="00123108">
        <w:trPr>
          <w:trHeight w:val="397"/>
          <w:jc w:val="center"/>
        </w:trPr>
        <w:tc>
          <w:tcPr>
            <w:tcW w:w="811" w:type="pct"/>
            <w:vMerge/>
            <w:vAlign w:val="center"/>
          </w:tcPr>
          <w:p w:rsidR="004F34D9" w:rsidRPr="00123108" w:rsidRDefault="004F34D9">
            <w:pPr>
              <w:spacing w:line="240" w:lineRule="exact"/>
              <w:jc w:val="center"/>
              <w:rPr>
                <w:rFonts w:ascii="宋体" w:hAnsi="宋体" w:cs="宋体" w:hint="eastAsia"/>
              </w:rPr>
            </w:pPr>
          </w:p>
        </w:tc>
        <w:tc>
          <w:tcPr>
            <w:tcW w:w="2765" w:type="pc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lang w:val="zh-CN"/>
              </w:rPr>
              <w:t>物料储存及汽车装卸评价</w:t>
            </w:r>
          </w:p>
        </w:tc>
        <w:tc>
          <w:tcPr>
            <w:tcW w:w="1424" w:type="pct"/>
            <w:vAlign w:val="center"/>
          </w:tcPr>
          <w:p w:rsidR="004F34D9" w:rsidRPr="00123108" w:rsidRDefault="004F34D9">
            <w:pPr>
              <w:spacing w:line="240" w:lineRule="exact"/>
              <w:jc w:val="center"/>
              <w:rPr>
                <w:rFonts w:ascii="宋体" w:hAnsi="宋体" w:cs="宋体" w:hint="eastAsia"/>
              </w:rPr>
            </w:pPr>
            <w:r w:rsidRPr="00123108">
              <w:rPr>
                <w:rFonts w:ascii="宋体" w:hAnsi="宋体" w:cs="宋体" w:hint="eastAsia"/>
              </w:rPr>
              <w:t>安全检查表</w:t>
            </w:r>
          </w:p>
        </w:tc>
      </w:tr>
      <w:tr w:rsidR="004F34D9" w:rsidRPr="00123108">
        <w:trPr>
          <w:trHeight w:val="397"/>
          <w:jc w:val="center"/>
        </w:trPr>
        <w:tc>
          <w:tcPr>
            <w:tcW w:w="811" w:type="pct"/>
            <w:vMerge/>
            <w:vAlign w:val="center"/>
          </w:tcPr>
          <w:p w:rsidR="004F34D9" w:rsidRPr="00123108" w:rsidRDefault="004F34D9">
            <w:pPr>
              <w:spacing w:line="240" w:lineRule="exact"/>
              <w:jc w:val="center"/>
              <w:rPr>
                <w:rFonts w:ascii="宋体" w:hAnsi="宋体" w:cs="宋体" w:hint="eastAsia"/>
              </w:rPr>
            </w:pPr>
          </w:p>
        </w:tc>
        <w:tc>
          <w:tcPr>
            <w:tcW w:w="2765" w:type="pc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rPr>
              <w:t>生产工艺、设备设施评价</w:t>
            </w:r>
          </w:p>
        </w:tc>
        <w:tc>
          <w:tcPr>
            <w:tcW w:w="1424" w:type="pct"/>
            <w:vAlign w:val="center"/>
          </w:tcPr>
          <w:p w:rsidR="004F34D9" w:rsidRPr="00123108" w:rsidRDefault="004F34D9">
            <w:pPr>
              <w:spacing w:line="240" w:lineRule="exact"/>
              <w:jc w:val="center"/>
              <w:rPr>
                <w:rFonts w:ascii="宋体" w:hAnsi="宋体" w:cs="宋体" w:hint="eastAsia"/>
              </w:rPr>
            </w:pPr>
            <w:r w:rsidRPr="00123108">
              <w:rPr>
                <w:rFonts w:ascii="宋体" w:hAnsi="宋体" w:cs="宋体" w:hint="eastAsia"/>
              </w:rPr>
              <w:t>安全检查表</w:t>
            </w:r>
          </w:p>
        </w:tc>
      </w:tr>
      <w:tr w:rsidR="004F34D9" w:rsidRPr="00123108">
        <w:trPr>
          <w:trHeight w:val="397"/>
          <w:jc w:val="center"/>
        </w:trPr>
        <w:tc>
          <w:tcPr>
            <w:tcW w:w="811" w:type="pct"/>
            <w:vMerge/>
            <w:vAlign w:val="center"/>
          </w:tcPr>
          <w:p w:rsidR="004F34D9" w:rsidRPr="00123108" w:rsidRDefault="004F34D9">
            <w:pPr>
              <w:spacing w:line="240" w:lineRule="exact"/>
              <w:jc w:val="center"/>
              <w:rPr>
                <w:rFonts w:ascii="宋体" w:hAnsi="宋体" w:cs="宋体" w:hint="eastAsia"/>
              </w:rPr>
            </w:pPr>
          </w:p>
        </w:tc>
        <w:tc>
          <w:tcPr>
            <w:tcW w:w="2765" w:type="pc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rPr>
              <w:t>管道布置与使用评价</w:t>
            </w:r>
          </w:p>
        </w:tc>
        <w:tc>
          <w:tcPr>
            <w:tcW w:w="1424" w:type="pct"/>
            <w:vAlign w:val="center"/>
          </w:tcPr>
          <w:p w:rsidR="004F34D9" w:rsidRPr="00123108" w:rsidRDefault="004F34D9">
            <w:pPr>
              <w:spacing w:line="240" w:lineRule="exact"/>
              <w:jc w:val="center"/>
              <w:rPr>
                <w:rFonts w:ascii="宋体" w:hAnsi="宋体" w:cs="宋体" w:hint="eastAsia"/>
              </w:rPr>
            </w:pPr>
            <w:r w:rsidRPr="00123108">
              <w:rPr>
                <w:rFonts w:ascii="宋体" w:hAnsi="宋体" w:cs="宋体" w:hint="eastAsia"/>
              </w:rPr>
              <w:t>安全检查表</w:t>
            </w:r>
          </w:p>
        </w:tc>
      </w:tr>
      <w:tr w:rsidR="004F34D9" w:rsidRPr="00123108">
        <w:trPr>
          <w:trHeight w:val="397"/>
          <w:jc w:val="center"/>
        </w:trPr>
        <w:tc>
          <w:tcPr>
            <w:tcW w:w="811" w:type="pct"/>
            <w:vMerge/>
            <w:vAlign w:val="center"/>
          </w:tcPr>
          <w:p w:rsidR="004F34D9" w:rsidRPr="00123108" w:rsidRDefault="004F34D9">
            <w:pPr>
              <w:spacing w:line="240" w:lineRule="exact"/>
              <w:jc w:val="center"/>
              <w:rPr>
                <w:rFonts w:ascii="宋体" w:hAnsi="宋体" w:cs="宋体" w:hint="eastAsia"/>
              </w:rPr>
            </w:pPr>
          </w:p>
        </w:tc>
        <w:tc>
          <w:tcPr>
            <w:tcW w:w="2765" w:type="pc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rPr>
              <w:t>防火防爆设施评价</w:t>
            </w:r>
          </w:p>
        </w:tc>
        <w:tc>
          <w:tcPr>
            <w:tcW w:w="1424" w:type="pct"/>
            <w:vAlign w:val="center"/>
          </w:tcPr>
          <w:p w:rsidR="004F34D9" w:rsidRPr="00123108" w:rsidRDefault="004F34D9">
            <w:pPr>
              <w:spacing w:line="240" w:lineRule="exact"/>
              <w:jc w:val="center"/>
              <w:rPr>
                <w:rFonts w:ascii="宋体" w:hAnsi="宋体" w:cs="宋体" w:hint="eastAsia"/>
              </w:rPr>
            </w:pPr>
            <w:r w:rsidRPr="00123108">
              <w:rPr>
                <w:rFonts w:ascii="宋体" w:hAnsi="宋体" w:cs="宋体" w:hint="eastAsia"/>
              </w:rPr>
              <w:t>安全检查表</w:t>
            </w:r>
          </w:p>
        </w:tc>
      </w:tr>
      <w:tr w:rsidR="004F34D9" w:rsidRPr="00123108">
        <w:trPr>
          <w:trHeight w:val="397"/>
          <w:jc w:val="center"/>
        </w:trPr>
        <w:tc>
          <w:tcPr>
            <w:tcW w:w="811" w:type="pct"/>
            <w:vMerge/>
            <w:vAlign w:val="center"/>
          </w:tcPr>
          <w:p w:rsidR="004F34D9" w:rsidRPr="00123108" w:rsidRDefault="004F34D9">
            <w:pPr>
              <w:spacing w:line="240" w:lineRule="exact"/>
              <w:jc w:val="center"/>
              <w:rPr>
                <w:rFonts w:ascii="宋体" w:hAnsi="宋体" w:cs="宋体" w:hint="eastAsia"/>
              </w:rPr>
            </w:pPr>
          </w:p>
        </w:tc>
        <w:tc>
          <w:tcPr>
            <w:tcW w:w="2765" w:type="pc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rPr>
              <w:t>防雷防静电评价</w:t>
            </w:r>
          </w:p>
        </w:tc>
        <w:tc>
          <w:tcPr>
            <w:tcW w:w="1424" w:type="pct"/>
            <w:vAlign w:val="center"/>
          </w:tcPr>
          <w:p w:rsidR="004F34D9" w:rsidRPr="00123108" w:rsidRDefault="004F34D9">
            <w:pPr>
              <w:spacing w:line="240" w:lineRule="exact"/>
              <w:jc w:val="center"/>
              <w:rPr>
                <w:rFonts w:ascii="宋体" w:hAnsi="宋体" w:cs="宋体" w:hint="eastAsia"/>
              </w:rPr>
            </w:pPr>
            <w:r w:rsidRPr="00123108">
              <w:rPr>
                <w:rFonts w:ascii="宋体" w:hAnsi="宋体" w:cs="宋体" w:hint="eastAsia"/>
              </w:rPr>
              <w:t>安全检查表</w:t>
            </w:r>
          </w:p>
        </w:tc>
      </w:tr>
      <w:tr w:rsidR="004F34D9" w:rsidRPr="00123108">
        <w:trPr>
          <w:trHeight w:val="397"/>
          <w:jc w:val="center"/>
        </w:trPr>
        <w:tc>
          <w:tcPr>
            <w:tcW w:w="811" w:type="pct"/>
            <w:vMerge/>
            <w:vAlign w:val="center"/>
          </w:tcPr>
          <w:p w:rsidR="004F34D9" w:rsidRPr="00123108" w:rsidRDefault="004F34D9">
            <w:pPr>
              <w:spacing w:line="240" w:lineRule="exact"/>
              <w:jc w:val="center"/>
              <w:rPr>
                <w:rFonts w:ascii="宋体" w:hAnsi="宋体" w:cs="宋体" w:hint="eastAsia"/>
              </w:rPr>
            </w:pPr>
          </w:p>
        </w:tc>
        <w:tc>
          <w:tcPr>
            <w:tcW w:w="2765" w:type="pc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rPr>
              <w:t>消防设施评价</w:t>
            </w:r>
          </w:p>
        </w:tc>
        <w:tc>
          <w:tcPr>
            <w:tcW w:w="1424" w:type="pct"/>
            <w:vAlign w:val="center"/>
          </w:tcPr>
          <w:p w:rsidR="004F34D9" w:rsidRPr="00123108" w:rsidRDefault="004F34D9">
            <w:pPr>
              <w:spacing w:line="240" w:lineRule="exact"/>
              <w:jc w:val="center"/>
              <w:rPr>
                <w:rFonts w:ascii="宋体" w:hAnsi="宋体" w:cs="宋体" w:hint="eastAsia"/>
              </w:rPr>
            </w:pPr>
            <w:r w:rsidRPr="00123108">
              <w:rPr>
                <w:rFonts w:ascii="宋体" w:hAnsi="宋体" w:cs="宋体" w:hint="eastAsia"/>
              </w:rPr>
              <w:t>安全检查表</w:t>
            </w:r>
          </w:p>
        </w:tc>
      </w:tr>
      <w:tr w:rsidR="004F34D9" w:rsidRPr="00123108">
        <w:trPr>
          <w:trHeight w:val="397"/>
          <w:jc w:val="center"/>
        </w:trPr>
        <w:tc>
          <w:tcPr>
            <w:tcW w:w="811" w:type="pct"/>
            <w:vMerge/>
            <w:vAlign w:val="center"/>
          </w:tcPr>
          <w:p w:rsidR="004F34D9" w:rsidRPr="00123108" w:rsidRDefault="004F34D9">
            <w:pPr>
              <w:spacing w:line="240" w:lineRule="exact"/>
              <w:jc w:val="center"/>
              <w:rPr>
                <w:rFonts w:ascii="宋体" w:hAnsi="宋体" w:cs="宋体" w:hint="eastAsia"/>
              </w:rPr>
            </w:pPr>
          </w:p>
        </w:tc>
        <w:tc>
          <w:tcPr>
            <w:tcW w:w="2765" w:type="pct"/>
            <w:vAlign w:val="center"/>
          </w:tcPr>
          <w:p w:rsidR="004F34D9" w:rsidRPr="00123108" w:rsidRDefault="004F34D9">
            <w:pPr>
              <w:autoSpaceDE w:val="0"/>
              <w:autoSpaceDN w:val="0"/>
              <w:adjustRightInd w:val="0"/>
              <w:jc w:val="center"/>
              <w:rPr>
                <w:rFonts w:ascii="宋体" w:hAnsi="宋体" w:cs="宋体" w:hint="eastAsia"/>
              </w:rPr>
            </w:pPr>
            <w:r w:rsidRPr="00123108">
              <w:rPr>
                <w:rFonts w:ascii="宋体" w:hAnsi="宋体" w:cs="宋体" w:hint="eastAsia"/>
              </w:rPr>
              <w:t>电气、照明设施评价</w:t>
            </w:r>
          </w:p>
        </w:tc>
        <w:tc>
          <w:tcPr>
            <w:tcW w:w="1424" w:type="pct"/>
            <w:vAlign w:val="center"/>
          </w:tcPr>
          <w:p w:rsidR="004F34D9" w:rsidRPr="00123108" w:rsidRDefault="004F34D9">
            <w:pPr>
              <w:spacing w:line="240" w:lineRule="exact"/>
              <w:jc w:val="center"/>
              <w:rPr>
                <w:rFonts w:ascii="宋体" w:hAnsi="宋体" w:cs="宋体" w:hint="eastAsia"/>
              </w:rPr>
            </w:pPr>
            <w:r w:rsidRPr="00123108">
              <w:rPr>
                <w:rFonts w:ascii="宋体" w:hAnsi="宋体" w:cs="宋体" w:hint="eastAsia"/>
              </w:rPr>
              <w:t>安全检查表</w:t>
            </w:r>
          </w:p>
        </w:tc>
      </w:tr>
      <w:tr w:rsidR="004F34D9" w:rsidRPr="00123108">
        <w:trPr>
          <w:trHeight w:val="397"/>
          <w:jc w:val="center"/>
        </w:trPr>
        <w:tc>
          <w:tcPr>
            <w:tcW w:w="811" w:type="pct"/>
            <w:vMerge/>
            <w:vAlign w:val="center"/>
          </w:tcPr>
          <w:p w:rsidR="004F34D9" w:rsidRPr="00123108" w:rsidRDefault="004F34D9">
            <w:pPr>
              <w:spacing w:line="240" w:lineRule="exact"/>
              <w:jc w:val="center"/>
              <w:rPr>
                <w:rFonts w:ascii="宋体" w:hAnsi="宋体" w:cs="宋体" w:hint="eastAsia"/>
              </w:rPr>
            </w:pPr>
          </w:p>
        </w:tc>
        <w:tc>
          <w:tcPr>
            <w:tcW w:w="2765" w:type="pct"/>
            <w:vAlign w:val="center"/>
          </w:tcPr>
          <w:p w:rsidR="004F34D9" w:rsidRPr="00123108" w:rsidRDefault="004F34D9">
            <w:pPr>
              <w:autoSpaceDE w:val="0"/>
              <w:autoSpaceDN w:val="0"/>
              <w:adjustRightInd w:val="0"/>
              <w:jc w:val="center"/>
              <w:rPr>
                <w:rFonts w:ascii="宋体" w:hAnsi="宋体" w:cs="宋体" w:hint="eastAsia"/>
              </w:rPr>
            </w:pPr>
            <w:r w:rsidRPr="00123108">
              <w:rPr>
                <w:rFonts w:ascii="宋体" w:hAnsi="宋体" w:cs="宋体" w:hint="eastAsia"/>
              </w:rPr>
              <w:t>常规设施评价</w:t>
            </w:r>
          </w:p>
        </w:tc>
        <w:tc>
          <w:tcPr>
            <w:tcW w:w="1424" w:type="pct"/>
            <w:vAlign w:val="center"/>
          </w:tcPr>
          <w:p w:rsidR="004F34D9" w:rsidRPr="00123108" w:rsidRDefault="004F34D9">
            <w:pPr>
              <w:spacing w:line="240" w:lineRule="exact"/>
              <w:jc w:val="center"/>
              <w:rPr>
                <w:rFonts w:ascii="宋体" w:hAnsi="宋体" w:cs="宋体" w:hint="eastAsia"/>
              </w:rPr>
            </w:pPr>
            <w:r w:rsidRPr="00123108">
              <w:rPr>
                <w:rFonts w:ascii="宋体" w:hAnsi="宋体" w:cs="宋体" w:hint="eastAsia"/>
              </w:rPr>
              <w:t>安全检查表</w:t>
            </w:r>
          </w:p>
        </w:tc>
      </w:tr>
      <w:tr w:rsidR="004F34D9" w:rsidRPr="00123108">
        <w:trPr>
          <w:trHeight w:val="397"/>
          <w:jc w:val="center"/>
        </w:trPr>
        <w:tc>
          <w:tcPr>
            <w:tcW w:w="811" w:type="pct"/>
            <w:vMerge/>
            <w:vAlign w:val="center"/>
          </w:tcPr>
          <w:p w:rsidR="004F34D9" w:rsidRPr="00123108" w:rsidRDefault="004F34D9">
            <w:pPr>
              <w:spacing w:line="240" w:lineRule="exact"/>
              <w:jc w:val="center"/>
              <w:rPr>
                <w:rFonts w:ascii="宋体" w:hAnsi="宋体" w:cs="宋体" w:hint="eastAsia"/>
              </w:rPr>
            </w:pPr>
          </w:p>
        </w:tc>
        <w:tc>
          <w:tcPr>
            <w:tcW w:w="2765" w:type="pct"/>
            <w:vAlign w:val="center"/>
          </w:tcPr>
          <w:p w:rsidR="004F34D9" w:rsidRPr="00123108" w:rsidRDefault="004F34D9">
            <w:pPr>
              <w:autoSpaceDE w:val="0"/>
              <w:autoSpaceDN w:val="0"/>
              <w:adjustRightInd w:val="0"/>
              <w:jc w:val="center"/>
              <w:rPr>
                <w:rFonts w:ascii="宋体" w:hAnsi="宋体" w:cs="宋体" w:hint="eastAsia"/>
              </w:rPr>
            </w:pPr>
            <w:r w:rsidRPr="00123108">
              <w:rPr>
                <w:rFonts w:ascii="宋体" w:hAnsi="宋体" w:cs="宋体" w:hint="eastAsia"/>
              </w:rPr>
              <w:t>自动化控制系统评价</w:t>
            </w:r>
          </w:p>
        </w:tc>
        <w:tc>
          <w:tcPr>
            <w:tcW w:w="1424" w:type="pct"/>
            <w:vAlign w:val="center"/>
          </w:tcPr>
          <w:p w:rsidR="004F34D9" w:rsidRPr="00123108" w:rsidRDefault="004F34D9">
            <w:pPr>
              <w:spacing w:line="240" w:lineRule="exact"/>
              <w:jc w:val="center"/>
              <w:rPr>
                <w:rFonts w:ascii="宋体" w:hAnsi="宋体" w:cs="宋体" w:hint="eastAsia"/>
              </w:rPr>
            </w:pPr>
            <w:r w:rsidRPr="00123108">
              <w:rPr>
                <w:rFonts w:ascii="宋体" w:hAnsi="宋体" w:cs="宋体" w:hint="eastAsia"/>
              </w:rPr>
              <w:t>安全检查表</w:t>
            </w:r>
          </w:p>
        </w:tc>
      </w:tr>
      <w:tr w:rsidR="004F34D9" w:rsidRPr="00123108">
        <w:trPr>
          <w:trHeight w:val="397"/>
          <w:jc w:val="center"/>
        </w:trPr>
        <w:tc>
          <w:tcPr>
            <w:tcW w:w="811" w:type="pct"/>
            <w:vMerge/>
            <w:vAlign w:val="center"/>
          </w:tcPr>
          <w:p w:rsidR="004F34D9" w:rsidRPr="00123108" w:rsidRDefault="004F34D9">
            <w:pPr>
              <w:spacing w:line="240" w:lineRule="exact"/>
              <w:jc w:val="center"/>
              <w:rPr>
                <w:rFonts w:ascii="宋体" w:hAnsi="宋体" w:cs="宋体" w:hint="eastAsia"/>
              </w:rPr>
            </w:pPr>
          </w:p>
        </w:tc>
        <w:tc>
          <w:tcPr>
            <w:tcW w:w="2765" w:type="pct"/>
            <w:vAlign w:val="center"/>
          </w:tcPr>
          <w:p w:rsidR="004F34D9" w:rsidRPr="00123108" w:rsidRDefault="004F34D9">
            <w:pPr>
              <w:autoSpaceDE w:val="0"/>
              <w:autoSpaceDN w:val="0"/>
              <w:adjustRightInd w:val="0"/>
              <w:jc w:val="center"/>
              <w:rPr>
                <w:rFonts w:ascii="宋体" w:hAnsi="宋体" w:cs="宋体" w:hint="eastAsia"/>
              </w:rPr>
            </w:pPr>
            <w:r w:rsidRPr="00123108">
              <w:rPr>
                <w:rFonts w:ascii="宋体" w:hAnsi="宋体" w:cs="宋体" w:hint="eastAsia"/>
                <w:lang w:val="zh-CN"/>
              </w:rPr>
              <w:t>职业危害</w:t>
            </w:r>
            <w:r w:rsidRPr="00123108">
              <w:rPr>
                <w:rFonts w:ascii="宋体" w:hAnsi="宋体" w:cs="宋体" w:hint="eastAsia"/>
              </w:rPr>
              <w:t>评价</w:t>
            </w:r>
          </w:p>
        </w:tc>
        <w:tc>
          <w:tcPr>
            <w:tcW w:w="1424" w:type="pct"/>
            <w:vAlign w:val="center"/>
          </w:tcPr>
          <w:p w:rsidR="004F34D9" w:rsidRPr="00123108" w:rsidRDefault="004F34D9">
            <w:pPr>
              <w:autoSpaceDE w:val="0"/>
              <w:autoSpaceDN w:val="0"/>
              <w:adjustRightInd w:val="0"/>
              <w:jc w:val="center"/>
              <w:rPr>
                <w:rFonts w:ascii="宋体" w:hAnsi="宋体" w:cs="宋体" w:hint="eastAsia"/>
              </w:rPr>
            </w:pPr>
            <w:r w:rsidRPr="00123108">
              <w:rPr>
                <w:rFonts w:ascii="宋体" w:hAnsi="宋体" w:cs="宋体" w:hint="eastAsia"/>
                <w:lang w:val="zh-CN"/>
              </w:rPr>
              <w:t>综合分析法</w:t>
            </w:r>
          </w:p>
        </w:tc>
      </w:tr>
      <w:tr w:rsidR="004F34D9" w:rsidRPr="00123108">
        <w:trPr>
          <w:trHeight w:val="397"/>
          <w:jc w:val="center"/>
        </w:trPr>
        <w:tc>
          <w:tcPr>
            <w:tcW w:w="811" w:type="pct"/>
            <w:vMerge/>
            <w:vAlign w:val="center"/>
          </w:tcPr>
          <w:p w:rsidR="004F34D9" w:rsidRPr="00123108" w:rsidRDefault="004F34D9">
            <w:pPr>
              <w:spacing w:line="240" w:lineRule="exact"/>
              <w:jc w:val="center"/>
              <w:rPr>
                <w:rFonts w:ascii="宋体" w:hAnsi="宋体" w:cs="宋体" w:hint="eastAsia"/>
              </w:rPr>
            </w:pPr>
          </w:p>
        </w:tc>
        <w:tc>
          <w:tcPr>
            <w:tcW w:w="2765" w:type="pct"/>
            <w:vAlign w:val="center"/>
          </w:tcPr>
          <w:p w:rsidR="004F34D9" w:rsidRPr="00123108" w:rsidRDefault="004F34D9">
            <w:pPr>
              <w:autoSpaceDE w:val="0"/>
              <w:autoSpaceDN w:val="0"/>
              <w:adjustRightInd w:val="0"/>
              <w:jc w:val="center"/>
              <w:rPr>
                <w:rFonts w:ascii="宋体" w:hAnsi="宋体" w:cs="宋体" w:hint="eastAsia"/>
              </w:rPr>
            </w:pPr>
            <w:r w:rsidRPr="00123108">
              <w:rPr>
                <w:rFonts w:ascii="宋体" w:hAnsi="宋体" w:cs="宋体" w:hint="eastAsia"/>
                <w:lang w:val="zh-CN"/>
              </w:rPr>
              <w:t>劳动防护用品</w:t>
            </w:r>
            <w:r w:rsidRPr="00123108">
              <w:rPr>
                <w:rFonts w:ascii="宋体" w:hAnsi="宋体" w:cs="宋体" w:hint="eastAsia"/>
              </w:rPr>
              <w:t>评价</w:t>
            </w:r>
          </w:p>
        </w:tc>
        <w:tc>
          <w:tcPr>
            <w:tcW w:w="1424" w:type="pct"/>
            <w:vAlign w:val="center"/>
          </w:tcPr>
          <w:p w:rsidR="004F34D9" w:rsidRPr="00123108" w:rsidRDefault="004F34D9">
            <w:pPr>
              <w:autoSpaceDE w:val="0"/>
              <w:autoSpaceDN w:val="0"/>
              <w:adjustRightInd w:val="0"/>
              <w:jc w:val="center"/>
              <w:rPr>
                <w:rFonts w:ascii="宋体" w:hAnsi="宋体" w:cs="宋体" w:hint="eastAsia"/>
              </w:rPr>
            </w:pPr>
            <w:r w:rsidRPr="00123108">
              <w:rPr>
                <w:rFonts w:ascii="宋体" w:hAnsi="宋体" w:cs="宋体" w:hint="eastAsia"/>
                <w:lang w:val="zh-CN"/>
              </w:rPr>
              <w:t>综合分析法</w:t>
            </w:r>
          </w:p>
        </w:tc>
      </w:tr>
      <w:tr w:rsidR="004F34D9" w:rsidRPr="00123108">
        <w:trPr>
          <w:trHeight w:val="397"/>
          <w:jc w:val="center"/>
        </w:trPr>
        <w:tc>
          <w:tcPr>
            <w:tcW w:w="811" w:type="pct"/>
            <w:vMerge/>
            <w:vAlign w:val="center"/>
          </w:tcPr>
          <w:p w:rsidR="004F34D9" w:rsidRPr="00123108" w:rsidRDefault="004F34D9">
            <w:pPr>
              <w:spacing w:line="240" w:lineRule="exact"/>
              <w:jc w:val="center"/>
              <w:rPr>
                <w:rFonts w:ascii="宋体" w:hAnsi="宋体" w:cs="宋体" w:hint="eastAsia"/>
              </w:rPr>
            </w:pPr>
          </w:p>
        </w:tc>
        <w:tc>
          <w:tcPr>
            <w:tcW w:w="2765" w:type="pct"/>
            <w:vAlign w:val="center"/>
          </w:tcPr>
          <w:p w:rsidR="004F34D9" w:rsidRPr="00123108" w:rsidRDefault="004F34D9">
            <w:pPr>
              <w:autoSpaceDE w:val="0"/>
              <w:autoSpaceDN w:val="0"/>
              <w:adjustRightInd w:val="0"/>
              <w:jc w:val="center"/>
              <w:rPr>
                <w:rFonts w:ascii="宋体" w:hAnsi="宋体" w:cs="宋体" w:hint="eastAsia"/>
              </w:rPr>
            </w:pPr>
            <w:r w:rsidRPr="00123108">
              <w:rPr>
                <w:rFonts w:ascii="宋体" w:hAnsi="宋体" w:cs="宋体" w:hint="eastAsia"/>
              </w:rPr>
              <w:t>《化工企业安全检查重点指导目录》符合性检查</w:t>
            </w:r>
          </w:p>
        </w:tc>
        <w:tc>
          <w:tcPr>
            <w:tcW w:w="1424" w:type="pct"/>
            <w:vAlign w:val="center"/>
          </w:tcPr>
          <w:p w:rsidR="004F34D9" w:rsidRPr="00123108" w:rsidRDefault="004F34D9">
            <w:pPr>
              <w:spacing w:line="240" w:lineRule="exact"/>
              <w:jc w:val="center"/>
              <w:rPr>
                <w:rFonts w:ascii="宋体" w:hAnsi="宋体" w:cs="宋体" w:hint="eastAsia"/>
              </w:rPr>
            </w:pPr>
            <w:r w:rsidRPr="00123108">
              <w:rPr>
                <w:rFonts w:ascii="宋体" w:hAnsi="宋体" w:cs="宋体" w:hint="eastAsia"/>
              </w:rPr>
              <w:t>安全检查表</w:t>
            </w:r>
          </w:p>
        </w:tc>
      </w:tr>
      <w:tr w:rsidR="004F34D9" w:rsidRPr="00123108">
        <w:trPr>
          <w:trHeight w:val="396"/>
          <w:jc w:val="center"/>
        </w:trPr>
        <w:tc>
          <w:tcPr>
            <w:tcW w:w="811" w:type="pct"/>
            <w:vMerge/>
            <w:vAlign w:val="center"/>
          </w:tcPr>
          <w:p w:rsidR="004F34D9" w:rsidRPr="00123108" w:rsidRDefault="004F34D9">
            <w:pPr>
              <w:spacing w:line="240" w:lineRule="exact"/>
              <w:jc w:val="center"/>
              <w:rPr>
                <w:rFonts w:ascii="宋体" w:hAnsi="宋体" w:cs="宋体" w:hint="eastAsia"/>
              </w:rPr>
            </w:pPr>
          </w:p>
        </w:tc>
        <w:tc>
          <w:tcPr>
            <w:tcW w:w="2765" w:type="pct"/>
            <w:vAlign w:val="center"/>
          </w:tcPr>
          <w:p w:rsidR="004F34D9" w:rsidRPr="00123108" w:rsidRDefault="004F34D9">
            <w:pPr>
              <w:autoSpaceDE w:val="0"/>
              <w:autoSpaceDN w:val="0"/>
              <w:adjustRightInd w:val="0"/>
              <w:jc w:val="center"/>
              <w:rPr>
                <w:rFonts w:ascii="宋体" w:hAnsi="宋体" w:cs="宋体" w:hint="eastAsia"/>
              </w:rPr>
            </w:pPr>
            <w:r w:rsidRPr="00123108">
              <w:rPr>
                <w:rFonts w:ascii="宋体" w:hAnsi="宋体" w:cs="宋体" w:hint="eastAsia"/>
              </w:rPr>
              <w:t>重大生产安全事故隐患判定</w:t>
            </w:r>
          </w:p>
        </w:tc>
        <w:tc>
          <w:tcPr>
            <w:tcW w:w="1424" w:type="pct"/>
            <w:vAlign w:val="center"/>
          </w:tcPr>
          <w:p w:rsidR="004F34D9" w:rsidRPr="00123108" w:rsidRDefault="004F34D9">
            <w:pPr>
              <w:spacing w:line="240" w:lineRule="exact"/>
              <w:jc w:val="center"/>
              <w:rPr>
                <w:rFonts w:ascii="宋体" w:hAnsi="宋体" w:cs="宋体" w:hint="eastAsia"/>
              </w:rPr>
            </w:pPr>
            <w:r w:rsidRPr="00123108">
              <w:rPr>
                <w:rFonts w:ascii="宋体" w:hAnsi="宋体" w:cs="宋体" w:hint="eastAsia"/>
              </w:rPr>
              <w:t>安全检查表</w:t>
            </w:r>
          </w:p>
        </w:tc>
      </w:tr>
      <w:tr w:rsidR="004F34D9" w:rsidRPr="00123108">
        <w:trPr>
          <w:trHeight w:val="397"/>
          <w:jc w:val="center"/>
        </w:trPr>
        <w:tc>
          <w:tcPr>
            <w:tcW w:w="811" w:type="pct"/>
            <w:vMerge/>
            <w:vAlign w:val="center"/>
          </w:tcPr>
          <w:p w:rsidR="004F34D9" w:rsidRPr="00123108" w:rsidRDefault="004F34D9">
            <w:pPr>
              <w:spacing w:line="240" w:lineRule="exact"/>
              <w:jc w:val="center"/>
              <w:rPr>
                <w:rFonts w:ascii="宋体" w:hAnsi="宋体" w:cs="宋体" w:hint="eastAsia"/>
              </w:rPr>
            </w:pPr>
          </w:p>
        </w:tc>
        <w:tc>
          <w:tcPr>
            <w:tcW w:w="2765" w:type="pct"/>
            <w:vAlign w:val="center"/>
          </w:tcPr>
          <w:p w:rsidR="004F34D9" w:rsidRPr="00123108" w:rsidRDefault="004F34D9">
            <w:pPr>
              <w:autoSpaceDE w:val="0"/>
              <w:autoSpaceDN w:val="0"/>
              <w:adjustRightInd w:val="0"/>
              <w:jc w:val="center"/>
              <w:rPr>
                <w:rFonts w:ascii="宋体" w:hAnsi="宋体" w:cs="宋体" w:hint="eastAsia"/>
              </w:rPr>
            </w:pPr>
            <w:r w:rsidRPr="00123108">
              <w:rPr>
                <w:rFonts w:ascii="宋体" w:hAnsi="宋体" w:cs="宋体" w:hint="eastAsia"/>
              </w:rPr>
              <w:t>两重点一重大评价</w:t>
            </w:r>
          </w:p>
        </w:tc>
        <w:tc>
          <w:tcPr>
            <w:tcW w:w="1424" w:type="pct"/>
            <w:vAlign w:val="center"/>
          </w:tcPr>
          <w:p w:rsidR="004F34D9" w:rsidRPr="00123108" w:rsidRDefault="004F34D9">
            <w:pPr>
              <w:spacing w:line="240" w:lineRule="exact"/>
              <w:jc w:val="center"/>
              <w:rPr>
                <w:rFonts w:ascii="宋体" w:hAnsi="宋体" w:cs="宋体" w:hint="eastAsia"/>
              </w:rPr>
            </w:pPr>
            <w:r w:rsidRPr="00123108">
              <w:rPr>
                <w:rFonts w:ascii="宋体" w:hAnsi="宋体" w:cs="宋体" w:hint="eastAsia"/>
              </w:rPr>
              <w:t>安全检查表</w:t>
            </w:r>
          </w:p>
        </w:tc>
      </w:tr>
      <w:tr w:rsidR="004F34D9" w:rsidRPr="00123108">
        <w:trPr>
          <w:trHeight w:val="397"/>
          <w:jc w:val="center"/>
        </w:trPr>
        <w:tc>
          <w:tcPr>
            <w:tcW w:w="811" w:type="pct"/>
            <w:vMerge/>
            <w:vAlign w:val="center"/>
          </w:tcPr>
          <w:p w:rsidR="004F34D9" w:rsidRPr="00123108" w:rsidRDefault="004F34D9">
            <w:pPr>
              <w:spacing w:line="240" w:lineRule="exact"/>
              <w:jc w:val="center"/>
              <w:rPr>
                <w:rFonts w:ascii="宋体" w:hAnsi="宋体" w:cs="宋体" w:hint="eastAsia"/>
              </w:rPr>
            </w:pPr>
          </w:p>
        </w:tc>
        <w:tc>
          <w:tcPr>
            <w:tcW w:w="2765" w:type="pct"/>
            <w:vAlign w:val="center"/>
          </w:tcPr>
          <w:p w:rsidR="004F34D9" w:rsidRPr="00123108" w:rsidRDefault="004F34D9">
            <w:pPr>
              <w:autoSpaceDE w:val="0"/>
              <w:autoSpaceDN w:val="0"/>
              <w:adjustRightInd w:val="0"/>
              <w:jc w:val="center"/>
              <w:rPr>
                <w:rFonts w:ascii="宋体" w:hAnsi="宋体" w:cs="宋体" w:hint="eastAsia"/>
              </w:rPr>
            </w:pPr>
            <w:r w:rsidRPr="00123108">
              <w:rPr>
                <w:rFonts w:ascii="宋体" w:hAnsi="宋体" w:cs="宋体" w:hint="eastAsia"/>
              </w:rPr>
              <w:t>安全生产管理评价</w:t>
            </w:r>
          </w:p>
        </w:tc>
        <w:tc>
          <w:tcPr>
            <w:tcW w:w="1424" w:type="pct"/>
            <w:vAlign w:val="center"/>
          </w:tcPr>
          <w:p w:rsidR="004F34D9" w:rsidRPr="00123108" w:rsidRDefault="004F34D9">
            <w:pPr>
              <w:spacing w:line="240" w:lineRule="exact"/>
              <w:jc w:val="center"/>
              <w:rPr>
                <w:rFonts w:ascii="宋体" w:hAnsi="宋体" w:cs="宋体" w:hint="eastAsia"/>
              </w:rPr>
            </w:pPr>
            <w:r w:rsidRPr="00123108">
              <w:rPr>
                <w:rFonts w:ascii="宋体" w:hAnsi="宋体" w:cs="宋体" w:hint="eastAsia"/>
              </w:rPr>
              <w:t>安全检查表</w:t>
            </w:r>
          </w:p>
        </w:tc>
      </w:tr>
      <w:tr w:rsidR="004F34D9" w:rsidRPr="00123108">
        <w:trPr>
          <w:trHeight w:val="397"/>
          <w:jc w:val="center"/>
        </w:trPr>
        <w:tc>
          <w:tcPr>
            <w:tcW w:w="811" w:type="pct"/>
            <w:vMerge/>
            <w:vAlign w:val="center"/>
          </w:tcPr>
          <w:p w:rsidR="004F34D9" w:rsidRPr="00123108" w:rsidRDefault="004F34D9">
            <w:pPr>
              <w:spacing w:line="240" w:lineRule="exact"/>
              <w:jc w:val="center"/>
              <w:rPr>
                <w:rFonts w:ascii="宋体" w:hAnsi="宋体" w:cs="宋体" w:hint="eastAsia"/>
              </w:rPr>
            </w:pPr>
          </w:p>
        </w:tc>
        <w:tc>
          <w:tcPr>
            <w:tcW w:w="2765" w:type="pct"/>
            <w:vAlign w:val="center"/>
          </w:tcPr>
          <w:p w:rsidR="004F34D9" w:rsidRPr="00123108" w:rsidRDefault="004F34D9">
            <w:pPr>
              <w:autoSpaceDE w:val="0"/>
              <w:autoSpaceDN w:val="0"/>
              <w:adjustRightInd w:val="0"/>
              <w:jc w:val="center"/>
              <w:rPr>
                <w:rFonts w:ascii="宋体" w:hAnsi="宋体" w:cs="宋体" w:hint="eastAsia"/>
              </w:rPr>
            </w:pPr>
            <w:r w:rsidRPr="00123108">
              <w:rPr>
                <w:rFonts w:ascii="宋体" w:hAnsi="宋体" w:cs="宋体" w:hint="eastAsia"/>
              </w:rPr>
              <w:t>特殊作业安全评价</w:t>
            </w:r>
          </w:p>
        </w:tc>
        <w:tc>
          <w:tcPr>
            <w:tcW w:w="1424" w:type="pct"/>
            <w:vAlign w:val="center"/>
          </w:tcPr>
          <w:p w:rsidR="004F34D9" w:rsidRPr="00123108" w:rsidRDefault="004F34D9">
            <w:pPr>
              <w:spacing w:line="240" w:lineRule="exact"/>
              <w:jc w:val="center"/>
              <w:rPr>
                <w:rFonts w:ascii="宋体" w:hAnsi="宋体" w:cs="宋体" w:hint="eastAsia"/>
              </w:rPr>
            </w:pPr>
            <w:r w:rsidRPr="00123108">
              <w:rPr>
                <w:rFonts w:ascii="宋体" w:hAnsi="宋体" w:cs="宋体" w:hint="eastAsia"/>
              </w:rPr>
              <w:t>安全检查表</w:t>
            </w:r>
          </w:p>
        </w:tc>
      </w:tr>
      <w:tr w:rsidR="004F34D9" w:rsidRPr="00123108">
        <w:trPr>
          <w:trHeight w:val="397"/>
          <w:jc w:val="center"/>
        </w:trPr>
        <w:tc>
          <w:tcPr>
            <w:tcW w:w="811" w:type="pct"/>
            <w:vMerge/>
            <w:vAlign w:val="center"/>
          </w:tcPr>
          <w:p w:rsidR="004F34D9" w:rsidRPr="00123108" w:rsidRDefault="004F34D9">
            <w:pPr>
              <w:spacing w:line="240" w:lineRule="exact"/>
              <w:jc w:val="center"/>
              <w:rPr>
                <w:rFonts w:ascii="宋体" w:hAnsi="宋体" w:cs="宋体" w:hint="eastAsia"/>
              </w:rPr>
            </w:pPr>
          </w:p>
        </w:tc>
        <w:tc>
          <w:tcPr>
            <w:tcW w:w="2765" w:type="pct"/>
            <w:vAlign w:val="center"/>
          </w:tcPr>
          <w:p w:rsidR="004F34D9" w:rsidRPr="00123108" w:rsidRDefault="004F34D9">
            <w:pPr>
              <w:autoSpaceDE w:val="0"/>
              <w:autoSpaceDN w:val="0"/>
              <w:adjustRightInd w:val="0"/>
              <w:jc w:val="center"/>
              <w:rPr>
                <w:rFonts w:ascii="宋体" w:hAnsi="宋体" w:cs="宋体" w:hint="eastAsia"/>
              </w:rPr>
            </w:pPr>
            <w:r w:rsidRPr="00123108">
              <w:rPr>
                <w:rFonts w:ascii="宋体" w:hAnsi="宋体" w:cs="宋体" w:hint="eastAsia"/>
              </w:rPr>
              <w:t>安全生产许可证换证符合性检查</w:t>
            </w:r>
          </w:p>
        </w:tc>
        <w:tc>
          <w:tcPr>
            <w:tcW w:w="1424" w:type="pct"/>
            <w:vAlign w:val="center"/>
          </w:tcPr>
          <w:p w:rsidR="004F34D9" w:rsidRPr="00123108" w:rsidRDefault="004F34D9">
            <w:pPr>
              <w:spacing w:line="240" w:lineRule="exact"/>
              <w:jc w:val="center"/>
              <w:rPr>
                <w:rFonts w:ascii="宋体" w:hAnsi="宋体" w:cs="宋体" w:hint="eastAsia"/>
              </w:rPr>
            </w:pPr>
            <w:r w:rsidRPr="00123108">
              <w:rPr>
                <w:rFonts w:ascii="宋体" w:hAnsi="宋体" w:cs="宋体" w:hint="eastAsia"/>
              </w:rPr>
              <w:t>安全检查表</w:t>
            </w:r>
          </w:p>
        </w:tc>
      </w:tr>
      <w:tr w:rsidR="004F34D9" w:rsidRPr="00123108">
        <w:trPr>
          <w:trHeight w:val="397"/>
          <w:jc w:val="center"/>
        </w:trPr>
        <w:tc>
          <w:tcPr>
            <w:tcW w:w="811" w:type="pct"/>
            <w:vMerge/>
            <w:vAlign w:val="center"/>
          </w:tcPr>
          <w:p w:rsidR="004F34D9" w:rsidRPr="00123108" w:rsidRDefault="004F34D9">
            <w:pPr>
              <w:spacing w:line="240" w:lineRule="exact"/>
              <w:jc w:val="center"/>
              <w:rPr>
                <w:rFonts w:ascii="宋体" w:hAnsi="宋体" w:cs="宋体" w:hint="eastAsia"/>
              </w:rPr>
            </w:pPr>
          </w:p>
        </w:tc>
        <w:tc>
          <w:tcPr>
            <w:tcW w:w="2765" w:type="pct"/>
            <w:vAlign w:val="center"/>
          </w:tcPr>
          <w:p w:rsidR="004F34D9" w:rsidRPr="00123108" w:rsidRDefault="004F34D9">
            <w:pPr>
              <w:autoSpaceDE w:val="0"/>
              <w:autoSpaceDN w:val="0"/>
              <w:adjustRightInd w:val="0"/>
              <w:jc w:val="center"/>
              <w:rPr>
                <w:rFonts w:ascii="宋体" w:hAnsi="宋体" w:cs="宋体" w:hint="eastAsia"/>
              </w:rPr>
            </w:pPr>
            <w:r w:rsidRPr="00123108">
              <w:rPr>
                <w:rFonts w:ascii="宋体" w:hAnsi="宋体" w:cs="宋体" w:hint="eastAsia"/>
                <w:lang w:val="zh-CN"/>
              </w:rPr>
              <w:t>危险化学品企业安全风险隐患排查</w:t>
            </w:r>
          </w:p>
        </w:tc>
        <w:tc>
          <w:tcPr>
            <w:tcW w:w="1424" w:type="pct"/>
            <w:vAlign w:val="center"/>
          </w:tcPr>
          <w:p w:rsidR="004F34D9" w:rsidRPr="00123108" w:rsidRDefault="004F34D9">
            <w:pPr>
              <w:spacing w:line="240" w:lineRule="exact"/>
              <w:jc w:val="center"/>
              <w:rPr>
                <w:rFonts w:ascii="宋体" w:hAnsi="宋体" w:cs="宋体" w:hint="eastAsia"/>
              </w:rPr>
            </w:pPr>
            <w:r w:rsidRPr="00123108">
              <w:rPr>
                <w:rFonts w:ascii="宋体" w:hAnsi="宋体" w:cs="宋体" w:hint="eastAsia"/>
              </w:rPr>
              <w:t>安全检查表</w:t>
            </w:r>
          </w:p>
        </w:tc>
      </w:tr>
      <w:tr w:rsidR="004F34D9" w:rsidRPr="00123108">
        <w:trPr>
          <w:trHeight w:val="397"/>
          <w:jc w:val="center"/>
        </w:trPr>
        <w:tc>
          <w:tcPr>
            <w:tcW w:w="811" w:type="pct"/>
            <w:vMerge/>
            <w:vAlign w:val="center"/>
          </w:tcPr>
          <w:p w:rsidR="004F34D9" w:rsidRPr="00123108" w:rsidRDefault="004F34D9">
            <w:pPr>
              <w:spacing w:line="240" w:lineRule="exact"/>
              <w:jc w:val="center"/>
              <w:rPr>
                <w:rFonts w:ascii="宋体" w:hAnsi="宋体" w:cs="宋体" w:hint="eastAsia"/>
              </w:rPr>
            </w:pPr>
          </w:p>
        </w:tc>
        <w:tc>
          <w:tcPr>
            <w:tcW w:w="2765" w:type="pc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lang w:val="zh-CN"/>
              </w:rPr>
              <w:t>安全生产专项提升整治检查</w:t>
            </w:r>
          </w:p>
        </w:tc>
        <w:tc>
          <w:tcPr>
            <w:tcW w:w="1424" w:type="pct"/>
            <w:vAlign w:val="center"/>
          </w:tcPr>
          <w:p w:rsidR="004F34D9" w:rsidRPr="00123108" w:rsidRDefault="004F34D9">
            <w:pPr>
              <w:spacing w:line="240" w:lineRule="exact"/>
              <w:jc w:val="center"/>
              <w:rPr>
                <w:rFonts w:ascii="宋体" w:hAnsi="宋体" w:cs="宋体" w:hint="eastAsia"/>
              </w:rPr>
            </w:pPr>
            <w:r w:rsidRPr="00123108">
              <w:rPr>
                <w:rFonts w:ascii="宋体" w:hAnsi="宋体" w:cs="宋体" w:hint="eastAsia"/>
              </w:rPr>
              <w:t>安全检查表</w:t>
            </w:r>
          </w:p>
        </w:tc>
      </w:tr>
      <w:tr w:rsidR="004F34D9" w:rsidRPr="00123108">
        <w:trPr>
          <w:trHeight w:val="397"/>
          <w:jc w:val="center"/>
        </w:trPr>
        <w:tc>
          <w:tcPr>
            <w:tcW w:w="811" w:type="pct"/>
            <w:vMerge/>
            <w:vAlign w:val="center"/>
          </w:tcPr>
          <w:p w:rsidR="004F34D9" w:rsidRPr="00123108" w:rsidRDefault="004F34D9">
            <w:pPr>
              <w:spacing w:line="240" w:lineRule="exact"/>
              <w:jc w:val="center"/>
              <w:rPr>
                <w:rFonts w:ascii="宋体" w:hAnsi="宋体" w:cs="宋体" w:hint="eastAsia"/>
              </w:rPr>
            </w:pPr>
          </w:p>
        </w:tc>
        <w:tc>
          <w:tcPr>
            <w:tcW w:w="2765" w:type="pct"/>
            <w:vAlign w:val="center"/>
          </w:tcPr>
          <w:p w:rsidR="004F34D9" w:rsidRPr="00123108" w:rsidRDefault="004F34D9">
            <w:pPr>
              <w:autoSpaceDE w:val="0"/>
              <w:autoSpaceDN w:val="0"/>
              <w:adjustRightInd w:val="0"/>
              <w:jc w:val="center"/>
              <w:rPr>
                <w:rFonts w:ascii="宋体" w:hAnsi="宋体" w:cs="宋体" w:hint="eastAsia"/>
                <w:lang w:val="zh-CN"/>
              </w:rPr>
            </w:pPr>
            <w:r w:rsidRPr="00123108">
              <w:rPr>
                <w:rFonts w:ascii="宋体" w:hAnsi="宋体" w:cs="宋体" w:hint="eastAsia"/>
              </w:rPr>
              <w:t>环保设施安全风险评价</w:t>
            </w:r>
          </w:p>
        </w:tc>
        <w:tc>
          <w:tcPr>
            <w:tcW w:w="1424" w:type="pct"/>
            <w:vAlign w:val="center"/>
          </w:tcPr>
          <w:p w:rsidR="004F34D9" w:rsidRPr="00123108" w:rsidRDefault="004F34D9">
            <w:pPr>
              <w:spacing w:line="240" w:lineRule="exact"/>
              <w:jc w:val="center"/>
              <w:rPr>
                <w:rFonts w:ascii="宋体" w:hAnsi="宋体" w:cs="宋体" w:hint="eastAsia"/>
              </w:rPr>
            </w:pPr>
            <w:r w:rsidRPr="00123108">
              <w:rPr>
                <w:rFonts w:ascii="宋体" w:hAnsi="宋体" w:cs="宋体" w:hint="eastAsia"/>
              </w:rPr>
              <w:t>安全检查表、</w:t>
            </w:r>
            <w:r w:rsidRPr="00123108">
              <w:rPr>
                <w:rFonts w:ascii="宋体" w:hAnsi="宋体" w:cs="宋体" w:hint="eastAsia"/>
                <w:lang w:val="zh-CN"/>
              </w:rPr>
              <w:t>综合分析法</w:t>
            </w:r>
          </w:p>
        </w:tc>
      </w:tr>
      <w:tr w:rsidR="004F34D9" w:rsidRPr="00123108">
        <w:trPr>
          <w:trHeight w:val="397"/>
          <w:jc w:val="center"/>
        </w:trPr>
        <w:tc>
          <w:tcPr>
            <w:tcW w:w="811" w:type="pct"/>
            <w:vMerge/>
            <w:vAlign w:val="center"/>
          </w:tcPr>
          <w:p w:rsidR="004F34D9" w:rsidRPr="00123108" w:rsidRDefault="004F34D9">
            <w:pPr>
              <w:spacing w:line="240" w:lineRule="exact"/>
              <w:jc w:val="center"/>
              <w:rPr>
                <w:rFonts w:ascii="宋体" w:hAnsi="宋体" w:cs="宋体" w:hint="eastAsia"/>
              </w:rPr>
            </w:pPr>
          </w:p>
        </w:tc>
        <w:tc>
          <w:tcPr>
            <w:tcW w:w="2765" w:type="pct"/>
            <w:vAlign w:val="center"/>
          </w:tcPr>
          <w:p w:rsidR="004F34D9" w:rsidRPr="00123108" w:rsidRDefault="004F34D9">
            <w:pPr>
              <w:autoSpaceDE w:val="0"/>
              <w:autoSpaceDN w:val="0"/>
              <w:adjustRightInd w:val="0"/>
              <w:jc w:val="center"/>
              <w:rPr>
                <w:rFonts w:ascii="宋体" w:hAnsi="宋体" w:cs="宋体" w:hint="eastAsia"/>
              </w:rPr>
            </w:pPr>
            <w:r w:rsidRPr="00123108">
              <w:rPr>
                <w:rFonts w:ascii="宋体" w:hAnsi="宋体" w:cs="宋体" w:hint="eastAsia"/>
              </w:rPr>
              <w:t>本次安全评价与上次安全评价之间的变化分析</w:t>
            </w:r>
          </w:p>
        </w:tc>
        <w:tc>
          <w:tcPr>
            <w:tcW w:w="1424" w:type="pct"/>
            <w:vAlign w:val="center"/>
          </w:tcPr>
          <w:p w:rsidR="004F34D9" w:rsidRPr="00123108" w:rsidRDefault="004F34D9">
            <w:pPr>
              <w:autoSpaceDE w:val="0"/>
              <w:autoSpaceDN w:val="0"/>
              <w:adjustRightInd w:val="0"/>
              <w:jc w:val="center"/>
              <w:rPr>
                <w:rFonts w:ascii="宋体" w:hAnsi="宋体" w:cs="宋体" w:hint="eastAsia"/>
              </w:rPr>
            </w:pPr>
            <w:r w:rsidRPr="00123108">
              <w:rPr>
                <w:rFonts w:ascii="宋体" w:hAnsi="宋体" w:cs="宋体" w:hint="eastAsia"/>
                <w:lang w:val="zh-CN"/>
              </w:rPr>
              <w:t>综合分析法</w:t>
            </w:r>
          </w:p>
        </w:tc>
      </w:tr>
      <w:tr w:rsidR="004F34D9" w:rsidRPr="00123108">
        <w:trPr>
          <w:trHeight w:val="397"/>
          <w:jc w:val="center"/>
        </w:trPr>
        <w:tc>
          <w:tcPr>
            <w:tcW w:w="811" w:type="pct"/>
            <w:vMerge/>
            <w:vAlign w:val="center"/>
          </w:tcPr>
          <w:p w:rsidR="004F34D9" w:rsidRPr="00123108" w:rsidRDefault="004F34D9">
            <w:pPr>
              <w:spacing w:line="240" w:lineRule="exact"/>
              <w:jc w:val="center"/>
              <w:rPr>
                <w:rFonts w:ascii="宋体" w:hAnsi="宋体" w:cs="宋体" w:hint="eastAsia"/>
              </w:rPr>
            </w:pPr>
          </w:p>
        </w:tc>
        <w:tc>
          <w:tcPr>
            <w:tcW w:w="2765" w:type="pct"/>
            <w:vAlign w:val="center"/>
          </w:tcPr>
          <w:p w:rsidR="004F34D9" w:rsidRPr="00123108" w:rsidRDefault="004F34D9">
            <w:pPr>
              <w:autoSpaceDE w:val="0"/>
              <w:autoSpaceDN w:val="0"/>
              <w:adjustRightInd w:val="0"/>
              <w:jc w:val="center"/>
              <w:rPr>
                <w:rFonts w:ascii="宋体" w:hAnsi="宋体" w:cs="宋体" w:hint="eastAsia"/>
              </w:rPr>
            </w:pPr>
            <w:r w:rsidRPr="00123108">
              <w:rPr>
                <w:rFonts w:ascii="宋体" w:hAnsi="宋体" w:cs="宋体" w:hint="eastAsia"/>
              </w:rPr>
              <w:t>上次安全评价以来整改措施落实检查</w:t>
            </w:r>
          </w:p>
        </w:tc>
        <w:tc>
          <w:tcPr>
            <w:tcW w:w="1424" w:type="pct"/>
            <w:vAlign w:val="center"/>
          </w:tcPr>
          <w:p w:rsidR="004F34D9" w:rsidRPr="00123108" w:rsidRDefault="004F34D9">
            <w:pPr>
              <w:autoSpaceDE w:val="0"/>
              <w:autoSpaceDN w:val="0"/>
              <w:adjustRightInd w:val="0"/>
              <w:jc w:val="center"/>
              <w:rPr>
                <w:rFonts w:ascii="宋体" w:hAnsi="宋体" w:cs="宋体" w:hint="eastAsia"/>
              </w:rPr>
            </w:pPr>
            <w:r w:rsidRPr="00123108">
              <w:rPr>
                <w:rFonts w:ascii="宋体" w:hAnsi="宋体" w:cs="宋体" w:hint="eastAsia"/>
                <w:lang w:val="zh-CN"/>
              </w:rPr>
              <w:t>综合分析法</w:t>
            </w:r>
          </w:p>
        </w:tc>
      </w:tr>
    </w:tbl>
    <w:p w:rsidR="004F34D9" w:rsidRPr="00123108" w:rsidRDefault="004F34D9">
      <w:pPr>
        <w:autoSpaceDE w:val="0"/>
        <w:autoSpaceDN w:val="0"/>
        <w:adjustRightInd w:val="0"/>
        <w:spacing w:line="360" w:lineRule="auto"/>
        <w:jc w:val="center"/>
        <w:rPr>
          <w:rFonts w:ascii="宋体" w:hAnsi="宋体" w:cs="宋体" w:hint="eastAsia"/>
          <w:b/>
          <w:sz w:val="28"/>
        </w:rPr>
      </w:pPr>
    </w:p>
    <w:p w:rsidR="004F34D9" w:rsidRPr="00123108" w:rsidRDefault="004F34D9">
      <w:pPr>
        <w:autoSpaceDE w:val="0"/>
        <w:autoSpaceDN w:val="0"/>
        <w:adjustRightInd w:val="0"/>
        <w:spacing w:line="360" w:lineRule="auto"/>
        <w:jc w:val="center"/>
        <w:rPr>
          <w:rFonts w:ascii="宋体" w:hAnsi="宋体" w:cs="宋体" w:hint="eastAsia"/>
          <w:b/>
          <w:sz w:val="28"/>
        </w:rPr>
      </w:pPr>
    </w:p>
    <w:p w:rsidR="004F34D9" w:rsidRPr="00123108" w:rsidRDefault="004F34D9">
      <w:pPr>
        <w:autoSpaceDE w:val="0"/>
        <w:autoSpaceDN w:val="0"/>
        <w:adjustRightInd w:val="0"/>
        <w:spacing w:line="360" w:lineRule="auto"/>
        <w:jc w:val="center"/>
        <w:rPr>
          <w:rFonts w:ascii="宋体" w:hAnsi="宋体" w:cs="宋体" w:hint="eastAsia"/>
          <w:b/>
          <w:sz w:val="28"/>
        </w:rPr>
      </w:pPr>
    </w:p>
    <w:p w:rsidR="004F34D9" w:rsidRPr="00123108" w:rsidRDefault="004F34D9">
      <w:pPr>
        <w:autoSpaceDE w:val="0"/>
        <w:autoSpaceDN w:val="0"/>
        <w:adjustRightInd w:val="0"/>
        <w:spacing w:line="360" w:lineRule="auto"/>
        <w:jc w:val="center"/>
        <w:rPr>
          <w:rFonts w:ascii="宋体" w:hAnsi="宋体" w:cs="宋体" w:hint="eastAsia"/>
          <w:b/>
          <w:bCs/>
          <w:sz w:val="28"/>
          <w:szCs w:val="28"/>
          <w:lang w:val="zh-CN"/>
        </w:rPr>
        <w:sectPr w:rsidR="004F34D9" w:rsidRPr="00123108">
          <w:type w:val="nextColumn"/>
          <w:pgSz w:w="11907" w:h="16840"/>
          <w:pgMar w:top="1418" w:right="1134" w:bottom="1134" w:left="1588" w:header="851" w:footer="992" w:gutter="0"/>
          <w:paperSrc w:first="7" w:other="7"/>
          <w:cols w:space="720"/>
        </w:sectPr>
      </w:pPr>
    </w:p>
    <w:p w:rsidR="004F34D9" w:rsidRPr="00123108" w:rsidRDefault="004F34D9" w:rsidP="00D06780">
      <w:pPr>
        <w:pStyle w:val="1"/>
        <w:spacing w:beforeLines="0" w:before="0" w:afterLines="0" w:after="0" w:line="500" w:lineRule="exact"/>
        <w:rPr>
          <w:rFonts w:ascii="宋体" w:eastAsia="宋体" w:cs="宋体" w:hint="eastAsia"/>
          <w:spacing w:val="-4"/>
        </w:rPr>
      </w:pPr>
      <w:bookmarkStart w:id="874" w:name="_Toc13984"/>
      <w:bookmarkStart w:id="875" w:name="_Toc3538"/>
      <w:bookmarkStart w:id="876" w:name="_Toc8062"/>
      <w:bookmarkStart w:id="877" w:name="_Toc17423"/>
      <w:bookmarkStart w:id="878" w:name="_Toc252533250"/>
      <w:bookmarkStart w:id="879" w:name="_Toc3809047"/>
      <w:bookmarkStart w:id="880" w:name="_Toc23402"/>
      <w:bookmarkStart w:id="881" w:name="_Toc4904"/>
      <w:bookmarkStart w:id="882" w:name="_Toc245793492"/>
      <w:bookmarkStart w:id="883" w:name="_Toc190935792"/>
      <w:r w:rsidRPr="00123108">
        <w:rPr>
          <w:rFonts w:ascii="宋体" w:eastAsia="宋体" w:cs="宋体" w:hint="eastAsia"/>
          <w:spacing w:val="-4"/>
        </w:rPr>
        <w:lastRenderedPageBreak/>
        <w:t>6  危险、有害因素分析结果</w:t>
      </w:r>
      <w:bookmarkEnd w:id="874"/>
      <w:bookmarkEnd w:id="875"/>
      <w:bookmarkEnd w:id="876"/>
      <w:bookmarkEnd w:id="877"/>
      <w:bookmarkEnd w:id="878"/>
      <w:bookmarkEnd w:id="879"/>
      <w:bookmarkEnd w:id="880"/>
      <w:bookmarkEnd w:id="881"/>
      <w:bookmarkEnd w:id="882"/>
      <w:bookmarkEnd w:id="883"/>
    </w:p>
    <w:p w:rsidR="004F34D9" w:rsidRPr="00123108" w:rsidRDefault="004F34D9" w:rsidP="00D06780">
      <w:pPr>
        <w:pStyle w:val="2"/>
        <w:spacing w:line="500" w:lineRule="exact"/>
        <w:jc w:val="both"/>
        <w:rPr>
          <w:rFonts w:ascii="宋体" w:eastAsia="宋体" w:cs="宋体" w:hint="eastAsia"/>
          <w:sz w:val="28"/>
          <w:szCs w:val="28"/>
        </w:rPr>
      </w:pPr>
      <w:bookmarkStart w:id="884" w:name="_Toc14815"/>
      <w:bookmarkStart w:id="885" w:name="_Toc32434"/>
      <w:bookmarkStart w:id="886" w:name="_Toc30210"/>
      <w:bookmarkStart w:id="887" w:name="_Toc12531"/>
      <w:bookmarkStart w:id="888" w:name="_Toc29152"/>
      <w:bookmarkStart w:id="889" w:name="_Toc3809049"/>
      <w:bookmarkStart w:id="890" w:name="_Toc25305"/>
      <w:bookmarkStart w:id="891" w:name="_Toc190935793"/>
      <w:r w:rsidRPr="00123108">
        <w:rPr>
          <w:rFonts w:ascii="宋体" w:eastAsia="宋体" w:cs="宋体" w:hint="eastAsia"/>
          <w:sz w:val="28"/>
          <w:szCs w:val="28"/>
        </w:rPr>
        <w:t>6.1  化学品辨识结果</w:t>
      </w:r>
      <w:bookmarkEnd w:id="884"/>
      <w:bookmarkEnd w:id="885"/>
      <w:bookmarkEnd w:id="886"/>
      <w:bookmarkEnd w:id="887"/>
      <w:bookmarkEnd w:id="888"/>
      <w:bookmarkEnd w:id="889"/>
      <w:bookmarkEnd w:id="890"/>
      <w:bookmarkEnd w:id="891"/>
    </w:p>
    <w:p w:rsidR="004C686A" w:rsidRDefault="004F34D9" w:rsidP="004C686A">
      <w:pPr>
        <w:spacing w:line="500" w:lineRule="exact"/>
        <w:jc w:val="center"/>
        <w:rPr>
          <w:rFonts w:ascii="宋体" w:hAnsi="宋体"/>
          <w:b/>
          <w:bCs/>
          <w:sz w:val="28"/>
          <w:szCs w:val="28"/>
        </w:rPr>
      </w:pPr>
      <w:bookmarkStart w:id="892" w:name="_Toc11728"/>
      <w:bookmarkStart w:id="893" w:name="_Toc25279"/>
      <w:bookmarkStart w:id="894" w:name="_Toc24390"/>
      <w:bookmarkStart w:id="895" w:name="_Toc21717"/>
      <w:bookmarkStart w:id="896" w:name="_Toc22127"/>
      <w:bookmarkStart w:id="897" w:name="_Toc2769"/>
      <w:bookmarkStart w:id="898" w:name="_Toc3809051"/>
      <w:bookmarkStart w:id="899" w:name="_Toc329085823"/>
      <w:bookmarkStart w:id="900" w:name="_Toc338687327"/>
      <w:r w:rsidRPr="00123108">
        <w:rPr>
          <w:rFonts w:ascii="宋体" w:hAnsi="宋体" w:hint="eastAsia"/>
          <w:sz w:val="28"/>
        </w:rPr>
        <w:t>本项目涉及的物料</w:t>
      </w:r>
      <w:r w:rsidR="004C686A">
        <w:rPr>
          <w:rFonts w:ascii="宋体" w:hAnsi="宋体" w:hint="eastAsia"/>
          <w:b/>
          <w:sz w:val="28"/>
          <w:szCs w:val="28"/>
        </w:rPr>
        <w:t>涉及企业机密，不予公开。</w:t>
      </w:r>
    </w:p>
    <w:p w:rsidR="004F34D9" w:rsidRPr="00123108" w:rsidRDefault="004F34D9" w:rsidP="00D06780">
      <w:pPr>
        <w:spacing w:line="500" w:lineRule="exact"/>
        <w:ind w:firstLine="561"/>
        <w:rPr>
          <w:rFonts w:ascii="宋体" w:hAnsi="宋体" w:hint="eastAsia"/>
          <w:sz w:val="28"/>
        </w:rPr>
      </w:pPr>
      <w:r w:rsidRPr="00123108">
        <w:rPr>
          <w:rFonts w:ascii="宋体" w:hAnsi="宋体" w:hint="eastAsia"/>
          <w:sz w:val="28"/>
        </w:rPr>
        <w:t>根据</w:t>
      </w:r>
      <w:r w:rsidRPr="00123108">
        <w:rPr>
          <w:rFonts w:ascii="宋体" w:hAnsi="宋体" w:cs="宋体" w:hint="eastAsia"/>
          <w:sz w:val="28"/>
          <w:szCs w:val="28"/>
        </w:rPr>
        <w:t>《首批重点监管的危险化学品名录》（原安监总管三〔2011〕95号）</w:t>
      </w:r>
      <w:r w:rsidRPr="00123108">
        <w:rPr>
          <w:rFonts w:ascii="宋体" w:hAnsi="宋体" w:hint="eastAsia"/>
          <w:sz w:val="28"/>
        </w:rPr>
        <w:t>、</w:t>
      </w:r>
      <w:r w:rsidRPr="00123108">
        <w:rPr>
          <w:rFonts w:ascii="宋体" w:hAnsi="宋体" w:cs="宋体" w:hint="eastAsia"/>
          <w:sz w:val="28"/>
          <w:szCs w:val="28"/>
        </w:rPr>
        <w:t>《国家安全监管总局关于公布第二批重点监管危险化学品名录的通知》（原安监总管三〔2013〕12号），苯乙烯、</w:t>
      </w:r>
      <w:r w:rsidRPr="00123108">
        <w:rPr>
          <w:rFonts w:ascii="宋体" w:hAnsi="宋体" w:hint="eastAsia"/>
          <w:sz w:val="28"/>
          <w:szCs w:val="28"/>
        </w:rPr>
        <w:t>过氧化苯甲酰和过氧化苯甲酸叔丁酯为</w:t>
      </w:r>
      <w:r w:rsidRPr="00123108">
        <w:rPr>
          <w:rFonts w:ascii="宋体" w:hAnsi="宋体" w:cs="宋体" w:hint="eastAsia"/>
          <w:sz w:val="28"/>
          <w:szCs w:val="28"/>
        </w:rPr>
        <w:t>重点监管危险化学品。</w:t>
      </w:r>
    </w:p>
    <w:p w:rsidR="004F34D9" w:rsidRPr="00123108" w:rsidRDefault="004F34D9" w:rsidP="00D06780">
      <w:pPr>
        <w:spacing w:line="500" w:lineRule="exact"/>
        <w:ind w:firstLine="561"/>
        <w:rPr>
          <w:rFonts w:ascii="宋体" w:hAnsi="宋体" w:hint="eastAsia"/>
          <w:sz w:val="28"/>
        </w:rPr>
      </w:pPr>
      <w:r w:rsidRPr="00123108">
        <w:rPr>
          <w:rFonts w:ascii="宋体" w:hAnsi="宋体" w:cs="宋体" w:hint="eastAsia"/>
          <w:sz w:val="28"/>
          <w:szCs w:val="28"/>
        </w:rPr>
        <w:t>根据</w:t>
      </w:r>
      <w:r w:rsidRPr="00123108">
        <w:rPr>
          <w:rFonts w:ascii="宋体" w:hAnsi="宋体" w:hint="eastAsia"/>
          <w:sz w:val="28"/>
        </w:rPr>
        <w:t>《易制毒化学品的分类和品种目录》</w:t>
      </w:r>
      <w:r w:rsidRPr="00123108">
        <w:rPr>
          <w:rFonts w:ascii="宋体" w:hAnsi="宋体" w:cs="宋体" w:hint="eastAsia"/>
          <w:sz w:val="28"/>
          <w:szCs w:val="28"/>
        </w:rPr>
        <w:t>，</w:t>
      </w:r>
      <w:r w:rsidRPr="00123108">
        <w:rPr>
          <w:rFonts w:ascii="宋体" w:hAnsi="宋体" w:hint="eastAsia"/>
          <w:sz w:val="28"/>
        </w:rPr>
        <w:t>盐酸属于第三类易制毒化学品。</w:t>
      </w:r>
    </w:p>
    <w:p w:rsidR="004F34D9" w:rsidRPr="00123108" w:rsidRDefault="004F34D9" w:rsidP="00D06780">
      <w:pPr>
        <w:spacing w:line="500" w:lineRule="exact"/>
        <w:ind w:firstLine="561"/>
        <w:rPr>
          <w:rFonts w:ascii="宋体" w:hAnsi="宋体" w:hint="eastAsia"/>
          <w:sz w:val="28"/>
        </w:rPr>
      </w:pPr>
      <w:r w:rsidRPr="00123108">
        <w:rPr>
          <w:rFonts w:ascii="宋体" w:hAnsi="宋体" w:cs="宋体" w:hint="eastAsia"/>
          <w:sz w:val="28"/>
        </w:rPr>
        <w:t>根据《易制爆危险化学品名录》（2017年版），</w:t>
      </w:r>
      <w:r w:rsidRPr="00123108">
        <w:rPr>
          <w:rFonts w:ascii="宋体" w:hAnsi="宋体" w:hint="eastAsia"/>
          <w:sz w:val="28"/>
          <w:szCs w:val="28"/>
        </w:rPr>
        <w:t>过氧化二异丙苯为易制爆危险化学品。</w:t>
      </w:r>
    </w:p>
    <w:p w:rsidR="004F34D9" w:rsidRPr="00123108" w:rsidRDefault="004F34D9" w:rsidP="00D06780">
      <w:pPr>
        <w:spacing w:line="500" w:lineRule="exact"/>
        <w:ind w:firstLine="561"/>
        <w:rPr>
          <w:rFonts w:ascii="宋体" w:hAnsi="宋体" w:hint="eastAsia"/>
          <w:sz w:val="28"/>
        </w:rPr>
      </w:pPr>
      <w:r w:rsidRPr="00123108">
        <w:rPr>
          <w:rFonts w:ascii="宋体" w:hAnsi="宋体" w:hint="eastAsia"/>
          <w:sz w:val="28"/>
        </w:rPr>
        <w:t>根据</w:t>
      </w:r>
      <w:r w:rsidRPr="00123108">
        <w:rPr>
          <w:rFonts w:ascii="宋体" w:hAnsi="宋体" w:hint="eastAsia"/>
          <w:sz w:val="28"/>
          <w:lang w:val="zh-CN"/>
        </w:rPr>
        <w:t>《高毒物品目录》卫法监发[2003]142号</w:t>
      </w:r>
      <w:r w:rsidRPr="00123108">
        <w:rPr>
          <w:rFonts w:ascii="宋体" w:hAnsi="宋体" w:hint="eastAsia"/>
          <w:sz w:val="28"/>
        </w:rPr>
        <w:t>，本项目不涉及</w:t>
      </w:r>
      <w:r w:rsidRPr="00123108">
        <w:rPr>
          <w:rFonts w:ascii="宋体" w:hAnsi="宋体" w:hint="eastAsia"/>
          <w:sz w:val="28"/>
          <w:lang w:val="zh-CN"/>
        </w:rPr>
        <w:t>高毒物品</w:t>
      </w:r>
      <w:r w:rsidRPr="00123108">
        <w:rPr>
          <w:rFonts w:ascii="宋体" w:hAnsi="宋体" w:hint="eastAsia"/>
          <w:sz w:val="28"/>
        </w:rPr>
        <w:t>。</w:t>
      </w:r>
    </w:p>
    <w:p w:rsidR="004F34D9" w:rsidRPr="00123108" w:rsidRDefault="004F34D9" w:rsidP="00D06780">
      <w:pPr>
        <w:spacing w:line="500" w:lineRule="exact"/>
        <w:ind w:firstLine="561"/>
        <w:rPr>
          <w:rFonts w:hAnsi="宋体" w:cs="宋体" w:hint="eastAsia"/>
          <w:sz w:val="28"/>
        </w:rPr>
      </w:pPr>
      <w:r w:rsidRPr="00123108">
        <w:rPr>
          <w:rFonts w:ascii="宋体" w:hAnsi="宋体" w:cs="宋体" w:hint="eastAsia"/>
          <w:sz w:val="28"/>
        </w:rPr>
        <w:t>根据《危险化学品目录》</w:t>
      </w:r>
      <w:r w:rsidRPr="00123108">
        <w:rPr>
          <w:rFonts w:ascii="宋体" w:hAnsi="宋体" w:hint="eastAsia"/>
          <w:sz w:val="28"/>
        </w:rPr>
        <w:t>（2015版）原</w:t>
      </w:r>
      <w:r w:rsidRPr="00123108">
        <w:rPr>
          <w:rFonts w:ascii="宋体" w:hAnsi="宋体" w:hint="eastAsia"/>
          <w:sz w:val="28"/>
          <w:lang w:val="zh-CN"/>
        </w:rPr>
        <w:t>国家安全生产监督管理总局</w:t>
      </w:r>
      <w:r w:rsidRPr="00123108">
        <w:rPr>
          <w:rFonts w:ascii="宋体" w:hAnsi="宋体" w:hint="eastAsia"/>
          <w:sz w:val="28"/>
        </w:rPr>
        <w:t>等部局公告2015年第5号（2022年第8号修改），本项目不涉及</w:t>
      </w:r>
      <w:r w:rsidRPr="00123108">
        <w:rPr>
          <w:rFonts w:ascii="宋体" w:hAnsi="宋体" w:cs="宋体" w:hint="eastAsia"/>
          <w:sz w:val="28"/>
        </w:rPr>
        <w:t>剧毒品</w:t>
      </w:r>
      <w:r w:rsidRPr="00123108">
        <w:rPr>
          <w:rFonts w:hAnsi="宋体" w:cs="宋体" w:hint="eastAsia"/>
          <w:sz w:val="28"/>
        </w:rPr>
        <w:t>。</w:t>
      </w:r>
    </w:p>
    <w:p w:rsidR="004F34D9" w:rsidRPr="00123108" w:rsidRDefault="004F34D9" w:rsidP="00D06780">
      <w:pPr>
        <w:spacing w:line="500" w:lineRule="exact"/>
        <w:ind w:firstLine="561"/>
        <w:rPr>
          <w:rFonts w:ascii="宋体" w:hAnsi="宋体" w:cs="宋体" w:hint="eastAsia"/>
          <w:sz w:val="28"/>
        </w:rPr>
      </w:pPr>
      <w:r w:rsidRPr="00123108">
        <w:rPr>
          <w:rFonts w:hAnsi="宋体" w:cs="宋体" w:hint="eastAsia"/>
          <w:sz w:val="28"/>
        </w:rPr>
        <w:t>根据</w:t>
      </w:r>
      <w:r w:rsidRPr="00123108">
        <w:rPr>
          <w:rFonts w:ascii="宋体" w:hAnsi="宋体" w:cs="宋体" w:hint="eastAsia"/>
          <w:sz w:val="28"/>
        </w:rPr>
        <w:t>《各类监控化学品名录》，本项目不涉及监控化学品。</w:t>
      </w:r>
    </w:p>
    <w:p w:rsidR="004F34D9" w:rsidRPr="00123108" w:rsidRDefault="004F34D9" w:rsidP="00D06780">
      <w:pPr>
        <w:spacing w:line="500" w:lineRule="exact"/>
        <w:ind w:firstLineChars="200" w:firstLine="560"/>
        <w:rPr>
          <w:rFonts w:ascii="宋体" w:hAnsi="宋体" w:hint="eastAsia"/>
          <w:sz w:val="28"/>
        </w:rPr>
      </w:pPr>
      <w:r w:rsidRPr="00123108">
        <w:rPr>
          <w:rFonts w:ascii="宋体" w:hAnsi="宋体" w:hint="eastAsia"/>
          <w:sz w:val="28"/>
        </w:rPr>
        <w:t>根据《特别管控危险化学品目录》（第一版），本项目不涉及特别管控危险化学品。</w:t>
      </w:r>
    </w:p>
    <w:p w:rsidR="004F34D9" w:rsidRPr="00123108" w:rsidRDefault="004F34D9" w:rsidP="00D06780">
      <w:pPr>
        <w:pStyle w:val="2"/>
        <w:spacing w:line="500" w:lineRule="exact"/>
        <w:jc w:val="both"/>
        <w:rPr>
          <w:rFonts w:ascii="宋体" w:eastAsia="宋体" w:cs="宋体" w:hint="eastAsia"/>
          <w:sz w:val="28"/>
          <w:szCs w:val="28"/>
        </w:rPr>
      </w:pPr>
      <w:bookmarkStart w:id="901" w:name="_Toc190935794"/>
      <w:r w:rsidRPr="00123108">
        <w:rPr>
          <w:rFonts w:ascii="宋体" w:eastAsia="宋体" w:cs="宋体" w:hint="eastAsia"/>
          <w:sz w:val="28"/>
          <w:szCs w:val="28"/>
        </w:rPr>
        <w:t>6.2  重点监管的危险化工工艺辨识结果</w:t>
      </w:r>
      <w:bookmarkEnd w:id="892"/>
      <w:bookmarkEnd w:id="893"/>
      <w:bookmarkEnd w:id="894"/>
      <w:bookmarkEnd w:id="895"/>
      <w:bookmarkEnd w:id="896"/>
      <w:bookmarkEnd w:id="897"/>
      <w:bookmarkEnd w:id="901"/>
    </w:p>
    <w:p w:rsidR="004F34D9" w:rsidRPr="00123108" w:rsidRDefault="004F34D9" w:rsidP="00D06780">
      <w:pPr>
        <w:pStyle w:val="2fd"/>
        <w:spacing w:line="500" w:lineRule="exact"/>
        <w:ind w:firstLine="560"/>
        <w:rPr>
          <w:rFonts w:ascii="宋体" w:hAnsi="宋体" w:cs="宋体" w:hint="eastAsia"/>
          <w:sz w:val="28"/>
        </w:rPr>
      </w:pPr>
      <w:r w:rsidRPr="00123108">
        <w:rPr>
          <w:rFonts w:ascii="宋体" w:hAnsi="宋体" w:cs="宋体" w:hint="eastAsia"/>
          <w:sz w:val="28"/>
        </w:rPr>
        <w:t>根据《国家安全监管总局关于公布首批重点监管的危险化工工艺目录的通知》原安监总管三[2009]116号及《国家安全监管总局关于公布第二批重点监管危险化工工艺目录和调整首批重点监管危险化工工艺中部分典型工艺的通知》原安监总管三[2013]3号，本项目涉及重点监管的危险化工工艺为聚合工艺。</w:t>
      </w:r>
    </w:p>
    <w:p w:rsidR="004F34D9" w:rsidRPr="00123108" w:rsidRDefault="004F34D9" w:rsidP="00D06780">
      <w:pPr>
        <w:pStyle w:val="2"/>
        <w:spacing w:line="500" w:lineRule="exact"/>
        <w:jc w:val="both"/>
        <w:rPr>
          <w:rFonts w:ascii="宋体" w:eastAsia="宋体" w:cs="宋体" w:hint="eastAsia"/>
          <w:sz w:val="28"/>
          <w:szCs w:val="28"/>
        </w:rPr>
      </w:pPr>
      <w:bookmarkStart w:id="902" w:name="_Toc29540"/>
      <w:bookmarkStart w:id="903" w:name="_Toc24117"/>
      <w:bookmarkStart w:id="904" w:name="_Toc8224"/>
      <w:bookmarkStart w:id="905" w:name="_Toc22111"/>
      <w:bookmarkStart w:id="906" w:name="_Toc26613"/>
      <w:bookmarkStart w:id="907" w:name="_Toc12182"/>
      <w:bookmarkStart w:id="908" w:name="_Toc190935795"/>
      <w:r w:rsidRPr="00123108">
        <w:rPr>
          <w:rFonts w:ascii="宋体" w:eastAsia="宋体" w:cs="宋体" w:hint="eastAsia"/>
          <w:sz w:val="28"/>
          <w:szCs w:val="28"/>
        </w:rPr>
        <w:t>6.3</w:t>
      </w:r>
      <w:bookmarkEnd w:id="898"/>
      <w:bookmarkEnd w:id="899"/>
      <w:bookmarkEnd w:id="900"/>
      <w:r w:rsidRPr="00123108">
        <w:rPr>
          <w:rFonts w:ascii="宋体" w:eastAsia="宋体" w:cs="宋体" w:hint="eastAsia"/>
          <w:sz w:val="28"/>
          <w:szCs w:val="28"/>
        </w:rPr>
        <w:t xml:space="preserve">  危险化学品重大危险源辨识结果</w:t>
      </w:r>
      <w:bookmarkEnd w:id="902"/>
      <w:bookmarkEnd w:id="903"/>
      <w:bookmarkEnd w:id="904"/>
      <w:bookmarkEnd w:id="905"/>
      <w:bookmarkEnd w:id="906"/>
      <w:bookmarkEnd w:id="907"/>
      <w:bookmarkEnd w:id="908"/>
    </w:p>
    <w:p w:rsidR="004F34D9" w:rsidRPr="00123108" w:rsidRDefault="004F34D9" w:rsidP="00D06780">
      <w:pPr>
        <w:pStyle w:val="2fd"/>
        <w:spacing w:line="500" w:lineRule="exact"/>
        <w:ind w:firstLine="560"/>
        <w:rPr>
          <w:rFonts w:ascii="宋体" w:hAnsi="宋体" w:cs="宋体" w:hint="eastAsia"/>
          <w:sz w:val="28"/>
        </w:rPr>
      </w:pPr>
      <w:r w:rsidRPr="00123108">
        <w:rPr>
          <w:rFonts w:ascii="宋体" w:hAnsi="宋体" w:cs="宋体" w:hint="eastAsia"/>
          <w:sz w:val="28"/>
        </w:rPr>
        <w:t>根据《危险化学品重大危险源辨识》GB 18218-2018，本项目</w:t>
      </w:r>
      <w:r w:rsidRPr="00123108">
        <w:rPr>
          <w:rFonts w:ascii="宋体" w:hAnsi="宋体" w:hint="eastAsia"/>
          <w:sz w:val="28"/>
          <w:szCs w:val="28"/>
        </w:rPr>
        <w:t>苯乙烯罐区、5#成品库分别构成三级危险化学品重大危险源。</w:t>
      </w:r>
    </w:p>
    <w:p w:rsidR="004F34D9" w:rsidRPr="00123108" w:rsidRDefault="004F34D9" w:rsidP="00D06780">
      <w:pPr>
        <w:pStyle w:val="2"/>
        <w:spacing w:line="500" w:lineRule="exact"/>
        <w:jc w:val="both"/>
        <w:rPr>
          <w:rFonts w:ascii="宋体" w:eastAsia="宋体" w:cs="宋体" w:hint="eastAsia"/>
          <w:sz w:val="28"/>
          <w:szCs w:val="28"/>
        </w:rPr>
      </w:pPr>
      <w:bookmarkStart w:id="909" w:name="_Toc13070"/>
      <w:bookmarkStart w:id="910" w:name="_Toc466"/>
      <w:bookmarkStart w:id="911" w:name="_Toc12245"/>
      <w:bookmarkStart w:id="912" w:name="_Toc434501595"/>
      <w:bookmarkStart w:id="913" w:name="_Toc15575"/>
      <w:bookmarkStart w:id="914" w:name="_Toc23557"/>
      <w:bookmarkStart w:id="915" w:name="_Toc18729"/>
      <w:bookmarkStart w:id="916" w:name="_Toc3809052"/>
      <w:bookmarkStart w:id="917" w:name="_Toc190935796"/>
      <w:r w:rsidRPr="00123108">
        <w:rPr>
          <w:rFonts w:ascii="宋体" w:eastAsia="宋体" w:cs="宋体" w:hint="eastAsia"/>
          <w:sz w:val="28"/>
          <w:szCs w:val="28"/>
        </w:rPr>
        <w:t>6.4  生产过程危险、有害因素分析结果</w:t>
      </w:r>
      <w:bookmarkEnd w:id="909"/>
      <w:bookmarkEnd w:id="910"/>
      <w:bookmarkEnd w:id="911"/>
      <w:bookmarkEnd w:id="912"/>
      <w:bookmarkEnd w:id="913"/>
      <w:bookmarkEnd w:id="914"/>
      <w:bookmarkEnd w:id="915"/>
      <w:bookmarkEnd w:id="916"/>
      <w:bookmarkEnd w:id="917"/>
    </w:p>
    <w:p w:rsidR="004F34D9" w:rsidRPr="00123108" w:rsidRDefault="004F34D9" w:rsidP="00D06780">
      <w:pPr>
        <w:pStyle w:val="2fd"/>
        <w:spacing w:line="500" w:lineRule="exact"/>
        <w:ind w:firstLine="560"/>
        <w:rPr>
          <w:rFonts w:ascii="宋体" w:hAnsi="宋体" w:cs="宋体" w:hint="eastAsia"/>
          <w:kern w:val="20"/>
          <w:sz w:val="28"/>
        </w:rPr>
      </w:pPr>
      <w:r w:rsidRPr="00123108">
        <w:rPr>
          <w:rFonts w:ascii="宋体" w:hAnsi="宋体" w:cs="宋体" w:hint="eastAsia"/>
          <w:kern w:val="20"/>
          <w:sz w:val="28"/>
        </w:rPr>
        <w:t>根据《企业职工伤亡事故分类》GB 6441-86等，本项目生产过程中潜在</w:t>
      </w:r>
      <w:r w:rsidRPr="00123108">
        <w:rPr>
          <w:rFonts w:ascii="宋体" w:hAnsi="宋体" w:cs="宋体" w:hint="eastAsia"/>
          <w:kern w:val="20"/>
          <w:sz w:val="28"/>
        </w:rPr>
        <w:lastRenderedPageBreak/>
        <w:t>的主要危险、有害因素是</w:t>
      </w:r>
      <w:bookmarkStart w:id="918" w:name="_Hlk522225104"/>
      <w:r w:rsidRPr="00123108">
        <w:rPr>
          <w:rFonts w:ascii="宋体" w:hAnsi="宋体" w:cs="宋体" w:hint="eastAsia"/>
          <w:kern w:val="20"/>
          <w:sz w:val="28"/>
        </w:rPr>
        <w:t>火灾、爆炸、容器爆炸</w:t>
      </w:r>
      <w:bookmarkEnd w:id="918"/>
      <w:r w:rsidRPr="00123108">
        <w:rPr>
          <w:rFonts w:ascii="宋体" w:hAnsi="宋体" w:cs="宋体" w:hint="eastAsia"/>
          <w:kern w:val="20"/>
          <w:sz w:val="28"/>
        </w:rPr>
        <w:t>等；次要危险、有害因素有：中毒窒息、机械伤害、电气伤害、高处坠落、起重伤害、物体打击、噪声危害、灼烫、淹溺、车辆伤害、坍塌等。</w:t>
      </w:r>
    </w:p>
    <w:p w:rsidR="004F34D9" w:rsidRPr="00123108" w:rsidRDefault="004F34D9" w:rsidP="00D06780">
      <w:pPr>
        <w:tabs>
          <w:tab w:val="left" w:pos="0"/>
          <w:tab w:val="left" w:pos="720"/>
        </w:tabs>
        <w:spacing w:line="500" w:lineRule="exact"/>
        <w:jc w:val="center"/>
        <w:rPr>
          <w:rFonts w:ascii="宋体" w:hAnsi="宋体" w:cs="宋体" w:hint="eastAsia"/>
          <w:b/>
          <w:bCs/>
          <w:sz w:val="28"/>
          <w:szCs w:val="28"/>
        </w:rPr>
      </w:pPr>
      <w:r w:rsidRPr="00123108">
        <w:rPr>
          <w:rFonts w:ascii="宋体" w:hAnsi="宋体" w:cs="宋体" w:hint="eastAsia"/>
          <w:b/>
          <w:bCs/>
          <w:sz w:val="28"/>
          <w:szCs w:val="28"/>
        </w:rPr>
        <w:t>表6.4-1  主要危险、有害因素及其分布一览表</w:t>
      </w:r>
    </w:p>
    <w:tbl>
      <w:tblPr>
        <w:tblW w:w="863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
        <w:gridCol w:w="1418"/>
        <w:gridCol w:w="3255"/>
        <w:gridCol w:w="3134"/>
      </w:tblGrid>
      <w:tr w:rsidR="004F34D9" w:rsidRPr="00123108">
        <w:trPr>
          <w:cantSplit/>
          <w:trHeight w:val="340"/>
          <w:tblHeader/>
          <w:jc w:val="center"/>
        </w:trPr>
        <w:tc>
          <w:tcPr>
            <w:tcW w:w="827" w:type="dxa"/>
            <w:vAlign w:val="center"/>
          </w:tcPr>
          <w:p w:rsidR="004F34D9" w:rsidRPr="00123108" w:rsidRDefault="004F34D9">
            <w:pPr>
              <w:jc w:val="center"/>
              <w:rPr>
                <w:rFonts w:ascii="宋体" w:hAnsi="宋体"/>
              </w:rPr>
            </w:pPr>
            <w:r w:rsidRPr="00123108">
              <w:rPr>
                <w:rFonts w:ascii="宋体" w:hAnsi="宋体" w:hint="eastAsia"/>
              </w:rPr>
              <w:t>序号</w:t>
            </w:r>
          </w:p>
        </w:tc>
        <w:tc>
          <w:tcPr>
            <w:tcW w:w="1418" w:type="dxa"/>
            <w:vAlign w:val="center"/>
          </w:tcPr>
          <w:p w:rsidR="004F34D9" w:rsidRPr="00123108" w:rsidRDefault="004F34D9">
            <w:pPr>
              <w:jc w:val="center"/>
              <w:rPr>
                <w:rFonts w:ascii="宋体" w:hAnsi="宋体"/>
              </w:rPr>
            </w:pPr>
            <w:r w:rsidRPr="00123108">
              <w:rPr>
                <w:rFonts w:ascii="宋体" w:hAnsi="宋体" w:hint="eastAsia"/>
              </w:rPr>
              <w:t>主要危险</w:t>
            </w:r>
          </w:p>
        </w:tc>
        <w:tc>
          <w:tcPr>
            <w:tcW w:w="3255" w:type="dxa"/>
            <w:vAlign w:val="center"/>
          </w:tcPr>
          <w:p w:rsidR="004F34D9" w:rsidRPr="00123108" w:rsidRDefault="004F34D9">
            <w:pPr>
              <w:jc w:val="center"/>
              <w:rPr>
                <w:rFonts w:ascii="宋体" w:hAnsi="宋体"/>
              </w:rPr>
            </w:pPr>
            <w:r w:rsidRPr="00123108">
              <w:rPr>
                <w:rFonts w:ascii="宋体" w:hAnsi="宋体" w:hint="eastAsia"/>
              </w:rPr>
              <w:t>主要危险场所</w:t>
            </w:r>
          </w:p>
        </w:tc>
        <w:tc>
          <w:tcPr>
            <w:tcW w:w="3134" w:type="dxa"/>
            <w:vAlign w:val="center"/>
          </w:tcPr>
          <w:p w:rsidR="004F34D9" w:rsidRPr="00123108" w:rsidRDefault="004F34D9">
            <w:pPr>
              <w:jc w:val="center"/>
              <w:rPr>
                <w:rFonts w:ascii="宋体" w:hAnsi="宋体"/>
              </w:rPr>
            </w:pPr>
            <w:r w:rsidRPr="00123108">
              <w:rPr>
                <w:rFonts w:ascii="宋体" w:hAnsi="宋体" w:hint="eastAsia"/>
              </w:rPr>
              <w:t>主要危险物料</w:t>
            </w:r>
          </w:p>
        </w:tc>
      </w:tr>
      <w:tr w:rsidR="004F34D9" w:rsidRPr="00123108">
        <w:trPr>
          <w:cantSplit/>
          <w:trHeight w:val="340"/>
          <w:jc w:val="center"/>
        </w:trPr>
        <w:tc>
          <w:tcPr>
            <w:tcW w:w="827" w:type="dxa"/>
            <w:vAlign w:val="center"/>
          </w:tcPr>
          <w:p w:rsidR="004F34D9" w:rsidRPr="00123108" w:rsidRDefault="004F34D9">
            <w:pPr>
              <w:tabs>
                <w:tab w:val="left" w:pos="0"/>
                <w:tab w:val="left" w:pos="720"/>
              </w:tabs>
              <w:jc w:val="center"/>
              <w:rPr>
                <w:rFonts w:ascii="宋体" w:hAnsi="宋体"/>
              </w:rPr>
            </w:pPr>
            <w:r w:rsidRPr="00123108">
              <w:rPr>
                <w:rFonts w:ascii="宋体" w:hAnsi="宋体" w:hint="eastAsia"/>
              </w:rPr>
              <w:t>1</w:t>
            </w:r>
          </w:p>
        </w:tc>
        <w:tc>
          <w:tcPr>
            <w:tcW w:w="1418" w:type="dxa"/>
            <w:vAlign w:val="center"/>
          </w:tcPr>
          <w:p w:rsidR="004F34D9" w:rsidRPr="00123108" w:rsidRDefault="004F34D9">
            <w:pPr>
              <w:jc w:val="center"/>
              <w:rPr>
                <w:rFonts w:ascii="宋体" w:hAnsi="宋体"/>
              </w:rPr>
            </w:pPr>
            <w:r w:rsidRPr="00123108">
              <w:rPr>
                <w:rFonts w:ascii="宋体" w:hAnsi="宋体" w:hint="eastAsia"/>
              </w:rPr>
              <w:t>火灾、爆炸</w:t>
            </w:r>
          </w:p>
        </w:tc>
        <w:tc>
          <w:tcPr>
            <w:tcW w:w="3255" w:type="dxa"/>
            <w:vAlign w:val="center"/>
          </w:tcPr>
          <w:p w:rsidR="004F34D9" w:rsidRPr="00123108" w:rsidRDefault="004F34D9">
            <w:pPr>
              <w:tabs>
                <w:tab w:val="left" w:pos="0"/>
                <w:tab w:val="left" w:pos="720"/>
              </w:tabs>
              <w:jc w:val="left"/>
              <w:rPr>
                <w:rFonts w:ascii="宋体" w:hAnsi="宋体"/>
              </w:rPr>
            </w:pPr>
            <w:r w:rsidRPr="00123108">
              <w:rPr>
                <w:rFonts w:ascii="宋体" w:hAnsi="宋体" w:hint="eastAsia"/>
              </w:rPr>
              <w:t>反应A部\B部、苯乙烯罐区、二甲苯罐区、戊烷罐区、冷库</w:t>
            </w:r>
            <w:r w:rsidR="0026546B" w:rsidRPr="00123108">
              <w:rPr>
                <w:rFonts w:ascii="宋体" w:hAnsi="宋体" w:hint="eastAsia"/>
              </w:rPr>
              <w:t>、废气系统</w:t>
            </w:r>
            <w:r w:rsidRPr="00123108">
              <w:rPr>
                <w:rFonts w:ascii="宋体" w:hAnsi="宋体" w:hint="eastAsia"/>
              </w:rPr>
              <w:t>等</w:t>
            </w:r>
          </w:p>
        </w:tc>
        <w:tc>
          <w:tcPr>
            <w:tcW w:w="3134" w:type="dxa"/>
            <w:vAlign w:val="center"/>
          </w:tcPr>
          <w:p w:rsidR="004F34D9" w:rsidRPr="00123108" w:rsidRDefault="004F34D9">
            <w:pPr>
              <w:jc w:val="left"/>
              <w:rPr>
                <w:rFonts w:ascii="宋体" w:hAnsi="宋体"/>
              </w:rPr>
            </w:pPr>
            <w:r w:rsidRPr="00123108">
              <w:rPr>
                <w:rFonts w:ascii="宋体" w:hAnsi="宋体" w:hint="eastAsia"/>
              </w:rPr>
              <w:t>戊烷、苯乙烯、二甲苯、过氧化苯甲酰、过氧化苯甲酸叔丁酯、过氧化二异丙苯、D-柠檬烯、固废</w:t>
            </w:r>
          </w:p>
        </w:tc>
      </w:tr>
      <w:tr w:rsidR="004F34D9" w:rsidRPr="00123108">
        <w:trPr>
          <w:cantSplit/>
          <w:trHeight w:val="340"/>
          <w:jc w:val="center"/>
        </w:trPr>
        <w:tc>
          <w:tcPr>
            <w:tcW w:w="827" w:type="dxa"/>
            <w:vAlign w:val="center"/>
          </w:tcPr>
          <w:p w:rsidR="004F34D9" w:rsidRPr="00123108" w:rsidRDefault="004F34D9">
            <w:pPr>
              <w:tabs>
                <w:tab w:val="left" w:pos="0"/>
                <w:tab w:val="left" w:pos="720"/>
              </w:tabs>
              <w:jc w:val="center"/>
              <w:rPr>
                <w:rFonts w:ascii="宋体" w:hAnsi="宋体"/>
              </w:rPr>
            </w:pPr>
            <w:r w:rsidRPr="00123108">
              <w:rPr>
                <w:rFonts w:ascii="宋体" w:hAnsi="宋体" w:hint="eastAsia"/>
              </w:rPr>
              <w:t>2</w:t>
            </w:r>
          </w:p>
        </w:tc>
        <w:tc>
          <w:tcPr>
            <w:tcW w:w="1418" w:type="dxa"/>
            <w:vAlign w:val="center"/>
          </w:tcPr>
          <w:p w:rsidR="004F34D9" w:rsidRPr="00123108" w:rsidRDefault="004F34D9">
            <w:pPr>
              <w:jc w:val="center"/>
              <w:rPr>
                <w:rFonts w:ascii="宋体" w:hAnsi="宋体"/>
              </w:rPr>
            </w:pPr>
            <w:r w:rsidRPr="00123108">
              <w:rPr>
                <w:rFonts w:ascii="宋体" w:hAnsi="宋体" w:hint="eastAsia"/>
              </w:rPr>
              <w:t>火灾</w:t>
            </w:r>
          </w:p>
        </w:tc>
        <w:tc>
          <w:tcPr>
            <w:tcW w:w="3255" w:type="dxa"/>
            <w:vAlign w:val="center"/>
          </w:tcPr>
          <w:p w:rsidR="004F34D9" w:rsidRPr="00123108" w:rsidRDefault="004F34D9">
            <w:pPr>
              <w:tabs>
                <w:tab w:val="left" w:pos="0"/>
                <w:tab w:val="left" w:pos="720"/>
              </w:tabs>
              <w:jc w:val="left"/>
              <w:rPr>
                <w:rFonts w:ascii="宋体" w:hAnsi="宋体"/>
              </w:rPr>
            </w:pPr>
            <w:r w:rsidRPr="00123108">
              <w:rPr>
                <w:rFonts w:ascii="宋体" w:hAnsi="宋体" w:hint="eastAsia"/>
              </w:rPr>
              <w:t>成品仓库</w:t>
            </w:r>
          </w:p>
        </w:tc>
        <w:tc>
          <w:tcPr>
            <w:tcW w:w="3134" w:type="dxa"/>
            <w:vAlign w:val="center"/>
          </w:tcPr>
          <w:p w:rsidR="004F34D9" w:rsidRPr="00123108" w:rsidRDefault="004F34D9">
            <w:pPr>
              <w:jc w:val="left"/>
              <w:rPr>
                <w:rFonts w:ascii="宋体" w:hAnsi="宋体"/>
              </w:rPr>
            </w:pPr>
            <w:r w:rsidRPr="00123108">
              <w:rPr>
                <w:rFonts w:ascii="宋体" w:hAnsi="宋体" w:hint="eastAsia"/>
              </w:rPr>
              <w:t>可发性聚苯乙烯</w:t>
            </w:r>
          </w:p>
        </w:tc>
      </w:tr>
      <w:tr w:rsidR="004F34D9" w:rsidRPr="00123108">
        <w:trPr>
          <w:cantSplit/>
          <w:trHeight w:val="340"/>
          <w:jc w:val="center"/>
        </w:trPr>
        <w:tc>
          <w:tcPr>
            <w:tcW w:w="827" w:type="dxa"/>
            <w:vAlign w:val="center"/>
          </w:tcPr>
          <w:p w:rsidR="004F34D9" w:rsidRPr="00123108" w:rsidRDefault="004F34D9">
            <w:pPr>
              <w:tabs>
                <w:tab w:val="left" w:pos="0"/>
                <w:tab w:val="left" w:pos="720"/>
              </w:tabs>
              <w:jc w:val="center"/>
              <w:rPr>
                <w:rFonts w:ascii="宋体" w:hAnsi="宋体"/>
              </w:rPr>
            </w:pPr>
            <w:r w:rsidRPr="00123108">
              <w:rPr>
                <w:rFonts w:ascii="宋体" w:hAnsi="宋体" w:hint="eastAsia"/>
              </w:rPr>
              <w:t>3</w:t>
            </w:r>
          </w:p>
        </w:tc>
        <w:tc>
          <w:tcPr>
            <w:tcW w:w="1418" w:type="dxa"/>
            <w:vAlign w:val="center"/>
          </w:tcPr>
          <w:p w:rsidR="004F34D9" w:rsidRPr="00123108" w:rsidRDefault="004F34D9">
            <w:pPr>
              <w:spacing w:line="400" w:lineRule="exact"/>
              <w:jc w:val="center"/>
              <w:rPr>
                <w:rFonts w:ascii="宋体" w:hAnsi="宋体" w:cs="宋体" w:hint="eastAsia"/>
                <w:szCs w:val="21"/>
              </w:rPr>
            </w:pPr>
            <w:r w:rsidRPr="00123108">
              <w:rPr>
                <w:rFonts w:ascii="宋体" w:hAnsi="宋体" w:cs="宋体" w:hint="eastAsia"/>
                <w:szCs w:val="21"/>
              </w:rPr>
              <w:t>容器爆炸</w:t>
            </w:r>
          </w:p>
        </w:tc>
        <w:tc>
          <w:tcPr>
            <w:tcW w:w="3255" w:type="dxa"/>
            <w:vAlign w:val="center"/>
          </w:tcPr>
          <w:p w:rsidR="004F34D9" w:rsidRPr="00123108" w:rsidRDefault="004F34D9">
            <w:pPr>
              <w:jc w:val="left"/>
              <w:rPr>
                <w:rFonts w:hint="eastAsia"/>
              </w:rPr>
            </w:pPr>
            <w:r w:rsidRPr="00123108">
              <w:rPr>
                <w:rFonts w:hint="eastAsia"/>
              </w:rPr>
              <w:t>压力容器、压力管道等</w:t>
            </w:r>
          </w:p>
        </w:tc>
        <w:tc>
          <w:tcPr>
            <w:tcW w:w="3134" w:type="dxa"/>
            <w:vAlign w:val="center"/>
          </w:tcPr>
          <w:p w:rsidR="004F34D9" w:rsidRPr="00123108" w:rsidRDefault="004F34D9">
            <w:pPr>
              <w:pStyle w:val="2fa"/>
              <w:jc w:val="left"/>
              <w:rPr>
                <w:rFonts w:ascii="宋体" w:hAnsi="宋体" w:hint="eastAsia"/>
                <w:color w:val="auto"/>
              </w:rPr>
            </w:pPr>
          </w:p>
        </w:tc>
      </w:tr>
      <w:tr w:rsidR="004F34D9" w:rsidRPr="00123108">
        <w:trPr>
          <w:cantSplit/>
          <w:trHeight w:val="340"/>
          <w:jc w:val="center"/>
        </w:trPr>
        <w:tc>
          <w:tcPr>
            <w:tcW w:w="827" w:type="dxa"/>
            <w:vAlign w:val="center"/>
          </w:tcPr>
          <w:p w:rsidR="004F34D9" w:rsidRPr="00123108" w:rsidRDefault="004F34D9">
            <w:pPr>
              <w:tabs>
                <w:tab w:val="left" w:pos="0"/>
                <w:tab w:val="left" w:pos="720"/>
              </w:tabs>
              <w:jc w:val="center"/>
              <w:rPr>
                <w:rFonts w:ascii="宋体" w:hAnsi="宋体" w:hint="eastAsia"/>
              </w:rPr>
            </w:pPr>
            <w:r w:rsidRPr="00123108">
              <w:rPr>
                <w:rFonts w:ascii="宋体" w:hAnsi="宋体" w:hint="eastAsia"/>
              </w:rPr>
              <w:t>4</w:t>
            </w:r>
          </w:p>
        </w:tc>
        <w:tc>
          <w:tcPr>
            <w:tcW w:w="1418" w:type="dxa"/>
            <w:vAlign w:val="center"/>
          </w:tcPr>
          <w:p w:rsidR="004F34D9" w:rsidRPr="00123108" w:rsidRDefault="004F34D9">
            <w:pPr>
              <w:spacing w:line="400" w:lineRule="exact"/>
              <w:jc w:val="center"/>
              <w:rPr>
                <w:rFonts w:ascii="宋体" w:hAnsi="宋体" w:cs="宋体" w:hint="eastAsia"/>
                <w:szCs w:val="21"/>
              </w:rPr>
            </w:pPr>
            <w:r w:rsidRPr="00123108">
              <w:rPr>
                <w:rFonts w:ascii="宋体" w:hAnsi="宋体" w:cs="宋体" w:hint="eastAsia"/>
                <w:szCs w:val="21"/>
              </w:rPr>
              <w:t>中毒、窒息</w:t>
            </w:r>
          </w:p>
        </w:tc>
        <w:tc>
          <w:tcPr>
            <w:tcW w:w="3255" w:type="dxa"/>
            <w:vAlign w:val="center"/>
          </w:tcPr>
          <w:p w:rsidR="004F34D9" w:rsidRPr="00123108" w:rsidRDefault="004F34D9">
            <w:pPr>
              <w:jc w:val="left"/>
              <w:rPr>
                <w:rFonts w:hint="eastAsia"/>
              </w:rPr>
            </w:pPr>
            <w:r w:rsidRPr="00123108">
              <w:rPr>
                <w:rFonts w:ascii="宋体" w:hAnsi="宋体" w:hint="eastAsia"/>
                <w:szCs w:val="21"/>
              </w:rPr>
              <w:t>涉及</w:t>
            </w:r>
            <w:r w:rsidRPr="00123108">
              <w:rPr>
                <w:rFonts w:ascii="宋体" w:hAnsi="宋体" w:cs="宋体" w:hint="eastAsia"/>
                <w:szCs w:val="21"/>
              </w:rPr>
              <w:t>苯乙烯、氮气</w:t>
            </w:r>
            <w:r w:rsidR="0026546B" w:rsidRPr="00123108">
              <w:rPr>
                <w:rFonts w:ascii="宋体" w:hAnsi="宋体" w:cs="宋体" w:hint="eastAsia"/>
                <w:szCs w:val="21"/>
              </w:rPr>
              <w:t>、危废</w:t>
            </w:r>
            <w:r w:rsidRPr="00123108">
              <w:rPr>
                <w:rFonts w:ascii="宋体" w:hint="eastAsia"/>
                <w:szCs w:val="21"/>
              </w:rPr>
              <w:t>等</w:t>
            </w:r>
            <w:r w:rsidRPr="00123108">
              <w:rPr>
                <w:rFonts w:hAnsi="宋体" w:cs="宋体" w:hint="eastAsia"/>
                <w:snapToGrid w:val="0"/>
                <w:szCs w:val="21"/>
              </w:rPr>
              <w:t>有毒或窒息性</w:t>
            </w:r>
            <w:r w:rsidRPr="00123108">
              <w:rPr>
                <w:rFonts w:ascii="宋体" w:hint="eastAsia"/>
                <w:szCs w:val="21"/>
              </w:rPr>
              <w:t>物料</w:t>
            </w:r>
            <w:r w:rsidRPr="00123108">
              <w:rPr>
                <w:rFonts w:ascii="宋体" w:hAnsi="宋体" w:hint="eastAsia"/>
                <w:szCs w:val="21"/>
              </w:rPr>
              <w:t>的场所以及地沟（坑）和污水系统等有限空间作业</w:t>
            </w:r>
          </w:p>
        </w:tc>
        <w:tc>
          <w:tcPr>
            <w:tcW w:w="3134" w:type="dxa"/>
            <w:vAlign w:val="center"/>
          </w:tcPr>
          <w:p w:rsidR="004F34D9" w:rsidRPr="00123108" w:rsidRDefault="004F34D9">
            <w:pPr>
              <w:pStyle w:val="2fa"/>
              <w:jc w:val="left"/>
              <w:rPr>
                <w:rFonts w:ascii="宋体" w:hAnsi="宋体" w:hint="eastAsia"/>
                <w:color w:val="auto"/>
              </w:rPr>
            </w:pPr>
            <w:r w:rsidRPr="00123108">
              <w:rPr>
                <w:rFonts w:ascii="宋体" w:hAnsi="宋体" w:cs="宋体" w:hint="eastAsia"/>
                <w:color w:val="auto"/>
                <w:szCs w:val="21"/>
              </w:rPr>
              <w:t>氮气</w:t>
            </w:r>
            <w:r w:rsidRPr="00123108">
              <w:rPr>
                <w:rFonts w:ascii="宋体" w:hint="eastAsia"/>
                <w:color w:val="auto"/>
                <w:szCs w:val="21"/>
              </w:rPr>
              <w:t>等</w:t>
            </w:r>
            <w:r w:rsidRPr="00123108">
              <w:rPr>
                <w:rFonts w:hAnsi="宋体" w:cs="宋体" w:hint="eastAsia"/>
                <w:snapToGrid w:val="0"/>
                <w:color w:val="auto"/>
                <w:szCs w:val="21"/>
              </w:rPr>
              <w:t>有毒或窒息性</w:t>
            </w:r>
            <w:r w:rsidRPr="00123108">
              <w:rPr>
                <w:rFonts w:ascii="宋体" w:hint="eastAsia"/>
                <w:color w:val="auto"/>
                <w:szCs w:val="21"/>
              </w:rPr>
              <w:t>物料</w:t>
            </w:r>
          </w:p>
        </w:tc>
      </w:tr>
      <w:tr w:rsidR="004F34D9" w:rsidRPr="00123108">
        <w:trPr>
          <w:cantSplit/>
          <w:trHeight w:val="340"/>
          <w:jc w:val="center"/>
        </w:trPr>
        <w:tc>
          <w:tcPr>
            <w:tcW w:w="827" w:type="dxa"/>
            <w:vAlign w:val="center"/>
          </w:tcPr>
          <w:p w:rsidR="004F34D9" w:rsidRPr="00123108" w:rsidRDefault="004F34D9">
            <w:pPr>
              <w:tabs>
                <w:tab w:val="left" w:pos="0"/>
                <w:tab w:val="left" w:pos="720"/>
              </w:tabs>
              <w:jc w:val="center"/>
              <w:rPr>
                <w:rFonts w:ascii="宋体" w:hAnsi="宋体" w:hint="eastAsia"/>
              </w:rPr>
            </w:pPr>
            <w:r w:rsidRPr="00123108">
              <w:rPr>
                <w:rFonts w:ascii="宋体" w:hAnsi="宋体" w:hint="eastAsia"/>
              </w:rPr>
              <w:t>5</w:t>
            </w:r>
          </w:p>
        </w:tc>
        <w:tc>
          <w:tcPr>
            <w:tcW w:w="1418" w:type="dxa"/>
            <w:vAlign w:val="center"/>
          </w:tcPr>
          <w:p w:rsidR="004F34D9" w:rsidRPr="00123108" w:rsidRDefault="004F34D9">
            <w:pPr>
              <w:tabs>
                <w:tab w:val="left" w:pos="0"/>
                <w:tab w:val="left" w:pos="720"/>
              </w:tabs>
              <w:jc w:val="center"/>
              <w:rPr>
                <w:rFonts w:ascii="宋体" w:hAnsi="宋体" w:hint="eastAsia"/>
              </w:rPr>
            </w:pPr>
            <w:r w:rsidRPr="00123108">
              <w:rPr>
                <w:rFonts w:ascii="宋体" w:hAnsi="宋体" w:cs="宋体" w:hint="eastAsia"/>
                <w:szCs w:val="21"/>
              </w:rPr>
              <w:t>电气伤害</w:t>
            </w:r>
          </w:p>
        </w:tc>
        <w:tc>
          <w:tcPr>
            <w:tcW w:w="3255" w:type="dxa"/>
            <w:vAlign w:val="center"/>
          </w:tcPr>
          <w:p w:rsidR="004F34D9" w:rsidRPr="00123108" w:rsidRDefault="004F34D9">
            <w:pPr>
              <w:jc w:val="left"/>
              <w:rPr>
                <w:rFonts w:ascii="宋体" w:hAnsi="宋体" w:cs="宋体" w:hint="eastAsia"/>
              </w:rPr>
            </w:pPr>
            <w:r w:rsidRPr="00123108">
              <w:rPr>
                <w:rFonts w:ascii="宋体" w:hAnsi="宋体" w:cs="宋体" w:hint="eastAsia"/>
              </w:rPr>
              <w:t>配电室、机柜间、控制室等</w:t>
            </w:r>
            <w:r w:rsidRPr="00123108">
              <w:rPr>
                <w:rFonts w:ascii="宋体" w:hAnsi="宋体" w:hint="eastAsia"/>
                <w:szCs w:val="21"/>
              </w:rPr>
              <w:t>涉及电气设施的场所等</w:t>
            </w:r>
          </w:p>
        </w:tc>
        <w:tc>
          <w:tcPr>
            <w:tcW w:w="3134" w:type="dxa"/>
            <w:vAlign w:val="center"/>
          </w:tcPr>
          <w:p w:rsidR="004F34D9" w:rsidRPr="00123108" w:rsidRDefault="004F34D9">
            <w:pPr>
              <w:jc w:val="left"/>
              <w:rPr>
                <w:rFonts w:ascii="宋体" w:hAnsi="宋体" w:cs="宋体" w:hint="eastAsia"/>
              </w:rPr>
            </w:pPr>
            <w:r w:rsidRPr="00123108">
              <w:rPr>
                <w:rFonts w:ascii="宋体" w:hAnsi="宋体" w:cs="宋体" w:hint="eastAsia"/>
              </w:rPr>
              <w:t>/</w:t>
            </w:r>
          </w:p>
        </w:tc>
      </w:tr>
      <w:tr w:rsidR="004F34D9" w:rsidRPr="00123108">
        <w:trPr>
          <w:cantSplit/>
          <w:trHeight w:val="340"/>
          <w:jc w:val="center"/>
        </w:trPr>
        <w:tc>
          <w:tcPr>
            <w:tcW w:w="827" w:type="dxa"/>
            <w:vAlign w:val="center"/>
          </w:tcPr>
          <w:p w:rsidR="004F34D9" w:rsidRPr="00123108" w:rsidRDefault="004F34D9">
            <w:pPr>
              <w:tabs>
                <w:tab w:val="left" w:pos="0"/>
                <w:tab w:val="left" w:pos="720"/>
              </w:tabs>
              <w:jc w:val="center"/>
              <w:rPr>
                <w:rFonts w:ascii="宋体" w:hAnsi="宋体" w:hint="eastAsia"/>
              </w:rPr>
            </w:pPr>
            <w:r w:rsidRPr="00123108">
              <w:rPr>
                <w:rFonts w:ascii="宋体" w:hAnsi="宋体" w:hint="eastAsia"/>
              </w:rPr>
              <w:t>6</w:t>
            </w:r>
          </w:p>
        </w:tc>
        <w:tc>
          <w:tcPr>
            <w:tcW w:w="1418" w:type="dxa"/>
            <w:vAlign w:val="center"/>
          </w:tcPr>
          <w:p w:rsidR="004F34D9" w:rsidRPr="00123108" w:rsidRDefault="004F34D9">
            <w:pPr>
              <w:jc w:val="center"/>
              <w:rPr>
                <w:rFonts w:ascii="宋体" w:hAnsi="宋体" w:cs="宋体" w:hint="eastAsia"/>
              </w:rPr>
            </w:pPr>
            <w:r w:rsidRPr="00123108">
              <w:rPr>
                <w:rFonts w:ascii="宋体" w:hAnsi="宋体" w:cs="宋体" w:hint="eastAsia"/>
              </w:rPr>
              <w:t>高处坠落</w:t>
            </w:r>
          </w:p>
        </w:tc>
        <w:tc>
          <w:tcPr>
            <w:tcW w:w="3255" w:type="dxa"/>
            <w:vAlign w:val="center"/>
          </w:tcPr>
          <w:p w:rsidR="004F34D9" w:rsidRPr="00123108" w:rsidRDefault="004F34D9">
            <w:pPr>
              <w:jc w:val="left"/>
              <w:rPr>
                <w:rFonts w:ascii="宋体" w:hAnsi="宋体" w:cs="宋体" w:hint="eastAsia"/>
              </w:rPr>
            </w:pPr>
            <w:r w:rsidRPr="00123108">
              <w:rPr>
                <w:rFonts w:ascii="宋体" w:hAnsi="宋体" w:hint="eastAsia"/>
                <w:szCs w:val="21"/>
              </w:rPr>
              <w:t>操作人员进行操作、维护、调节、检查的工作位置，距坠落基准面高差超过2m，且有坠落危险的场所等</w:t>
            </w:r>
          </w:p>
        </w:tc>
        <w:tc>
          <w:tcPr>
            <w:tcW w:w="3134" w:type="dxa"/>
            <w:vAlign w:val="center"/>
          </w:tcPr>
          <w:p w:rsidR="004F34D9" w:rsidRPr="00123108" w:rsidRDefault="004F34D9">
            <w:pPr>
              <w:jc w:val="left"/>
              <w:rPr>
                <w:rFonts w:ascii="宋体" w:hAnsi="宋体" w:cs="宋体" w:hint="eastAsia"/>
              </w:rPr>
            </w:pPr>
            <w:r w:rsidRPr="00123108">
              <w:rPr>
                <w:rFonts w:ascii="宋体" w:hAnsi="宋体" w:cs="宋体" w:hint="eastAsia"/>
              </w:rPr>
              <w:t>/</w:t>
            </w:r>
          </w:p>
        </w:tc>
      </w:tr>
      <w:tr w:rsidR="004F34D9" w:rsidRPr="00123108">
        <w:trPr>
          <w:cantSplit/>
          <w:trHeight w:val="340"/>
          <w:jc w:val="center"/>
        </w:trPr>
        <w:tc>
          <w:tcPr>
            <w:tcW w:w="827" w:type="dxa"/>
            <w:vAlign w:val="center"/>
          </w:tcPr>
          <w:p w:rsidR="004F34D9" w:rsidRPr="00123108" w:rsidRDefault="004F34D9">
            <w:pPr>
              <w:tabs>
                <w:tab w:val="left" w:pos="0"/>
                <w:tab w:val="left" w:pos="720"/>
              </w:tabs>
              <w:jc w:val="center"/>
              <w:rPr>
                <w:rFonts w:ascii="宋体" w:hAnsi="宋体" w:hint="eastAsia"/>
              </w:rPr>
            </w:pPr>
            <w:r w:rsidRPr="00123108">
              <w:rPr>
                <w:rFonts w:ascii="宋体" w:hAnsi="宋体" w:hint="eastAsia"/>
              </w:rPr>
              <w:t>7</w:t>
            </w:r>
          </w:p>
        </w:tc>
        <w:tc>
          <w:tcPr>
            <w:tcW w:w="1418" w:type="dxa"/>
            <w:vAlign w:val="center"/>
          </w:tcPr>
          <w:p w:rsidR="004F34D9" w:rsidRPr="00123108" w:rsidRDefault="004F34D9">
            <w:pPr>
              <w:jc w:val="center"/>
              <w:rPr>
                <w:rFonts w:ascii="宋体" w:hAnsi="宋体" w:cs="宋体" w:hint="eastAsia"/>
              </w:rPr>
            </w:pPr>
            <w:r w:rsidRPr="00123108">
              <w:rPr>
                <w:rFonts w:ascii="宋体" w:hAnsi="宋体" w:cs="宋体" w:hint="eastAsia"/>
              </w:rPr>
              <w:t>灼烫</w:t>
            </w:r>
          </w:p>
        </w:tc>
        <w:tc>
          <w:tcPr>
            <w:tcW w:w="3255" w:type="dxa"/>
            <w:vAlign w:val="center"/>
          </w:tcPr>
          <w:p w:rsidR="004F34D9" w:rsidRPr="00123108" w:rsidRDefault="004F34D9">
            <w:pPr>
              <w:jc w:val="left"/>
              <w:rPr>
                <w:rFonts w:ascii="宋体" w:hAnsi="宋体" w:cs="宋体" w:hint="eastAsia"/>
              </w:rPr>
            </w:pPr>
            <w:r w:rsidRPr="00123108">
              <w:rPr>
                <w:rFonts w:ascii="宋体" w:hAnsi="宋体" w:hint="eastAsia"/>
                <w:szCs w:val="21"/>
              </w:rPr>
              <w:t>各个系统中接触到高温、酸、碱的场所</w:t>
            </w:r>
          </w:p>
        </w:tc>
        <w:tc>
          <w:tcPr>
            <w:tcW w:w="3134" w:type="dxa"/>
            <w:vAlign w:val="center"/>
          </w:tcPr>
          <w:p w:rsidR="004F34D9" w:rsidRPr="00123108" w:rsidRDefault="004F34D9">
            <w:pPr>
              <w:jc w:val="left"/>
              <w:rPr>
                <w:rFonts w:ascii="宋体" w:hAnsi="宋体" w:cs="宋体" w:hint="eastAsia"/>
              </w:rPr>
            </w:pPr>
            <w:r w:rsidRPr="00123108">
              <w:rPr>
                <w:rFonts w:ascii="宋体" w:hAnsi="宋体" w:cs="宋体" w:hint="eastAsia"/>
              </w:rPr>
              <w:t>蒸汽、盐酸、液碱</w:t>
            </w:r>
          </w:p>
        </w:tc>
      </w:tr>
      <w:tr w:rsidR="004F34D9" w:rsidRPr="00123108">
        <w:trPr>
          <w:cantSplit/>
          <w:trHeight w:val="340"/>
          <w:jc w:val="center"/>
        </w:trPr>
        <w:tc>
          <w:tcPr>
            <w:tcW w:w="827" w:type="dxa"/>
            <w:vAlign w:val="center"/>
          </w:tcPr>
          <w:p w:rsidR="004F34D9" w:rsidRPr="00123108" w:rsidRDefault="004F34D9">
            <w:pPr>
              <w:tabs>
                <w:tab w:val="left" w:pos="0"/>
                <w:tab w:val="left" w:pos="720"/>
              </w:tabs>
              <w:jc w:val="center"/>
              <w:rPr>
                <w:rFonts w:ascii="宋体" w:hAnsi="宋体" w:hint="eastAsia"/>
              </w:rPr>
            </w:pPr>
            <w:r w:rsidRPr="00123108">
              <w:rPr>
                <w:rFonts w:ascii="宋体" w:hAnsi="宋体" w:hint="eastAsia"/>
              </w:rPr>
              <w:t>8</w:t>
            </w:r>
          </w:p>
        </w:tc>
        <w:tc>
          <w:tcPr>
            <w:tcW w:w="1418" w:type="dxa"/>
            <w:vAlign w:val="center"/>
          </w:tcPr>
          <w:p w:rsidR="004F34D9" w:rsidRPr="00123108" w:rsidRDefault="004F34D9">
            <w:pPr>
              <w:jc w:val="center"/>
              <w:rPr>
                <w:rFonts w:ascii="宋体" w:hAnsi="宋体" w:cs="宋体" w:hint="eastAsia"/>
              </w:rPr>
            </w:pPr>
            <w:r w:rsidRPr="00123108">
              <w:rPr>
                <w:rFonts w:ascii="宋体" w:hAnsi="宋体" w:cs="宋体" w:hint="eastAsia"/>
              </w:rPr>
              <w:t>机械伤害</w:t>
            </w:r>
          </w:p>
        </w:tc>
        <w:tc>
          <w:tcPr>
            <w:tcW w:w="3255" w:type="dxa"/>
            <w:vAlign w:val="center"/>
          </w:tcPr>
          <w:p w:rsidR="004F34D9" w:rsidRPr="00123108" w:rsidRDefault="004F34D9">
            <w:pPr>
              <w:jc w:val="left"/>
              <w:rPr>
                <w:rFonts w:ascii="宋体" w:hAnsi="宋体" w:cs="宋体" w:hint="eastAsia"/>
              </w:rPr>
            </w:pPr>
            <w:r w:rsidRPr="00123108">
              <w:rPr>
                <w:rFonts w:ascii="宋体" w:hAnsi="宋体" w:hint="eastAsia"/>
                <w:szCs w:val="21"/>
              </w:rPr>
              <w:t>各类机泵、搅拌器等转动设备、安装维修时工具设备等会与人体接触引起伤害的部位等</w:t>
            </w:r>
          </w:p>
        </w:tc>
        <w:tc>
          <w:tcPr>
            <w:tcW w:w="3134" w:type="dxa"/>
            <w:vAlign w:val="center"/>
          </w:tcPr>
          <w:p w:rsidR="004F34D9" w:rsidRPr="00123108" w:rsidRDefault="004F34D9">
            <w:pPr>
              <w:jc w:val="center"/>
              <w:rPr>
                <w:rFonts w:ascii="宋体" w:hAnsi="宋体" w:cs="宋体" w:hint="eastAsia"/>
              </w:rPr>
            </w:pPr>
            <w:r w:rsidRPr="00123108">
              <w:rPr>
                <w:rFonts w:ascii="宋体" w:hAnsi="宋体" w:cs="宋体" w:hint="eastAsia"/>
              </w:rPr>
              <w:t>/</w:t>
            </w:r>
          </w:p>
        </w:tc>
      </w:tr>
      <w:tr w:rsidR="004F34D9" w:rsidRPr="00123108">
        <w:trPr>
          <w:cantSplit/>
          <w:trHeight w:val="340"/>
          <w:jc w:val="center"/>
        </w:trPr>
        <w:tc>
          <w:tcPr>
            <w:tcW w:w="827" w:type="dxa"/>
            <w:vAlign w:val="center"/>
          </w:tcPr>
          <w:p w:rsidR="004F34D9" w:rsidRPr="00123108" w:rsidRDefault="004F34D9">
            <w:pPr>
              <w:tabs>
                <w:tab w:val="left" w:pos="0"/>
                <w:tab w:val="left" w:pos="720"/>
              </w:tabs>
              <w:jc w:val="center"/>
              <w:rPr>
                <w:rFonts w:ascii="宋体" w:hAnsi="宋体" w:hint="eastAsia"/>
              </w:rPr>
            </w:pPr>
            <w:r w:rsidRPr="00123108">
              <w:rPr>
                <w:rFonts w:ascii="宋体" w:hAnsi="宋体" w:hint="eastAsia"/>
              </w:rPr>
              <w:t>9</w:t>
            </w:r>
          </w:p>
        </w:tc>
        <w:tc>
          <w:tcPr>
            <w:tcW w:w="1418" w:type="dxa"/>
            <w:vAlign w:val="center"/>
          </w:tcPr>
          <w:p w:rsidR="004F34D9" w:rsidRPr="00123108" w:rsidRDefault="004F34D9">
            <w:pPr>
              <w:jc w:val="center"/>
              <w:rPr>
                <w:rFonts w:ascii="宋体" w:hAnsi="宋体" w:cs="宋体" w:hint="eastAsia"/>
              </w:rPr>
            </w:pPr>
            <w:r w:rsidRPr="00123108">
              <w:rPr>
                <w:rFonts w:ascii="宋体" w:hAnsi="宋体" w:cs="宋体" w:hint="eastAsia"/>
              </w:rPr>
              <w:t>车辆伤害</w:t>
            </w:r>
          </w:p>
        </w:tc>
        <w:tc>
          <w:tcPr>
            <w:tcW w:w="3255" w:type="dxa"/>
            <w:vAlign w:val="center"/>
          </w:tcPr>
          <w:p w:rsidR="004F34D9" w:rsidRPr="00123108" w:rsidRDefault="004F34D9">
            <w:pPr>
              <w:jc w:val="left"/>
              <w:rPr>
                <w:rFonts w:ascii="宋体" w:hAnsi="宋体" w:cs="宋体" w:hint="eastAsia"/>
              </w:rPr>
            </w:pPr>
            <w:r w:rsidRPr="00123108">
              <w:rPr>
                <w:rFonts w:ascii="宋体" w:hAnsi="宋体" w:hint="eastAsia"/>
                <w:szCs w:val="21"/>
              </w:rPr>
              <w:t>运输、装卸过程等</w:t>
            </w:r>
          </w:p>
        </w:tc>
        <w:tc>
          <w:tcPr>
            <w:tcW w:w="3134" w:type="dxa"/>
            <w:vAlign w:val="center"/>
          </w:tcPr>
          <w:p w:rsidR="004F34D9" w:rsidRPr="00123108" w:rsidRDefault="004F34D9">
            <w:pPr>
              <w:jc w:val="center"/>
              <w:rPr>
                <w:rFonts w:ascii="宋体" w:hAnsi="宋体" w:cs="宋体" w:hint="eastAsia"/>
              </w:rPr>
            </w:pPr>
            <w:r w:rsidRPr="00123108">
              <w:rPr>
                <w:rFonts w:ascii="宋体" w:hAnsi="宋体" w:cs="宋体" w:hint="eastAsia"/>
              </w:rPr>
              <w:t>/</w:t>
            </w:r>
          </w:p>
        </w:tc>
      </w:tr>
      <w:tr w:rsidR="004F34D9" w:rsidRPr="00123108">
        <w:trPr>
          <w:cantSplit/>
          <w:trHeight w:val="340"/>
          <w:jc w:val="center"/>
        </w:trPr>
        <w:tc>
          <w:tcPr>
            <w:tcW w:w="827" w:type="dxa"/>
            <w:vAlign w:val="center"/>
          </w:tcPr>
          <w:p w:rsidR="004F34D9" w:rsidRPr="00123108" w:rsidRDefault="004F34D9">
            <w:pPr>
              <w:tabs>
                <w:tab w:val="left" w:pos="0"/>
                <w:tab w:val="left" w:pos="720"/>
              </w:tabs>
              <w:jc w:val="center"/>
              <w:rPr>
                <w:rFonts w:ascii="宋体" w:hAnsi="宋体" w:hint="eastAsia"/>
              </w:rPr>
            </w:pPr>
            <w:r w:rsidRPr="00123108">
              <w:rPr>
                <w:rFonts w:ascii="宋体" w:hAnsi="宋体" w:hint="eastAsia"/>
              </w:rPr>
              <w:t>10</w:t>
            </w:r>
          </w:p>
        </w:tc>
        <w:tc>
          <w:tcPr>
            <w:tcW w:w="1418" w:type="dxa"/>
            <w:vAlign w:val="center"/>
          </w:tcPr>
          <w:p w:rsidR="004F34D9" w:rsidRPr="00123108" w:rsidRDefault="004F34D9">
            <w:pPr>
              <w:jc w:val="center"/>
              <w:rPr>
                <w:rFonts w:ascii="宋体" w:hAnsi="宋体" w:cs="宋体" w:hint="eastAsia"/>
              </w:rPr>
            </w:pPr>
            <w:r w:rsidRPr="00123108">
              <w:rPr>
                <w:rFonts w:ascii="宋体" w:hAnsi="宋体" w:cs="宋体" w:hint="eastAsia"/>
              </w:rPr>
              <w:t>起重伤害</w:t>
            </w:r>
          </w:p>
        </w:tc>
        <w:tc>
          <w:tcPr>
            <w:tcW w:w="3255" w:type="dxa"/>
            <w:vAlign w:val="center"/>
          </w:tcPr>
          <w:p w:rsidR="004F34D9" w:rsidRPr="00123108" w:rsidRDefault="004F34D9">
            <w:pPr>
              <w:jc w:val="left"/>
              <w:rPr>
                <w:rFonts w:ascii="宋体" w:hAnsi="宋体" w:cs="宋体" w:hint="eastAsia"/>
              </w:rPr>
            </w:pPr>
            <w:r w:rsidRPr="00123108">
              <w:rPr>
                <w:rFonts w:ascii="宋体" w:hAnsi="宋体" w:hint="eastAsia"/>
                <w:szCs w:val="21"/>
              </w:rPr>
              <w:t>起重作业等</w:t>
            </w:r>
          </w:p>
        </w:tc>
        <w:tc>
          <w:tcPr>
            <w:tcW w:w="3134" w:type="dxa"/>
            <w:vAlign w:val="center"/>
          </w:tcPr>
          <w:p w:rsidR="004F34D9" w:rsidRPr="00123108" w:rsidRDefault="004F34D9">
            <w:pPr>
              <w:jc w:val="center"/>
              <w:rPr>
                <w:rFonts w:ascii="宋体" w:hAnsi="宋体" w:cs="宋体" w:hint="eastAsia"/>
              </w:rPr>
            </w:pPr>
            <w:r w:rsidRPr="00123108">
              <w:rPr>
                <w:rFonts w:ascii="宋体" w:hAnsi="宋体" w:cs="宋体" w:hint="eastAsia"/>
              </w:rPr>
              <w:t>/</w:t>
            </w:r>
          </w:p>
        </w:tc>
      </w:tr>
      <w:tr w:rsidR="004F34D9" w:rsidRPr="00123108">
        <w:trPr>
          <w:cantSplit/>
          <w:trHeight w:val="340"/>
          <w:jc w:val="center"/>
        </w:trPr>
        <w:tc>
          <w:tcPr>
            <w:tcW w:w="827" w:type="dxa"/>
            <w:vAlign w:val="center"/>
          </w:tcPr>
          <w:p w:rsidR="004F34D9" w:rsidRPr="00123108" w:rsidRDefault="004F34D9">
            <w:pPr>
              <w:tabs>
                <w:tab w:val="left" w:pos="0"/>
                <w:tab w:val="left" w:pos="720"/>
              </w:tabs>
              <w:jc w:val="center"/>
              <w:rPr>
                <w:rFonts w:ascii="宋体" w:hAnsi="宋体" w:hint="eastAsia"/>
              </w:rPr>
            </w:pPr>
            <w:r w:rsidRPr="00123108">
              <w:rPr>
                <w:rFonts w:ascii="宋体" w:hAnsi="宋体" w:hint="eastAsia"/>
              </w:rPr>
              <w:t>11</w:t>
            </w:r>
          </w:p>
        </w:tc>
        <w:tc>
          <w:tcPr>
            <w:tcW w:w="1418" w:type="dxa"/>
            <w:vAlign w:val="center"/>
          </w:tcPr>
          <w:p w:rsidR="004F34D9" w:rsidRPr="00123108" w:rsidRDefault="004F34D9">
            <w:pPr>
              <w:jc w:val="center"/>
              <w:rPr>
                <w:rFonts w:ascii="宋体" w:hAnsi="宋体" w:cs="宋体" w:hint="eastAsia"/>
              </w:rPr>
            </w:pPr>
            <w:r w:rsidRPr="00123108">
              <w:rPr>
                <w:rFonts w:ascii="宋体" w:hAnsi="宋体" w:cs="宋体" w:hint="eastAsia"/>
              </w:rPr>
              <w:t>物体打击</w:t>
            </w:r>
          </w:p>
        </w:tc>
        <w:tc>
          <w:tcPr>
            <w:tcW w:w="3255" w:type="dxa"/>
            <w:vAlign w:val="center"/>
          </w:tcPr>
          <w:p w:rsidR="004F34D9" w:rsidRPr="00123108" w:rsidRDefault="004F34D9">
            <w:pPr>
              <w:jc w:val="left"/>
              <w:rPr>
                <w:rFonts w:ascii="宋体" w:hAnsi="宋体" w:cs="宋体" w:hint="eastAsia"/>
              </w:rPr>
            </w:pPr>
            <w:r w:rsidRPr="00123108">
              <w:rPr>
                <w:rFonts w:ascii="宋体" w:hAnsi="宋体" w:cs="宋体" w:hint="eastAsia"/>
              </w:rPr>
              <w:t>在各场所进行检修时、巡检场所等</w:t>
            </w:r>
          </w:p>
        </w:tc>
        <w:tc>
          <w:tcPr>
            <w:tcW w:w="3134" w:type="dxa"/>
            <w:vAlign w:val="center"/>
          </w:tcPr>
          <w:p w:rsidR="004F34D9" w:rsidRPr="00123108" w:rsidRDefault="004F34D9">
            <w:pPr>
              <w:jc w:val="center"/>
              <w:rPr>
                <w:rFonts w:ascii="宋体" w:hAnsi="宋体" w:cs="宋体" w:hint="eastAsia"/>
              </w:rPr>
            </w:pPr>
            <w:r w:rsidRPr="00123108">
              <w:rPr>
                <w:rFonts w:ascii="宋体" w:hAnsi="宋体" w:cs="宋体" w:hint="eastAsia"/>
              </w:rPr>
              <w:t>/</w:t>
            </w:r>
          </w:p>
        </w:tc>
      </w:tr>
      <w:tr w:rsidR="004F34D9" w:rsidRPr="00123108">
        <w:trPr>
          <w:cantSplit/>
          <w:trHeight w:val="340"/>
          <w:jc w:val="center"/>
        </w:trPr>
        <w:tc>
          <w:tcPr>
            <w:tcW w:w="827" w:type="dxa"/>
            <w:vAlign w:val="center"/>
          </w:tcPr>
          <w:p w:rsidR="004F34D9" w:rsidRPr="00123108" w:rsidRDefault="004F34D9">
            <w:pPr>
              <w:tabs>
                <w:tab w:val="left" w:pos="0"/>
                <w:tab w:val="left" w:pos="720"/>
              </w:tabs>
              <w:jc w:val="center"/>
              <w:rPr>
                <w:rFonts w:ascii="宋体" w:hAnsi="宋体" w:hint="eastAsia"/>
              </w:rPr>
            </w:pPr>
            <w:r w:rsidRPr="00123108">
              <w:rPr>
                <w:rFonts w:ascii="宋体" w:hAnsi="宋体" w:hint="eastAsia"/>
              </w:rPr>
              <w:t>12</w:t>
            </w:r>
          </w:p>
        </w:tc>
        <w:tc>
          <w:tcPr>
            <w:tcW w:w="1418" w:type="dxa"/>
            <w:vAlign w:val="center"/>
          </w:tcPr>
          <w:p w:rsidR="004F34D9" w:rsidRPr="00123108" w:rsidRDefault="004F34D9">
            <w:pPr>
              <w:jc w:val="center"/>
              <w:rPr>
                <w:rFonts w:ascii="宋体" w:hAnsi="宋体" w:cs="宋体" w:hint="eastAsia"/>
              </w:rPr>
            </w:pPr>
            <w:r w:rsidRPr="00123108">
              <w:rPr>
                <w:rFonts w:ascii="宋体" w:hAnsi="宋体" w:cs="宋体" w:hint="eastAsia"/>
              </w:rPr>
              <w:t>淹溺</w:t>
            </w:r>
          </w:p>
        </w:tc>
        <w:tc>
          <w:tcPr>
            <w:tcW w:w="3255" w:type="dxa"/>
            <w:vAlign w:val="center"/>
          </w:tcPr>
          <w:p w:rsidR="004F34D9" w:rsidRPr="00123108" w:rsidRDefault="004F34D9">
            <w:pPr>
              <w:jc w:val="left"/>
              <w:rPr>
                <w:rFonts w:ascii="宋体" w:hAnsi="宋体" w:cs="宋体" w:hint="eastAsia"/>
              </w:rPr>
            </w:pPr>
            <w:r w:rsidRPr="00123108">
              <w:rPr>
                <w:rFonts w:ascii="宋体" w:hAnsi="宋体" w:cs="宋体" w:hint="eastAsia"/>
              </w:rPr>
              <w:t>循环水场、废水池</w:t>
            </w:r>
            <w:r w:rsidRPr="00123108">
              <w:rPr>
                <w:rFonts w:ascii="宋体" w:hAnsi="宋体" w:cs="宋体" w:hint="eastAsia"/>
                <w:lang w:val="zh-CN"/>
              </w:rPr>
              <w:t>等区域</w:t>
            </w:r>
          </w:p>
        </w:tc>
        <w:tc>
          <w:tcPr>
            <w:tcW w:w="3134" w:type="dxa"/>
            <w:vAlign w:val="center"/>
          </w:tcPr>
          <w:p w:rsidR="004F34D9" w:rsidRPr="00123108" w:rsidRDefault="004F34D9">
            <w:pPr>
              <w:jc w:val="center"/>
              <w:rPr>
                <w:rFonts w:ascii="宋体" w:hAnsi="宋体" w:cs="宋体" w:hint="eastAsia"/>
              </w:rPr>
            </w:pPr>
            <w:r w:rsidRPr="00123108">
              <w:rPr>
                <w:rFonts w:ascii="宋体" w:hAnsi="宋体" w:cs="宋体" w:hint="eastAsia"/>
              </w:rPr>
              <w:t>/</w:t>
            </w:r>
          </w:p>
        </w:tc>
      </w:tr>
      <w:tr w:rsidR="004F34D9" w:rsidRPr="00123108">
        <w:trPr>
          <w:cantSplit/>
          <w:trHeight w:val="340"/>
          <w:jc w:val="center"/>
        </w:trPr>
        <w:tc>
          <w:tcPr>
            <w:tcW w:w="827" w:type="dxa"/>
            <w:vAlign w:val="center"/>
          </w:tcPr>
          <w:p w:rsidR="004F34D9" w:rsidRPr="00123108" w:rsidRDefault="004F34D9">
            <w:pPr>
              <w:tabs>
                <w:tab w:val="left" w:pos="0"/>
                <w:tab w:val="left" w:pos="720"/>
              </w:tabs>
              <w:jc w:val="center"/>
              <w:rPr>
                <w:rFonts w:ascii="宋体" w:hAnsi="宋体" w:hint="eastAsia"/>
              </w:rPr>
            </w:pPr>
            <w:r w:rsidRPr="00123108">
              <w:rPr>
                <w:rFonts w:ascii="宋体" w:hAnsi="宋体" w:hint="eastAsia"/>
              </w:rPr>
              <w:t>13</w:t>
            </w:r>
          </w:p>
        </w:tc>
        <w:tc>
          <w:tcPr>
            <w:tcW w:w="1418" w:type="dxa"/>
            <w:vAlign w:val="center"/>
          </w:tcPr>
          <w:p w:rsidR="004F34D9" w:rsidRPr="00123108" w:rsidRDefault="004F34D9">
            <w:pPr>
              <w:tabs>
                <w:tab w:val="left" w:leader="underscore" w:pos="1134"/>
              </w:tabs>
              <w:jc w:val="center"/>
              <w:rPr>
                <w:rFonts w:ascii="宋体" w:hAnsi="宋体" w:cs="宋体" w:hint="eastAsia"/>
              </w:rPr>
            </w:pPr>
            <w:r w:rsidRPr="00123108">
              <w:rPr>
                <w:rFonts w:ascii="宋体" w:hAnsi="宋体" w:hint="eastAsia"/>
                <w:bCs/>
                <w:caps/>
                <w:szCs w:val="21"/>
              </w:rPr>
              <w:t>坍塌</w:t>
            </w:r>
          </w:p>
        </w:tc>
        <w:tc>
          <w:tcPr>
            <w:tcW w:w="3255" w:type="dxa"/>
            <w:vAlign w:val="center"/>
          </w:tcPr>
          <w:p w:rsidR="004F34D9" w:rsidRPr="00123108" w:rsidRDefault="004F34D9">
            <w:pPr>
              <w:jc w:val="center"/>
              <w:rPr>
                <w:rFonts w:ascii="宋体" w:hAnsi="宋体" w:cs="宋体" w:hint="eastAsia"/>
              </w:rPr>
            </w:pPr>
            <w:r w:rsidRPr="00123108">
              <w:rPr>
                <w:rFonts w:ascii="宋体" w:hAnsi="宋体" w:hint="eastAsia"/>
                <w:szCs w:val="21"/>
              </w:rPr>
              <w:t>库房储存物料、</w:t>
            </w:r>
            <w:r w:rsidRPr="00123108">
              <w:rPr>
                <w:rFonts w:ascii="宋体" w:hAnsi="宋体" w:cs="宋体" w:hint="eastAsia"/>
              </w:rPr>
              <w:t>备品备件等</w:t>
            </w:r>
            <w:r w:rsidRPr="00123108">
              <w:rPr>
                <w:rFonts w:ascii="宋体" w:hAnsi="宋体" w:hint="eastAsia"/>
                <w:szCs w:val="21"/>
              </w:rPr>
              <w:t>，堆垛不合理、堆垛过高等</w:t>
            </w:r>
          </w:p>
        </w:tc>
        <w:tc>
          <w:tcPr>
            <w:tcW w:w="3134" w:type="dxa"/>
            <w:vAlign w:val="center"/>
          </w:tcPr>
          <w:p w:rsidR="004F34D9" w:rsidRPr="00123108" w:rsidRDefault="004F34D9">
            <w:pPr>
              <w:jc w:val="center"/>
              <w:rPr>
                <w:rFonts w:ascii="宋体" w:hAnsi="宋体" w:cs="宋体" w:hint="eastAsia"/>
              </w:rPr>
            </w:pPr>
            <w:r w:rsidRPr="00123108">
              <w:rPr>
                <w:rFonts w:ascii="宋体" w:hAnsi="宋体" w:cs="宋体" w:hint="eastAsia"/>
              </w:rPr>
              <w:t>/</w:t>
            </w:r>
          </w:p>
        </w:tc>
      </w:tr>
    </w:tbl>
    <w:p w:rsidR="004F34D9" w:rsidRPr="00123108" w:rsidRDefault="004F34D9">
      <w:pPr>
        <w:spacing w:line="360" w:lineRule="auto"/>
        <w:rPr>
          <w:rFonts w:ascii="宋体" w:hAnsi="宋体" w:cs="宋体" w:hint="eastAsia"/>
          <w:sz w:val="24"/>
        </w:rPr>
      </w:pPr>
    </w:p>
    <w:p w:rsidR="004F34D9" w:rsidRPr="00123108" w:rsidRDefault="004F34D9">
      <w:pPr>
        <w:pStyle w:val="1"/>
        <w:rPr>
          <w:rFonts w:ascii="宋体" w:eastAsia="宋体" w:cs="宋体" w:hint="eastAsia"/>
          <w:lang w:val="zh-CN"/>
        </w:rPr>
        <w:sectPr w:rsidR="004F34D9" w:rsidRPr="00123108">
          <w:type w:val="nextColumn"/>
          <w:pgSz w:w="11907" w:h="16840"/>
          <w:pgMar w:top="1418" w:right="1134" w:bottom="1134" w:left="1588" w:header="851" w:footer="992" w:gutter="0"/>
          <w:paperSrc w:first="7" w:other="7"/>
          <w:cols w:space="720"/>
          <w:docGrid w:linePitch="435" w:charSpace="2564"/>
        </w:sectPr>
      </w:pPr>
      <w:bookmarkStart w:id="919" w:name="_Toc252533267"/>
      <w:bookmarkStart w:id="920" w:name="_Toc245793504"/>
      <w:bookmarkStart w:id="921" w:name="_Toc3809054"/>
    </w:p>
    <w:p w:rsidR="004F34D9" w:rsidRPr="00123108" w:rsidRDefault="004F34D9" w:rsidP="00D06780">
      <w:pPr>
        <w:pStyle w:val="1"/>
        <w:spacing w:beforeLines="0" w:before="0" w:afterLines="0" w:after="0" w:line="500" w:lineRule="exact"/>
        <w:rPr>
          <w:rFonts w:ascii="宋体" w:eastAsia="宋体" w:cs="宋体" w:hint="eastAsia"/>
          <w:spacing w:val="-4"/>
        </w:rPr>
      </w:pPr>
      <w:bookmarkStart w:id="922" w:name="_Toc9282"/>
      <w:bookmarkStart w:id="923" w:name="_Toc30446"/>
      <w:bookmarkStart w:id="924" w:name="_Toc31933"/>
      <w:bookmarkStart w:id="925" w:name="_Toc3520"/>
      <w:bookmarkStart w:id="926" w:name="_Toc29561"/>
      <w:bookmarkStart w:id="927" w:name="_Toc31336"/>
      <w:bookmarkStart w:id="928" w:name="_Toc190935797"/>
      <w:r w:rsidRPr="00123108">
        <w:rPr>
          <w:rFonts w:ascii="宋体" w:eastAsia="宋体" w:cs="宋体" w:hint="eastAsia"/>
          <w:spacing w:val="-4"/>
        </w:rPr>
        <w:lastRenderedPageBreak/>
        <w:t>7  定性、定量评价结果</w:t>
      </w:r>
      <w:bookmarkEnd w:id="919"/>
      <w:bookmarkEnd w:id="920"/>
      <w:bookmarkEnd w:id="921"/>
      <w:bookmarkEnd w:id="922"/>
      <w:bookmarkEnd w:id="923"/>
      <w:bookmarkEnd w:id="924"/>
      <w:bookmarkEnd w:id="925"/>
      <w:bookmarkEnd w:id="926"/>
      <w:bookmarkEnd w:id="927"/>
      <w:bookmarkEnd w:id="928"/>
    </w:p>
    <w:p w:rsidR="004F34D9" w:rsidRPr="00123108" w:rsidRDefault="004F34D9" w:rsidP="00D06780">
      <w:pPr>
        <w:pStyle w:val="2"/>
        <w:spacing w:line="500" w:lineRule="exact"/>
        <w:jc w:val="both"/>
        <w:rPr>
          <w:rFonts w:ascii="宋体" w:eastAsia="宋体" w:cs="宋体" w:hint="eastAsia"/>
          <w:sz w:val="28"/>
          <w:szCs w:val="28"/>
        </w:rPr>
      </w:pPr>
      <w:bookmarkStart w:id="929" w:name="_Toc225056906"/>
      <w:bookmarkStart w:id="930" w:name="_Toc3809055"/>
      <w:bookmarkStart w:id="931" w:name="_Toc238867526"/>
      <w:bookmarkStart w:id="932" w:name="_Toc252533268"/>
      <w:bookmarkStart w:id="933" w:name="_Toc236122655"/>
      <w:bookmarkStart w:id="934" w:name="_Toc8483"/>
      <w:bookmarkStart w:id="935" w:name="_Toc224442416"/>
      <w:bookmarkStart w:id="936" w:name="_Toc13726"/>
      <w:bookmarkStart w:id="937" w:name="_Toc185"/>
      <w:bookmarkStart w:id="938" w:name="_Toc245793505"/>
      <w:bookmarkStart w:id="939" w:name="_Toc25857"/>
      <w:bookmarkStart w:id="940" w:name="_Toc5730"/>
      <w:bookmarkStart w:id="941" w:name="_Toc5962"/>
      <w:bookmarkStart w:id="942" w:name="_Toc190935798"/>
      <w:r w:rsidRPr="00123108">
        <w:rPr>
          <w:rFonts w:ascii="宋体" w:eastAsia="宋体" w:cs="宋体" w:hint="eastAsia"/>
          <w:sz w:val="28"/>
          <w:szCs w:val="28"/>
        </w:rPr>
        <w:t>7.1  固有危险程度分析结果</w:t>
      </w:r>
      <w:bookmarkEnd w:id="942"/>
    </w:p>
    <w:p w:rsidR="004F34D9" w:rsidRPr="00123108" w:rsidRDefault="004F34D9" w:rsidP="00D06780">
      <w:pPr>
        <w:spacing w:line="500" w:lineRule="exact"/>
        <w:outlineLvl w:val="2"/>
        <w:rPr>
          <w:rFonts w:ascii="宋体" w:cs="宋体" w:hint="eastAsia"/>
          <w:b/>
          <w:bCs/>
          <w:sz w:val="28"/>
          <w:szCs w:val="28"/>
        </w:rPr>
      </w:pPr>
      <w:bookmarkStart w:id="943" w:name="_Toc190935799"/>
      <w:r w:rsidRPr="00123108">
        <w:rPr>
          <w:rFonts w:ascii="宋体" w:cs="宋体" w:hint="eastAsia"/>
          <w:b/>
          <w:bCs/>
          <w:sz w:val="28"/>
          <w:szCs w:val="28"/>
        </w:rPr>
        <w:t>7.1.1  危险化学品数量、状态、部位及其状况分析结果</w:t>
      </w:r>
      <w:bookmarkEnd w:id="943"/>
    </w:p>
    <w:p w:rsidR="004F34D9" w:rsidRPr="00123108" w:rsidRDefault="004F34D9" w:rsidP="00D06780">
      <w:pPr>
        <w:spacing w:line="500" w:lineRule="exact"/>
        <w:ind w:firstLineChars="200" w:firstLine="560"/>
        <w:rPr>
          <w:rFonts w:ascii="宋体" w:cs="宋体"/>
          <w:sz w:val="28"/>
          <w:szCs w:val="28"/>
        </w:rPr>
      </w:pPr>
      <w:r w:rsidRPr="00123108">
        <w:rPr>
          <w:rFonts w:ascii="宋体" w:hAnsi="宋体" w:cs="宋体" w:hint="eastAsia"/>
          <w:sz w:val="28"/>
          <w:szCs w:val="28"/>
        </w:rPr>
        <w:t>本项目涉及的危险化学品数量、状态、部位及其状况（温度、压力）分析详见</w:t>
      </w:r>
      <w:r w:rsidRPr="00123108">
        <w:rPr>
          <w:rFonts w:hAnsi="宋体" w:hint="eastAsia"/>
          <w:sz w:val="28"/>
          <w:szCs w:val="28"/>
        </w:rPr>
        <w:t>附表</w:t>
      </w:r>
      <w:r w:rsidRPr="00123108">
        <w:rPr>
          <w:rFonts w:ascii="宋体" w:hAnsi="宋体" w:hint="eastAsia"/>
          <w:sz w:val="28"/>
          <w:szCs w:val="28"/>
        </w:rPr>
        <w:t>2.1-1。</w:t>
      </w:r>
    </w:p>
    <w:p w:rsidR="004F34D9" w:rsidRPr="00123108" w:rsidRDefault="004F34D9" w:rsidP="00D06780">
      <w:pPr>
        <w:spacing w:line="500" w:lineRule="exact"/>
        <w:outlineLvl w:val="2"/>
        <w:rPr>
          <w:rFonts w:ascii="宋体" w:cs="宋体" w:hint="eastAsia"/>
          <w:b/>
          <w:bCs/>
          <w:sz w:val="28"/>
          <w:szCs w:val="28"/>
        </w:rPr>
      </w:pPr>
      <w:bookmarkStart w:id="944" w:name="_Toc190935800"/>
      <w:r w:rsidRPr="00123108">
        <w:rPr>
          <w:rFonts w:ascii="宋体" w:cs="宋体" w:hint="eastAsia"/>
          <w:b/>
          <w:bCs/>
          <w:sz w:val="28"/>
          <w:szCs w:val="28"/>
        </w:rPr>
        <w:t>7.1.2  定量分析建设项目各个评价单元的固有危险程度结果</w:t>
      </w:r>
      <w:bookmarkEnd w:id="944"/>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（1）</w:t>
      </w:r>
      <w:r w:rsidRPr="00123108">
        <w:rPr>
          <w:rFonts w:ascii="宋体" w:hAnsi="宋体" w:cs="宋体" w:hint="eastAsia"/>
          <w:kern w:val="0"/>
          <w:sz w:val="28"/>
          <w:szCs w:val="28"/>
        </w:rPr>
        <w:t>具有</w:t>
      </w:r>
      <w:r w:rsidRPr="00123108">
        <w:rPr>
          <w:rFonts w:ascii="宋体" w:hAnsi="宋体" w:cs="宋体" w:hint="eastAsia"/>
          <w:sz w:val="28"/>
          <w:szCs w:val="28"/>
        </w:rPr>
        <w:t>可燃性的化学品的质量及燃烧后放出的热量</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kern w:val="0"/>
          <w:sz w:val="28"/>
          <w:szCs w:val="28"/>
        </w:rPr>
        <w:t>具有</w:t>
      </w:r>
      <w:r w:rsidRPr="00123108">
        <w:rPr>
          <w:rFonts w:ascii="宋体" w:hAnsi="宋体" w:cs="宋体" w:hint="eastAsia"/>
          <w:sz w:val="28"/>
          <w:szCs w:val="28"/>
        </w:rPr>
        <w:t>可燃性的化学品的质量及燃烧后放出的热量计算结果见附表2.1-2。</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（2）具有腐蚀性的化学品的数量、状态、部位及其状况</w:t>
      </w:r>
    </w:p>
    <w:p w:rsidR="004F34D9" w:rsidRPr="00123108" w:rsidRDefault="004F34D9" w:rsidP="00D06780">
      <w:pPr>
        <w:spacing w:line="500" w:lineRule="exact"/>
        <w:ind w:firstLineChars="200" w:firstLine="560"/>
        <w:rPr>
          <w:rFonts w:ascii="宋体" w:hAnsi="宋体" w:cs="宋体"/>
          <w:sz w:val="28"/>
          <w:szCs w:val="28"/>
        </w:rPr>
      </w:pPr>
      <w:r w:rsidRPr="00123108">
        <w:rPr>
          <w:rFonts w:ascii="宋体" w:hAnsi="宋体" w:cs="宋体" w:hint="eastAsia"/>
          <w:sz w:val="28"/>
          <w:szCs w:val="28"/>
        </w:rPr>
        <w:t>具有腐蚀性的化学品的数量、状态、部位及其状况详见附表2.1-1。</w:t>
      </w:r>
    </w:p>
    <w:p w:rsidR="004F34D9" w:rsidRPr="00123108" w:rsidRDefault="004F34D9" w:rsidP="00D06780">
      <w:pPr>
        <w:pStyle w:val="2"/>
        <w:spacing w:line="500" w:lineRule="exact"/>
        <w:jc w:val="both"/>
        <w:rPr>
          <w:rFonts w:ascii="宋体" w:eastAsia="宋体" w:cs="宋体" w:hint="eastAsia"/>
          <w:sz w:val="28"/>
          <w:szCs w:val="28"/>
        </w:rPr>
      </w:pPr>
      <w:bookmarkStart w:id="945" w:name="_Toc190935801"/>
      <w:r w:rsidRPr="00123108">
        <w:rPr>
          <w:rFonts w:ascii="宋体" w:eastAsia="宋体" w:cs="宋体" w:hint="eastAsia"/>
          <w:sz w:val="28"/>
          <w:szCs w:val="28"/>
        </w:rPr>
        <w:t>7.2  风险程度分析结果</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5"/>
    </w:p>
    <w:p w:rsidR="004F34D9" w:rsidRPr="00123108" w:rsidRDefault="004F34D9" w:rsidP="00D06780">
      <w:pPr>
        <w:pStyle w:val="3"/>
        <w:spacing w:line="500" w:lineRule="exact"/>
        <w:rPr>
          <w:rFonts w:ascii="宋体" w:eastAsia="宋体" w:hAnsi="宋体" w:cs="宋体" w:hint="eastAsia"/>
          <w:sz w:val="28"/>
          <w:szCs w:val="28"/>
        </w:rPr>
      </w:pPr>
      <w:bookmarkStart w:id="946" w:name="_Toc672"/>
      <w:bookmarkStart w:id="947" w:name="_Toc23135"/>
      <w:bookmarkStart w:id="948" w:name="_Toc252533270"/>
      <w:bookmarkStart w:id="949" w:name="_Toc238867527"/>
      <w:bookmarkStart w:id="950" w:name="_Toc3809057"/>
      <w:bookmarkStart w:id="951" w:name="_Toc245793506"/>
      <w:bookmarkStart w:id="952" w:name="_Toc21823"/>
      <w:bookmarkStart w:id="953" w:name="_Toc4697"/>
      <w:bookmarkStart w:id="954" w:name="_Toc24426"/>
      <w:bookmarkStart w:id="955" w:name="_Toc236122656"/>
      <w:bookmarkStart w:id="956" w:name="_Toc13034"/>
      <w:bookmarkStart w:id="957" w:name="_Toc190935802"/>
      <w:r w:rsidRPr="00123108">
        <w:rPr>
          <w:rFonts w:ascii="宋体" w:eastAsia="宋体" w:hAnsi="宋体" w:cs="宋体" w:hint="eastAsia"/>
          <w:sz w:val="28"/>
          <w:szCs w:val="28"/>
          <w:lang w:val="zh-CN"/>
        </w:rPr>
        <w:t>7.</w:t>
      </w:r>
      <w:r w:rsidRPr="00123108">
        <w:rPr>
          <w:rFonts w:ascii="宋体" w:eastAsia="宋体" w:hAnsi="宋体" w:cs="宋体" w:hint="eastAsia"/>
          <w:sz w:val="28"/>
          <w:szCs w:val="28"/>
        </w:rPr>
        <w:t>2</w:t>
      </w:r>
      <w:r w:rsidRPr="00123108">
        <w:rPr>
          <w:rFonts w:ascii="宋体" w:eastAsia="宋体" w:hAnsi="宋体" w:cs="宋体" w:hint="eastAsia"/>
          <w:sz w:val="28"/>
          <w:szCs w:val="28"/>
          <w:lang w:val="zh-CN"/>
        </w:rPr>
        <w:t>.</w:t>
      </w:r>
      <w:r w:rsidRPr="00123108">
        <w:rPr>
          <w:rFonts w:ascii="宋体" w:eastAsia="宋体" w:hAnsi="宋体" w:cs="宋体" w:hint="eastAsia"/>
          <w:sz w:val="28"/>
          <w:szCs w:val="28"/>
        </w:rPr>
        <w:t>1</w:t>
      </w:r>
      <w:r w:rsidRPr="00123108">
        <w:rPr>
          <w:rFonts w:ascii="宋体" w:eastAsia="宋体" w:hAnsi="宋体" w:cs="宋体" w:hint="eastAsia"/>
          <w:sz w:val="28"/>
          <w:szCs w:val="28"/>
          <w:lang w:val="zh-CN"/>
        </w:rPr>
        <w:t xml:space="preserve">  </w:t>
      </w:r>
      <w:bookmarkEnd w:id="946"/>
      <w:bookmarkEnd w:id="947"/>
      <w:bookmarkEnd w:id="948"/>
      <w:bookmarkEnd w:id="949"/>
      <w:bookmarkEnd w:id="950"/>
      <w:bookmarkEnd w:id="951"/>
      <w:bookmarkEnd w:id="952"/>
      <w:bookmarkEnd w:id="953"/>
      <w:bookmarkEnd w:id="954"/>
      <w:bookmarkEnd w:id="955"/>
      <w:bookmarkEnd w:id="956"/>
      <w:r w:rsidRPr="00123108">
        <w:rPr>
          <w:rFonts w:ascii="宋体" w:eastAsia="宋体" w:hAnsi="宋体" w:cs="宋体" w:hint="eastAsia"/>
          <w:sz w:val="28"/>
          <w:szCs w:val="28"/>
          <w:lang w:val="zh-CN"/>
        </w:rPr>
        <w:t>个人风险值和社会风险值计算</w:t>
      </w:r>
      <w:bookmarkEnd w:id="957"/>
    </w:p>
    <w:p w:rsidR="004F34D9" w:rsidRPr="00123108" w:rsidRDefault="004F34D9" w:rsidP="00D06780">
      <w:pPr>
        <w:spacing w:line="500" w:lineRule="exact"/>
        <w:ind w:firstLineChars="250" w:firstLine="700"/>
        <w:rPr>
          <w:rFonts w:ascii="宋体" w:hAnsi="宋体" w:cs="宋体" w:hint="eastAsia"/>
          <w:sz w:val="28"/>
          <w:szCs w:val="28"/>
        </w:rPr>
      </w:pPr>
      <w:r w:rsidRPr="00123108">
        <w:rPr>
          <w:rFonts w:ascii="宋体" w:hAnsi="宋体" w:cs="宋体" w:hint="eastAsia"/>
          <w:sz w:val="28"/>
          <w:szCs w:val="28"/>
        </w:rPr>
        <w:t>利用南京安元科技有限公司研制的定量风险评价软件对新桥化工整个厂区进行个人风险值和社会风险值计算分析。</w:t>
      </w:r>
    </w:p>
    <w:p w:rsidR="004F34D9" w:rsidRPr="00123108" w:rsidRDefault="004F34D9" w:rsidP="00D06780">
      <w:pPr>
        <w:pStyle w:val="aff7"/>
        <w:spacing w:after="0" w:line="500" w:lineRule="exact"/>
        <w:ind w:firstLineChars="200" w:firstLine="560"/>
        <w:rPr>
          <w:rFonts w:ascii="宋体" w:hAnsi="宋体" w:cs="宋体" w:hint="eastAsia"/>
          <w:sz w:val="28"/>
        </w:rPr>
      </w:pPr>
      <w:r w:rsidRPr="00123108">
        <w:rPr>
          <w:rFonts w:ascii="宋体" w:hAnsi="宋体" w:cs="宋体" w:hint="eastAsia"/>
          <w:sz w:val="28"/>
        </w:rPr>
        <w:t>（1）</w:t>
      </w:r>
      <w:r w:rsidRPr="00123108">
        <w:rPr>
          <w:rFonts w:ascii="宋体" w:hAnsi="宋体" w:cs="宋体" w:hint="eastAsia"/>
          <w:sz w:val="28"/>
          <w:lang w:val="zh-CN"/>
        </w:rPr>
        <w:t>个人风险值</w:t>
      </w:r>
    </w:p>
    <w:p w:rsidR="004F34D9" w:rsidRPr="00123108" w:rsidRDefault="004F34D9" w:rsidP="00D06780">
      <w:pPr>
        <w:pStyle w:val="aff7"/>
        <w:spacing w:after="0" w:line="500" w:lineRule="exact"/>
        <w:ind w:firstLineChars="200" w:firstLine="560"/>
        <w:rPr>
          <w:rFonts w:ascii="宋体" w:hAnsi="宋体" w:cs="宋体" w:hint="eastAsia"/>
          <w:sz w:val="28"/>
        </w:rPr>
      </w:pPr>
      <w:r w:rsidRPr="00123108">
        <w:rPr>
          <w:rFonts w:ascii="宋体" w:hAnsi="宋体" w:cs="宋体" w:hint="eastAsia"/>
          <w:sz w:val="28"/>
        </w:rPr>
        <w:t>个人风险模拟结果见附图2.2-4。</w:t>
      </w:r>
    </w:p>
    <w:p w:rsidR="004F34D9" w:rsidRPr="00123108" w:rsidRDefault="004F34D9" w:rsidP="00D06780">
      <w:pPr>
        <w:pStyle w:val="aff7"/>
        <w:spacing w:after="0" w:line="500" w:lineRule="exact"/>
        <w:ind w:firstLineChars="200" w:firstLine="560"/>
        <w:rPr>
          <w:rFonts w:ascii="宋体" w:hAnsi="宋体" w:cs="宋体" w:hint="eastAsia"/>
          <w:sz w:val="28"/>
          <w:szCs w:val="28"/>
        </w:rPr>
      </w:pPr>
      <w:r w:rsidRPr="00123108">
        <w:rPr>
          <w:rFonts w:ascii="宋体" w:hAnsi="宋体" w:cs="宋体" w:hint="eastAsia"/>
          <w:sz w:val="28"/>
        </w:rPr>
        <w:t>从附图2.2-4可见，在3×10</w:t>
      </w:r>
      <w:r w:rsidRPr="00123108">
        <w:rPr>
          <w:rFonts w:ascii="宋体" w:hAnsi="宋体" w:cs="宋体" w:hint="eastAsia"/>
          <w:sz w:val="28"/>
          <w:vertAlign w:val="superscript"/>
        </w:rPr>
        <w:t>-5</w:t>
      </w:r>
      <w:r w:rsidRPr="00123108">
        <w:rPr>
          <w:rFonts w:ascii="宋体" w:hAnsi="宋体" w:cs="宋体" w:hint="eastAsia"/>
          <w:sz w:val="28"/>
        </w:rPr>
        <w:t>范围内不存在一般防护目标中的三类防护目标；在1×10</w:t>
      </w:r>
      <w:r w:rsidRPr="00123108">
        <w:rPr>
          <w:rFonts w:ascii="宋体" w:hAnsi="宋体" w:cs="宋体" w:hint="eastAsia"/>
          <w:sz w:val="28"/>
          <w:vertAlign w:val="superscript"/>
        </w:rPr>
        <w:t>-5</w:t>
      </w:r>
      <w:r w:rsidRPr="00123108">
        <w:rPr>
          <w:rFonts w:ascii="宋体" w:hAnsi="宋体" w:cs="宋体" w:hint="eastAsia"/>
          <w:sz w:val="28"/>
        </w:rPr>
        <w:t>范围内不存在一般防护目标中的二类防护目标；在3×10</w:t>
      </w:r>
      <w:r w:rsidRPr="00123108">
        <w:rPr>
          <w:rFonts w:ascii="宋体" w:hAnsi="宋体" w:cs="宋体" w:hint="eastAsia"/>
          <w:sz w:val="28"/>
          <w:vertAlign w:val="superscript"/>
        </w:rPr>
        <w:t>-6</w:t>
      </w:r>
      <w:r w:rsidRPr="00123108">
        <w:rPr>
          <w:rFonts w:ascii="宋体" w:hAnsi="宋体" w:cs="宋体" w:hint="eastAsia"/>
          <w:sz w:val="28"/>
        </w:rPr>
        <w:t>范围内不存在高敏感防护目标、重要防护目标、一般防护目标中的一类防护目标。因此个人风险满足</w:t>
      </w:r>
      <w:r w:rsidRPr="00123108">
        <w:rPr>
          <w:rFonts w:ascii="宋体" w:hAnsi="宋体" w:cs="宋体" w:hint="eastAsia"/>
          <w:sz w:val="28"/>
          <w:szCs w:val="28"/>
        </w:rPr>
        <w:t>《危险化学品生产装置和储存设施风险基准》GB 36894-2018的规定。</w:t>
      </w:r>
    </w:p>
    <w:p w:rsidR="004F34D9" w:rsidRPr="00123108" w:rsidRDefault="004F34D9" w:rsidP="00D06780">
      <w:pPr>
        <w:pStyle w:val="aff7"/>
        <w:spacing w:after="0" w:line="500" w:lineRule="exact"/>
        <w:ind w:firstLineChars="200" w:firstLine="560"/>
        <w:rPr>
          <w:rFonts w:ascii="宋体" w:hAnsi="宋体" w:cs="宋体" w:hint="eastAsia"/>
          <w:sz w:val="28"/>
        </w:rPr>
      </w:pPr>
      <w:r w:rsidRPr="00123108">
        <w:rPr>
          <w:rFonts w:ascii="宋体" w:hAnsi="宋体" w:cs="宋体" w:hint="eastAsia"/>
          <w:sz w:val="28"/>
        </w:rPr>
        <w:t>（2）</w:t>
      </w:r>
      <w:r w:rsidRPr="00123108">
        <w:rPr>
          <w:rFonts w:ascii="宋体" w:hAnsi="宋体" w:cs="宋体" w:hint="eastAsia"/>
          <w:sz w:val="28"/>
          <w:lang w:val="zh-CN"/>
        </w:rPr>
        <w:t>社会风险值</w:t>
      </w:r>
    </w:p>
    <w:p w:rsidR="004F34D9" w:rsidRPr="00123108" w:rsidRDefault="004F34D9" w:rsidP="00D06780">
      <w:pPr>
        <w:pStyle w:val="2fd"/>
        <w:spacing w:line="500" w:lineRule="exact"/>
        <w:ind w:firstLine="560"/>
        <w:rPr>
          <w:rFonts w:ascii="宋体" w:hAnsi="宋体" w:cs="宋体" w:hint="eastAsia"/>
          <w:sz w:val="28"/>
        </w:rPr>
      </w:pPr>
      <w:r w:rsidRPr="00123108">
        <w:rPr>
          <w:rFonts w:ascii="宋体" w:hAnsi="宋体" w:cs="宋体" w:hint="eastAsia"/>
          <w:sz w:val="28"/>
        </w:rPr>
        <w:t>社会风险模拟结果见附图2.2-5。</w:t>
      </w:r>
    </w:p>
    <w:p w:rsidR="004F34D9" w:rsidRPr="00123108" w:rsidRDefault="004F34D9" w:rsidP="00D06780">
      <w:pPr>
        <w:pStyle w:val="2fd"/>
        <w:spacing w:line="500" w:lineRule="exact"/>
        <w:ind w:firstLine="560"/>
        <w:rPr>
          <w:rFonts w:ascii="宋体" w:hAnsi="宋体" w:cs="宋体" w:hint="eastAsia"/>
          <w:sz w:val="28"/>
        </w:rPr>
      </w:pPr>
      <w:bookmarkStart w:id="958" w:name="_Toc18543"/>
      <w:bookmarkStart w:id="959" w:name="_Toc9942"/>
      <w:bookmarkStart w:id="960" w:name="_Toc7227"/>
      <w:bookmarkStart w:id="961" w:name="_Toc19550"/>
      <w:bookmarkStart w:id="962" w:name="_Toc21979"/>
      <w:bookmarkStart w:id="963" w:name="_Toc4336"/>
      <w:r w:rsidRPr="00123108">
        <w:rPr>
          <w:rFonts w:ascii="宋体" w:hAnsi="宋体" w:cs="宋体" w:hint="eastAsia"/>
          <w:sz w:val="28"/>
        </w:rPr>
        <w:t>从附图2.2-5可知，企业的社会风险在可接受区，因此社会风险满足</w:t>
      </w:r>
      <w:r w:rsidRPr="00123108">
        <w:rPr>
          <w:rFonts w:ascii="宋体" w:hAnsi="宋体" w:cs="宋体" w:hint="eastAsia"/>
          <w:sz w:val="28"/>
          <w:szCs w:val="28"/>
        </w:rPr>
        <w:t>《危险化学品生产装置和储存设施风险基准》GB 36894-2018的规定。</w:t>
      </w:r>
    </w:p>
    <w:p w:rsidR="004F34D9" w:rsidRPr="00123108" w:rsidRDefault="004F34D9" w:rsidP="00D06780">
      <w:pPr>
        <w:spacing w:line="500" w:lineRule="exact"/>
        <w:outlineLvl w:val="2"/>
        <w:rPr>
          <w:rFonts w:ascii="宋体" w:hAnsi="宋体" w:cs="宋体" w:hint="eastAsia"/>
          <w:b/>
          <w:bCs/>
          <w:sz w:val="28"/>
          <w:szCs w:val="28"/>
        </w:rPr>
      </w:pPr>
      <w:bookmarkStart w:id="964" w:name="_Toc190935803"/>
      <w:r w:rsidRPr="00123108">
        <w:rPr>
          <w:rFonts w:ascii="宋体" w:hAnsi="宋体" w:cs="宋体" w:hint="eastAsia"/>
          <w:b/>
          <w:bCs/>
          <w:sz w:val="28"/>
          <w:szCs w:val="28"/>
        </w:rPr>
        <w:t>7.2.2  事故后果模拟结果</w:t>
      </w:r>
      <w:bookmarkEnd w:id="958"/>
      <w:bookmarkEnd w:id="959"/>
      <w:bookmarkEnd w:id="960"/>
      <w:bookmarkEnd w:id="961"/>
      <w:bookmarkEnd w:id="962"/>
      <w:bookmarkEnd w:id="963"/>
      <w:bookmarkEnd w:id="964"/>
    </w:p>
    <w:p w:rsidR="004F34D9" w:rsidRPr="00123108" w:rsidRDefault="004F34D9" w:rsidP="00D06780">
      <w:pPr>
        <w:pStyle w:val="2fd"/>
        <w:spacing w:line="500" w:lineRule="exact"/>
        <w:ind w:firstLine="560"/>
        <w:rPr>
          <w:rFonts w:ascii="宋体" w:hAnsi="宋体" w:cs="宋体" w:hint="eastAsia"/>
          <w:sz w:val="28"/>
        </w:rPr>
      </w:pPr>
      <w:bookmarkStart w:id="965" w:name="_Toc252533271"/>
      <w:r w:rsidRPr="00123108">
        <w:rPr>
          <w:rFonts w:ascii="宋体" w:hAnsi="宋体" w:cs="宋体" w:hint="eastAsia"/>
          <w:sz w:val="28"/>
          <w:szCs w:val="28"/>
        </w:rPr>
        <w:t>利用南京安元科技有限公司研制的定量风险评价软件</w:t>
      </w:r>
      <w:r w:rsidRPr="00123108">
        <w:rPr>
          <w:rFonts w:ascii="宋体" w:hAnsi="宋体" w:cs="宋体" w:hint="eastAsia"/>
          <w:sz w:val="28"/>
        </w:rPr>
        <w:t>，对3000m</w:t>
      </w:r>
      <w:r w:rsidRPr="00123108">
        <w:rPr>
          <w:rFonts w:ascii="宋体" w:hAnsi="宋体" w:cs="宋体" w:hint="eastAsia"/>
          <w:sz w:val="28"/>
          <w:vertAlign w:val="superscript"/>
        </w:rPr>
        <w:t>3</w:t>
      </w:r>
      <w:r w:rsidRPr="00123108">
        <w:rPr>
          <w:rFonts w:ascii="宋体" w:hAnsi="宋体" w:cs="宋体" w:hint="eastAsia"/>
          <w:sz w:val="28"/>
        </w:rPr>
        <w:t>苯乙烯</w:t>
      </w:r>
      <w:r w:rsidRPr="00123108">
        <w:rPr>
          <w:rFonts w:ascii="宋体" w:hAnsi="宋体" w:cs="宋体" w:hint="eastAsia"/>
          <w:sz w:val="28"/>
        </w:rPr>
        <w:lastRenderedPageBreak/>
        <w:t>储罐、戊烷储罐可能发生的池火灾、蒸气云爆炸事故进行后果模拟，见报告附件2.2.2章节。</w:t>
      </w:r>
    </w:p>
    <w:p w:rsidR="004F34D9" w:rsidRPr="00123108" w:rsidRDefault="004F34D9" w:rsidP="00D06780">
      <w:pPr>
        <w:spacing w:line="500" w:lineRule="exact"/>
        <w:outlineLvl w:val="2"/>
        <w:rPr>
          <w:rFonts w:ascii="宋体" w:hAnsi="宋体" w:cs="宋体" w:hint="eastAsia"/>
          <w:b/>
          <w:bCs/>
          <w:sz w:val="28"/>
          <w:szCs w:val="28"/>
        </w:rPr>
      </w:pPr>
      <w:bookmarkStart w:id="966" w:name="_Toc9784"/>
      <w:bookmarkStart w:id="967" w:name="_Toc26308"/>
      <w:bookmarkStart w:id="968" w:name="_Toc20178"/>
      <w:bookmarkStart w:id="969" w:name="_Toc24429"/>
      <w:bookmarkStart w:id="970" w:name="_Toc10894"/>
      <w:bookmarkStart w:id="971" w:name="_Toc14963"/>
      <w:bookmarkStart w:id="972" w:name="_Toc190935804"/>
      <w:r w:rsidRPr="00123108">
        <w:rPr>
          <w:rFonts w:ascii="宋体" w:hAnsi="宋体" w:cs="宋体" w:hint="eastAsia"/>
          <w:b/>
          <w:bCs/>
          <w:sz w:val="28"/>
          <w:szCs w:val="28"/>
        </w:rPr>
        <w:t>7.2.3  外部安全防护距离计算分析结果</w:t>
      </w:r>
      <w:bookmarkEnd w:id="966"/>
      <w:bookmarkEnd w:id="967"/>
      <w:bookmarkEnd w:id="968"/>
      <w:bookmarkEnd w:id="969"/>
      <w:bookmarkEnd w:id="970"/>
      <w:bookmarkEnd w:id="971"/>
      <w:bookmarkEnd w:id="972"/>
    </w:p>
    <w:p w:rsidR="004F34D9" w:rsidRPr="00123108" w:rsidRDefault="004F34D9" w:rsidP="00D06780">
      <w:pPr>
        <w:spacing w:line="500" w:lineRule="exact"/>
        <w:ind w:firstLineChars="200" w:firstLine="556"/>
        <w:rPr>
          <w:rFonts w:ascii="宋体" w:hAnsi="宋体"/>
          <w:spacing w:val="-1"/>
          <w:sz w:val="28"/>
          <w:szCs w:val="28"/>
        </w:rPr>
      </w:pPr>
      <w:bookmarkStart w:id="973" w:name="_Toc17026"/>
      <w:bookmarkStart w:id="974" w:name="_Toc12791"/>
      <w:bookmarkStart w:id="975" w:name="_Toc25873"/>
      <w:bookmarkStart w:id="976" w:name="_Toc369"/>
      <w:bookmarkStart w:id="977" w:name="_Toc23283"/>
      <w:bookmarkStart w:id="978" w:name="_Toc1799"/>
      <w:r w:rsidRPr="00123108">
        <w:rPr>
          <w:rFonts w:ascii="宋体" w:hAnsi="宋体" w:hint="eastAsia"/>
          <w:spacing w:val="-1"/>
          <w:sz w:val="28"/>
          <w:szCs w:val="28"/>
        </w:rPr>
        <w:t>依据《危险化学品生产装置和储存设施外部安全防护距离确定方法》GBT 37243-2019第4</w:t>
      </w:r>
      <w:r w:rsidRPr="00123108">
        <w:rPr>
          <w:rFonts w:ascii="宋体" w:hAnsi="宋体"/>
          <w:spacing w:val="-1"/>
          <w:sz w:val="28"/>
          <w:szCs w:val="28"/>
        </w:rPr>
        <w:t>.2</w:t>
      </w:r>
      <w:r w:rsidRPr="00123108">
        <w:rPr>
          <w:rFonts w:ascii="宋体" w:hAnsi="宋体" w:hint="eastAsia"/>
          <w:spacing w:val="-1"/>
          <w:sz w:val="28"/>
          <w:szCs w:val="28"/>
        </w:rPr>
        <w:t>、4</w:t>
      </w:r>
      <w:r w:rsidRPr="00123108">
        <w:rPr>
          <w:rFonts w:ascii="宋体" w:hAnsi="宋体"/>
          <w:spacing w:val="-1"/>
          <w:sz w:val="28"/>
          <w:szCs w:val="28"/>
        </w:rPr>
        <w:t>.3</w:t>
      </w:r>
      <w:r w:rsidRPr="00123108">
        <w:rPr>
          <w:rFonts w:ascii="宋体" w:hAnsi="宋体" w:hint="eastAsia"/>
          <w:spacing w:val="-1"/>
          <w:sz w:val="28"/>
          <w:szCs w:val="28"/>
        </w:rPr>
        <w:t>、4</w:t>
      </w:r>
      <w:r w:rsidRPr="00123108">
        <w:rPr>
          <w:rFonts w:ascii="宋体" w:hAnsi="宋体"/>
          <w:spacing w:val="-1"/>
          <w:sz w:val="28"/>
          <w:szCs w:val="28"/>
        </w:rPr>
        <w:t>.4</w:t>
      </w:r>
      <w:r w:rsidRPr="00123108">
        <w:rPr>
          <w:rFonts w:ascii="宋体" w:hAnsi="宋体" w:hint="eastAsia"/>
          <w:spacing w:val="-1"/>
          <w:sz w:val="28"/>
          <w:szCs w:val="28"/>
        </w:rPr>
        <w:t>条规定，</w:t>
      </w:r>
      <w:r w:rsidRPr="00123108">
        <w:rPr>
          <w:rFonts w:ascii="宋体" w:hAnsi="宋体"/>
          <w:spacing w:val="-1"/>
          <w:sz w:val="28"/>
          <w:szCs w:val="28"/>
        </w:rPr>
        <w:t>涉及爆炸物的危险化学品生产装置和储存设施应采用事故后果法确定外部安全防护距离。涉及有毒气体或易燃气体,且其设计最大量与GB 18218中规定的临界量比值之和大于或等于1的危险化学品生产装置和储存设施应采用定量风险评价方法确定外部安全防护距离。本标准4.2及4.3规定以外的危险化学品生产装置和储存设施的外部安全防护距离应满足相关标准规范的距离要求。</w:t>
      </w:r>
    </w:p>
    <w:p w:rsidR="004F34D9" w:rsidRPr="00123108" w:rsidRDefault="004F34D9" w:rsidP="00D06780">
      <w:pPr>
        <w:spacing w:line="500" w:lineRule="exact"/>
        <w:ind w:firstLineChars="200" w:firstLine="556"/>
        <w:rPr>
          <w:rFonts w:ascii="宋体" w:hAnsi="宋体"/>
          <w:sz w:val="28"/>
          <w:szCs w:val="22"/>
        </w:rPr>
      </w:pPr>
      <w:r w:rsidRPr="00123108">
        <w:rPr>
          <w:rFonts w:ascii="宋体" w:hAnsi="宋体" w:hint="eastAsia"/>
          <w:spacing w:val="-1"/>
          <w:sz w:val="28"/>
          <w:szCs w:val="28"/>
        </w:rPr>
        <w:t>本项目所涉及的苯乙烯、戊烷、二甲苯等均属于易燃液体，</w:t>
      </w:r>
      <w:r w:rsidRPr="00123108">
        <w:rPr>
          <w:rFonts w:ascii="宋体" w:hAnsi="宋体" w:hint="eastAsia"/>
          <w:sz w:val="28"/>
          <w:szCs w:val="28"/>
        </w:rPr>
        <w:t>过氧化苯甲酰等引发剂为强氧化剂，</w:t>
      </w:r>
      <w:r w:rsidRPr="00123108">
        <w:rPr>
          <w:rFonts w:ascii="宋体" w:hAnsi="宋体" w:hint="eastAsia"/>
          <w:spacing w:val="-1"/>
          <w:sz w:val="28"/>
          <w:szCs w:val="28"/>
        </w:rPr>
        <w:t>本项目不涉及爆炸品、</w:t>
      </w:r>
      <w:r w:rsidRPr="00123108">
        <w:rPr>
          <w:rFonts w:ascii="宋体" w:hAnsi="宋体"/>
          <w:spacing w:val="-1"/>
          <w:sz w:val="28"/>
          <w:szCs w:val="28"/>
        </w:rPr>
        <w:t>有毒气体或易燃气体</w:t>
      </w:r>
      <w:r w:rsidRPr="00123108">
        <w:rPr>
          <w:rFonts w:ascii="宋体" w:hAnsi="宋体" w:hint="eastAsia"/>
          <w:spacing w:val="-1"/>
          <w:sz w:val="28"/>
          <w:szCs w:val="28"/>
        </w:rPr>
        <w:t>，外部安全防护距离即为《建筑设计防火规范》等</w:t>
      </w:r>
      <w:r w:rsidRPr="00123108">
        <w:rPr>
          <w:rFonts w:ascii="宋体" w:hAnsi="宋体"/>
          <w:spacing w:val="-1"/>
          <w:sz w:val="28"/>
          <w:szCs w:val="28"/>
        </w:rPr>
        <w:t>相关标准规范</w:t>
      </w:r>
      <w:r w:rsidRPr="00123108">
        <w:rPr>
          <w:rFonts w:ascii="宋体" w:hAnsi="宋体" w:hint="eastAsia"/>
          <w:spacing w:val="-1"/>
          <w:sz w:val="28"/>
          <w:szCs w:val="28"/>
        </w:rPr>
        <w:t>所要求</w:t>
      </w:r>
      <w:r w:rsidRPr="00123108">
        <w:rPr>
          <w:rFonts w:ascii="宋体" w:hAnsi="宋体"/>
          <w:spacing w:val="-1"/>
          <w:sz w:val="28"/>
          <w:szCs w:val="28"/>
        </w:rPr>
        <w:t>的</w:t>
      </w:r>
      <w:r w:rsidRPr="00123108">
        <w:rPr>
          <w:rFonts w:ascii="宋体" w:hAnsi="宋体" w:hint="eastAsia"/>
          <w:spacing w:val="-1"/>
          <w:sz w:val="28"/>
          <w:szCs w:val="28"/>
        </w:rPr>
        <w:t>防火</w:t>
      </w:r>
      <w:r w:rsidRPr="00123108">
        <w:rPr>
          <w:rFonts w:ascii="宋体" w:hAnsi="宋体"/>
          <w:spacing w:val="-1"/>
          <w:sz w:val="28"/>
          <w:szCs w:val="28"/>
        </w:rPr>
        <w:t>距离。</w:t>
      </w:r>
      <w:r w:rsidRPr="00123108">
        <w:rPr>
          <w:rFonts w:ascii="宋体" w:hAnsi="宋体" w:hint="eastAsia"/>
          <w:spacing w:val="-1"/>
          <w:sz w:val="28"/>
          <w:szCs w:val="28"/>
        </w:rPr>
        <w:t>宁波新桥化工有限公司与周边设施防火间距满足《建筑设计防火规范》要求，具体见报告第7章节周边环境、总平面布置等评价内容。</w:t>
      </w:r>
    </w:p>
    <w:p w:rsidR="004F34D9" w:rsidRPr="00123108" w:rsidRDefault="004F34D9" w:rsidP="00D06780">
      <w:pPr>
        <w:spacing w:line="500" w:lineRule="exact"/>
        <w:outlineLvl w:val="2"/>
        <w:rPr>
          <w:rFonts w:ascii="宋体" w:hAnsi="宋体" w:cs="宋体" w:hint="eastAsia"/>
          <w:b/>
          <w:bCs/>
          <w:sz w:val="28"/>
          <w:szCs w:val="28"/>
        </w:rPr>
      </w:pPr>
      <w:bookmarkStart w:id="979" w:name="_Toc190935805"/>
      <w:r w:rsidRPr="00123108">
        <w:rPr>
          <w:rFonts w:ascii="宋体" w:hAnsi="宋体" w:cs="宋体" w:hint="eastAsia"/>
          <w:b/>
          <w:bCs/>
          <w:sz w:val="28"/>
          <w:szCs w:val="28"/>
        </w:rPr>
        <w:t>7.2.4  多米诺效应分析结果</w:t>
      </w:r>
      <w:bookmarkEnd w:id="973"/>
      <w:bookmarkEnd w:id="974"/>
      <w:bookmarkEnd w:id="975"/>
      <w:bookmarkEnd w:id="976"/>
      <w:bookmarkEnd w:id="977"/>
      <w:bookmarkEnd w:id="978"/>
      <w:bookmarkEnd w:id="979"/>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采用南京安元定量风险分析软件进行计算，事故多米诺半径计算结果见附表2.2-5。</w:t>
      </w:r>
    </w:p>
    <w:p w:rsidR="004F34D9" w:rsidRPr="00123108" w:rsidRDefault="004F34D9" w:rsidP="00D06780">
      <w:pPr>
        <w:pStyle w:val="2fd"/>
        <w:spacing w:line="500" w:lineRule="exact"/>
        <w:ind w:firstLine="560"/>
        <w:jc w:val="left"/>
        <w:rPr>
          <w:rFonts w:ascii="宋体" w:hAnsi="宋体" w:cs="宋体" w:hint="eastAsia"/>
          <w:sz w:val="28"/>
          <w:szCs w:val="28"/>
        </w:rPr>
      </w:pPr>
      <w:r w:rsidRPr="00123108">
        <w:rPr>
          <w:rFonts w:ascii="宋体" w:hAnsi="宋体" w:cs="宋体" w:hint="eastAsia"/>
          <w:sz w:val="28"/>
          <w:szCs w:val="28"/>
        </w:rPr>
        <w:t>由附表2.2-5可知，</w:t>
      </w:r>
      <w:r w:rsidRPr="00123108">
        <w:rPr>
          <w:rFonts w:ascii="宋体" w:hAnsi="宋体" w:cs="宋体" w:hint="eastAsia"/>
          <w:sz w:val="28"/>
        </w:rPr>
        <w:t>本项目</w:t>
      </w:r>
      <w:r w:rsidRPr="00123108">
        <w:rPr>
          <w:rFonts w:ascii="宋体" w:hAnsi="宋体" w:cs="宋体" w:hint="eastAsia"/>
          <w:sz w:val="28"/>
          <w:szCs w:val="28"/>
        </w:rPr>
        <w:t>反应器、苯乙烯储罐等是防范多米诺效应的重</w:t>
      </w:r>
      <w:r w:rsidRPr="00123108">
        <w:rPr>
          <w:rFonts w:ascii="宋体" w:hAnsi="宋体" w:cs="宋体" w:hint="eastAsia"/>
          <w:sz w:val="28"/>
        </w:rPr>
        <w:t>点区域，其中</w:t>
      </w:r>
      <w:r w:rsidRPr="00123108">
        <w:rPr>
          <w:rFonts w:ascii="宋体" w:hAnsi="宋体" w:cs="宋体" w:hint="eastAsia"/>
          <w:sz w:val="28"/>
          <w:szCs w:val="28"/>
        </w:rPr>
        <w:t>B部反应器发生</w:t>
      </w:r>
      <w:r w:rsidRPr="00123108">
        <w:rPr>
          <w:rFonts w:ascii="宋体" w:hAnsi="宋体"/>
          <w:sz w:val="28"/>
          <w:szCs w:val="28"/>
        </w:rPr>
        <w:t>小孔泄漏</w:t>
      </w:r>
      <w:r w:rsidRPr="00123108">
        <w:rPr>
          <w:rFonts w:ascii="黑体" w:hAnsi="黑体" w:cs="黑体"/>
          <w:sz w:val="30"/>
          <w:szCs w:val="30"/>
        </w:rPr>
        <w:t>目标装置类型</w:t>
      </w:r>
      <w:r w:rsidRPr="00123108">
        <w:rPr>
          <w:rFonts w:ascii="宋体" w:hAnsi="宋体" w:cs="宋体" w:hint="eastAsia"/>
          <w:sz w:val="28"/>
        </w:rPr>
        <w:t>压力容器时事故多米诺半径最大，为72.8115m，</w:t>
      </w:r>
      <w:r w:rsidRPr="00123108">
        <w:rPr>
          <w:rFonts w:ascii="宋体" w:hAnsi="宋体" w:cs="宋体" w:hint="eastAsia"/>
          <w:sz w:val="28"/>
          <w:szCs w:val="28"/>
        </w:rPr>
        <w:t>模拟图如附图2.2-11。</w:t>
      </w:r>
    </w:p>
    <w:p w:rsidR="004F34D9" w:rsidRPr="00123108" w:rsidRDefault="004F34D9" w:rsidP="00D06780">
      <w:pPr>
        <w:pStyle w:val="2fd"/>
        <w:spacing w:line="500" w:lineRule="exact"/>
        <w:ind w:firstLine="560"/>
        <w:jc w:val="left"/>
        <w:rPr>
          <w:rFonts w:ascii="宋体" w:hAnsi="宋体" w:cs="宋体" w:hint="eastAsia"/>
          <w:sz w:val="28"/>
          <w:szCs w:val="28"/>
        </w:rPr>
      </w:pPr>
      <w:r w:rsidRPr="00123108">
        <w:rPr>
          <w:rFonts w:ascii="宋体" w:hAnsi="宋体" w:cs="宋体" w:hint="eastAsia"/>
          <w:sz w:val="28"/>
          <w:szCs w:val="28"/>
        </w:rPr>
        <w:t>从附图2.2-11可知：压力容器事故多米诺影响范围主要在厂区内，主要包括A反应部、部分A、B筛析、机修间等，并对</w:t>
      </w:r>
      <w:r w:rsidRPr="00123108">
        <w:rPr>
          <w:rFonts w:ascii="宋体" w:hAnsi="宋体" w:hint="eastAsia"/>
          <w:sz w:val="28"/>
        </w:rPr>
        <w:t>斯迈克公司的邻近固废库、RTO及机修间</w:t>
      </w:r>
      <w:r w:rsidRPr="00123108">
        <w:rPr>
          <w:rFonts w:ascii="宋体" w:hAnsi="宋体" w:cs="宋体" w:hint="eastAsia"/>
          <w:sz w:val="28"/>
          <w:szCs w:val="28"/>
        </w:rPr>
        <w:t>等带来影响。</w:t>
      </w:r>
    </w:p>
    <w:p w:rsidR="0026546B" w:rsidRPr="00123108" w:rsidRDefault="004F34D9" w:rsidP="00D06780">
      <w:pPr>
        <w:pStyle w:val="2fd"/>
        <w:spacing w:line="500" w:lineRule="exact"/>
        <w:ind w:firstLine="560"/>
        <w:jc w:val="left"/>
        <w:rPr>
          <w:rFonts w:ascii="宋体" w:hAnsi="宋体" w:hint="eastAsia"/>
          <w:sz w:val="28"/>
          <w:szCs w:val="28"/>
        </w:rPr>
      </w:pPr>
      <w:r w:rsidRPr="00123108">
        <w:rPr>
          <w:rFonts w:ascii="宋体" w:hAnsi="宋体" w:cs="宋体" w:hint="eastAsia"/>
          <w:sz w:val="28"/>
          <w:szCs w:val="28"/>
        </w:rPr>
        <w:t>预防多米诺效应相关措施：</w:t>
      </w:r>
      <w:bookmarkStart w:id="980" w:name="_Toc236122658"/>
      <w:bookmarkStart w:id="981" w:name="_Toc252533272"/>
      <w:bookmarkStart w:id="982" w:name="_Toc238867529"/>
      <w:bookmarkStart w:id="983" w:name="_Toc15273"/>
      <w:bookmarkStart w:id="984" w:name="_Toc3809058"/>
      <w:bookmarkStart w:id="985" w:name="_Toc31157"/>
      <w:bookmarkStart w:id="986" w:name="_Toc28815"/>
      <w:bookmarkStart w:id="987" w:name="_Toc2760"/>
      <w:bookmarkStart w:id="988" w:name="_Toc8579"/>
      <w:bookmarkStart w:id="989" w:name="_Toc11436"/>
      <w:bookmarkEnd w:id="965"/>
      <w:r w:rsidRPr="00123108">
        <w:rPr>
          <w:rFonts w:ascii="宋体" w:hAnsi="宋体" w:cs="宋体" w:hint="eastAsia"/>
          <w:sz w:val="28"/>
        </w:rPr>
        <w:t>新桥化工内建构筑物</w:t>
      </w:r>
      <w:r w:rsidRPr="00123108">
        <w:rPr>
          <w:rFonts w:ascii="宋体" w:hAnsi="宋体" w:cs="宋体" w:hint="eastAsia"/>
          <w:sz w:val="28"/>
          <w:szCs w:val="28"/>
        </w:rPr>
        <w:t>等与周边企业生产、储存设施的安全距离以及新桥化工厂区内建构筑物间的防火间距符合国家相关规范的要求。</w:t>
      </w:r>
      <w:r w:rsidRPr="00123108">
        <w:rPr>
          <w:rFonts w:ascii="宋体" w:hAnsi="宋体" w:cs="宋体" w:hint="eastAsia"/>
          <w:sz w:val="28"/>
        </w:rPr>
        <w:t>本项目A\B反应部</w:t>
      </w:r>
      <w:r w:rsidRPr="00123108">
        <w:rPr>
          <w:rFonts w:ascii="宋体" w:hAnsi="宋体" w:cs="宋体" w:hint="eastAsia"/>
          <w:sz w:val="28"/>
          <w:szCs w:val="28"/>
        </w:rPr>
        <w:t>反应釜、储罐等设置DCS系统、SIS系统以及事故后果响应系统（探</w:t>
      </w:r>
      <w:r w:rsidRPr="00123108">
        <w:rPr>
          <w:rFonts w:ascii="宋体" w:hAnsi="宋体" w:cs="宋体" w:hint="eastAsia"/>
          <w:sz w:val="28"/>
        </w:rPr>
        <w:t>测系统、隔离系统、减缓系统），</w:t>
      </w:r>
      <w:r w:rsidRPr="00123108">
        <w:rPr>
          <w:rFonts w:ascii="宋体" w:hAnsi="宋体" w:cs="宋体" w:hint="eastAsia"/>
          <w:sz w:val="28"/>
          <w:szCs w:val="28"/>
        </w:rPr>
        <w:t>设置安全</w:t>
      </w:r>
      <w:r w:rsidRPr="00123108">
        <w:rPr>
          <w:rFonts w:ascii="宋体" w:hAnsi="宋体" w:cs="宋体" w:hint="eastAsia"/>
          <w:sz w:val="28"/>
          <w:szCs w:val="28"/>
        </w:rPr>
        <w:lastRenderedPageBreak/>
        <w:t>防护措施；配备应急救援物资，</w:t>
      </w:r>
      <w:r w:rsidRPr="00123108">
        <w:rPr>
          <w:rFonts w:ascii="宋体" w:hAnsi="宋体" w:cs="宋体" w:hint="eastAsia"/>
          <w:sz w:val="28"/>
        </w:rPr>
        <w:t>加强安全管理，提高应急响应速度</w:t>
      </w:r>
      <w:r w:rsidRPr="00123108">
        <w:rPr>
          <w:rFonts w:ascii="宋体" w:hint="eastAsia"/>
          <w:sz w:val="28"/>
        </w:rPr>
        <w:t>，与</w:t>
      </w:r>
      <w:r w:rsidRPr="00123108">
        <w:rPr>
          <w:rFonts w:ascii="宋体" w:hAnsi="宋体" w:hint="eastAsia"/>
          <w:sz w:val="28"/>
          <w:szCs w:val="28"/>
        </w:rPr>
        <w:t>消防</w:t>
      </w:r>
      <w:r w:rsidRPr="00123108">
        <w:rPr>
          <w:rFonts w:hAnsi="宋体" w:hint="eastAsia"/>
          <w:sz w:val="28"/>
          <w:szCs w:val="28"/>
        </w:rPr>
        <w:t>救援</w:t>
      </w:r>
      <w:r w:rsidRPr="00123108">
        <w:rPr>
          <w:rFonts w:ascii="宋体" w:hAnsi="宋体" w:hint="eastAsia"/>
          <w:sz w:val="28"/>
          <w:szCs w:val="28"/>
        </w:rPr>
        <w:t>大队、周边企业等沟通信息，形成有效应急联动，可以将可能发生的安全事故在初期阶段进行救援</w:t>
      </w:r>
    </w:p>
    <w:p w:rsidR="004F34D9" w:rsidRPr="00123108" w:rsidRDefault="004F34D9" w:rsidP="00D06780">
      <w:pPr>
        <w:pStyle w:val="2"/>
        <w:spacing w:line="500" w:lineRule="exact"/>
        <w:jc w:val="both"/>
        <w:rPr>
          <w:rFonts w:ascii="宋体" w:eastAsia="宋体" w:cs="宋体" w:hint="eastAsia"/>
          <w:sz w:val="28"/>
          <w:szCs w:val="28"/>
        </w:rPr>
      </w:pPr>
      <w:bookmarkStart w:id="990" w:name="_Toc190935806"/>
      <w:r w:rsidRPr="00123108">
        <w:rPr>
          <w:rFonts w:ascii="宋体" w:eastAsia="宋体" w:cs="宋体" w:hint="eastAsia"/>
          <w:sz w:val="28"/>
          <w:szCs w:val="28"/>
        </w:rPr>
        <w:t xml:space="preserve">7.3  </w:t>
      </w:r>
      <w:bookmarkEnd w:id="980"/>
      <w:bookmarkEnd w:id="981"/>
      <w:bookmarkEnd w:id="982"/>
      <w:bookmarkEnd w:id="984"/>
      <w:r w:rsidRPr="00123108">
        <w:rPr>
          <w:rFonts w:ascii="宋体" w:eastAsia="宋体" w:cs="宋体" w:hint="eastAsia"/>
          <w:sz w:val="28"/>
          <w:szCs w:val="28"/>
        </w:rPr>
        <w:t>安全条件分析</w:t>
      </w:r>
      <w:bookmarkEnd w:id="983"/>
      <w:bookmarkEnd w:id="985"/>
      <w:bookmarkEnd w:id="986"/>
      <w:bookmarkEnd w:id="987"/>
      <w:bookmarkEnd w:id="988"/>
      <w:bookmarkEnd w:id="989"/>
      <w:r w:rsidRPr="00123108">
        <w:rPr>
          <w:rFonts w:ascii="宋体" w:eastAsia="宋体" w:cs="宋体" w:hint="eastAsia"/>
          <w:sz w:val="28"/>
          <w:szCs w:val="28"/>
        </w:rPr>
        <w:t>结果</w:t>
      </w:r>
      <w:bookmarkEnd w:id="990"/>
    </w:p>
    <w:p w:rsidR="004F34D9" w:rsidRPr="00123108" w:rsidRDefault="004F34D9" w:rsidP="00D06780">
      <w:pPr>
        <w:pStyle w:val="3"/>
        <w:spacing w:line="500" w:lineRule="exact"/>
        <w:rPr>
          <w:rFonts w:ascii="宋体" w:eastAsia="宋体" w:hAnsi="宋体" w:cs="宋体" w:hint="eastAsia"/>
          <w:sz w:val="28"/>
          <w:szCs w:val="28"/>
          <w:lang w:val="zh-CN"/>
        </w:rPr>
      </w:pPr>
      <w:bookmarkStart w:id="991" w:name="_Toc3809059"/>
      <w:bookmarkStart w:id="992" w:name="_Toc14901"/>
      <w:bookmarkStart w:id="993" w:name="_Toc252533273"/>
      <w:bookmarkStart w:id="994" w:name="_Toc21333"/>
      <w:bookmarkStart w:id="995" w:name="_Toc238867530"/>
      <w:bookmarkStart w:id="996" w:name="_Toc32735"/>
      <w:bookmarkStart w:id="997" w:name="_Toc236122659"/>
      <w:bookmarkStart w:id="998" w:name="_Toc12213"/>
      <w:bookmarkStart w:id="999" w:name="_Toc2966"/>
      <w:bookmarkStart w:id="1000" w:name="_Hlk522217728"/>
      <w:bookmarkStart w:id="1001" w:name="_Toc4845"/>
      <w:bookmarkStart w:id="1002" w:name="_Toc190935807"/>
      <w:r w:rsidRPr="00123108">
        <w:rPr>
          <w:rFonts w:ascii="宋体" w:eastAsia="宋体" w:hAnsi="宋体" w:cs="宋体" w:hint="eastAsia"/>
          <w:sz w:val="28"/>
          <w:szCs w:val="28"/>
          <w:lang w:val="zh-CN"/>
        </w:rPr>
        <w:t>7.</w:t>
      </w:r>
      <w:r w:rsidRPr="00123108">
        <w:rPr>
          <w:rFonts w:ascii="宋体" w:eastAsia="宋体" w:hAnsi="宋体" w:cs="宋体" w:hint="eastAsia"/>
          <w:sz w:val="28"/>
          <w:szCs w:val="28"/>
        </w:rPr>
        <w:t>3</w:t>
      </w:r>
      <w:r w:rsidRPr="00123108">
        <w:rPr>
          <w:rFonts w:ascii="宋体" w:eastAsia="宋体" w:hAnsi="宋体" w:cs="宋体" w:hint="eastAsia"/>
          <w:sz w:val="28"/>
          <w:szCs w:val="28"/>
          <w:lang w:val="zh-CN"/>
        </w:rPr>
        <w:t>.1  选址及周边环境</w:t>
      </w:r>
      <w:r w:rsidRPr="00123108">
        <w:rPr>
          <w:rFonts w:ascii="宋体" w:eastAsia="宋体" w:hAnsi="宋体" w:cs="宋体" w:hint="eastAsia"/>
          <w:sz w:val="28"/>
          <w:szCs w:val="28"/>
        </w:rPr>
        <w:t>分析结果</w:t>
      </w:r>
      <w:bookmarkEnd w:id="991"/>
      <w:bookmarkEnd w:id="992"/>
      <w:bookmarkEnd w:id="993"/>
      <w:bookmarkEnd w:id="994"/>
      <w:bookmarkEnd w:id="995"/>
      <w:bookmarkEnd w:id="996"/>
      <w:bookmarkEnd w:id="997"/>
      <w:bookmarkEnd w:id="998"/>
      <w:bookmarkEnd w:id="999"/>
      <w:bookmarkEnd w:id="1001"/>
      <w:bookmarkEnd w:id="1002"/>
    </w:p>
    <w:p w:rsidR="004F34D9" w:rsidRPr="00123108" w:rsidRDefault="004F34D9" w:rsidP="00D06780">
      <w:pPr>
        <w:spacing w:line="500" w:lineRule="exact"/>
        <w:ind w:firstLine="540"/>
        <w:rPr>
          <w:rFonts w:ascii="宋体" w:hAnsi="宋体" w:cs="宋体" w:hint="eastAsia"/>
          <w:sz w:val="28"/>
          <w:szCs w:val="28"/>
        </w:rPr>
      </w:pPr>
      <w:bookmarkStart w:id="1003" w:name="OLE_LINK45"/>
      <w:bookmarkStart w:id="1004" w:name="OLE_LINK46"/>
      <w:bookmarkStart w:id="1005" w:name="OLE_LINK47"/>
      <w:r w:rsidRPr="00123108">
        <w:rPr>
          <w:rFonts w:ascii="宋体" w:hAnsi="宋体" w:hint="eastAsia"/>
          <w:sz w:val="28"/>
          <w:szCs w:val="28"/>
        </w:rPr>
        <w:t>新桥化工1</w:t>
      </w:r>
      <w:r w:rsidRPr="00123108">
        <w:rPr>
          <w:rFonts w:ascii="宋体" w:hAnsi="宋体"/>
          <w:sz w:val="28"/>
          <w:szCs w:val="28"/>
        </w:rPr>
        <w:t>990</w:t>
      </w:r>
      <w:r w:rsidRPr="00123108">
        <w:rPr>
          <w:rFonts w:ascii="宋体" w:hAnsi="宋体" w:hint="eastAsia"/>
          <w:sz w:val="28"/>
          <w:szCs w:val="28"/>
        </w:rPr>
        <w:t>建厂属于宁波经济技术开发区，2000年扩设时属于联合开发区域C1区，项目实施时早于《宁波市化工行业安全发展规划</w:t>
      </w:r>
      <w:r w:rsidRPr="00123108">
        <w:rPr>
          <w:rFonts w:ascii="宋体" w:hAnsi="宋体" w:cs="宋体" w:hint="eastAsia"/>
          <w:sz w:val="28"/>
          <w:szCs w:val="28"/>
        </w:rPr>
        <w:t>（2010--2015）</w:t>
      </w:r>
      <w:r w:rsidRPr="00123108">
        <w:rPr>
          <w:rFonts w:ascii="宋体" w:hAnsi="宋体" w:hint="eastAsia"/>
          <w:sz w:val="28"/>
          <w:szCs w:val="28"/>
        </w:rPr>
        <w:t>》，符合当时用地规划。</w:t>
      </w:r>
    </w:p>
    <w:bookmarkEnd w:id="1003"/>
    <w:bookmarkEnd w:id="1004"/>
    <w:bookmarkEnd w:id="1005"/>
    <w:p w:rsidR="004F34D9" w:rsidRPr="00123108" w:rsidRDefault="004F34D9" w:rsidP="00D06780">
      <w:pPr>
        <w:spacing w:line="500" w:lineRule="exact"/>
        <w:ind w:firstLine="540"/>
        <w:rPr>
          <w:rFonts w:ascii="宋体" w:hAnsi="宋体" w:cs="宋体" w:hint="eastAsia"/>
          <w:sz w:val="28"/>
          <w:szCs w:val="28"/>
        </w:rPr>
      </w:pPr>
      <w:r w:rsidRPr="00123108">
        <w:rPr>
          <w:rFonts w:ascii="宋体" w:hAnsi="宋体" w:cs="宋体" w:hint="eastAsia"/>
          <w:sz w:val="28"/>
          <w:szCs w:val="28"/>
        </w:rPr>
        <w:t>具体分析过程见附件2.3.1。</w:t>
      </w:r>
    </w:p>
    <w:p w:rsidR="004F34D9" w:rsidRPr="00123108" w:rsidRDefault="004F34D9" w:rsidP="00D06780">
      <w:pPr>
        <w:pStyle w:val="3"/>
        <w:spacing w:line="500" w:lineRule="exact"/>
        <w:rPr>
          <w:rFonts w:ascii="宋体" w:eastAsia="宋体" w:hAnsi="宋体" w:cs="宋体" w:hint="eastAsia"/>
          <w:sz w:val="28"/>
          <w:szCs w:val="28"/>
        </w:rPr>
      </w:pPr>
      <w:bookmarkStart w:id="1006" w:name="_Toc238867531"/>
      <w:bookmarkStart w:id="1007" w:name="_Toc252533274"/>
      <w:bookmarkStart w:id="1008" w:name="_Toc19042"/>
      <w:bookmarkStart w:id="1009" w:name="_Toc7801"/>
      <w:bookmarkStart w:id="1010" w:name="_Toc4289"/>
      <w:bookmarkStart w:id="1011" w:name="_Toc23449"/>
      <w:bookmarkStart w:id="1012" w:name="_Toc29584"/>
      <w:bookmarkStart w:id="1013" w:name="_Toc21615"/>
      <w:bookmarkStart w:id="1014" w:name="_Toc236122660"/>
      <w:bookmarkStart w:id="1015" w:name="_Toc3809060"/>
      <w:bookmarkStart w:id="1016" w:name="_Toc190935808"/>
      <w:r w:rsidRPr="00123108">
        <w:rPr>
          <w:rFonts w:ascii="宋体" w:eastAsia="宋体" w:hAnsi="宋体" w:cs="宋体" w:hint="eastAsia"/>
          <w:sz w:val="28"/>
          <w:szCs w:val="28"/>
          <w:lang w:val="zh-CN"/>
        </w:rPr>
        <w:t>7.</w:t>
      </w:r>
      <w:r w:rsidRPr="00123108">
        <w:rPr>
          <w:rFonts w:ascii="宋体" w:eastAsia="宋体" w:hAnsi="宋体" w:cs="宋体" w:hint="eastAsia"/>
          <w:sz w:val="28"/>
          <w:szCs w:val="28"/>
        </w:rPr>
        <w:t>3</w:t>
      </w:r>
      <w:r w:rsidRPr="00123108">
        <w:rPr>
          <w:rFonts w:ascii="宋体" w:eastAsia="宋体" w:hAnsi="宋体" w:cs="宋体" w:hint="eastAsia"/>
          <w:sz w:val="28"/>
          <w:szCs w:val="28"/>
          <w:lang w:val="zh-CN"/>
        </w:rPr>
        <w:t>.2  与周边环境的相互影响</w:t>
      </w:r>
      <w:bookmarkEnd w:id="1006"/>
      <w:bookmarkEnd w:id="1007"/>
      <w:bookmarkEnd w:id="1014"/>
      <w:bookmarkEnd w:id="1015"/>
      <w:r w:rsidRPr="00123108">
        <w:rPr>
          <w:rFonts w:ascii="宋体" w:eastAsia="宋体" w:hAnsi="宋体" w:cs="宋体" w:hint="eastAsia"/>
          <w:sz w:val="28"/>
          <w:szCs w:val="28"/>
        </w:rPr>
        <w:t>分析结果</w:t>
      </w:r>
      <w:bookmarkEnd w:id="1008"/>
      <w:bookmarkEnd w:id="1009"/>
      <w:bookmarkEnd w:id="1010"/>
      <w:bookmarkEnd w:id="1011"/>
      <w:bookmarkEnd w:id="1012"/>
      <w:bookmarkEnd w:id="1013"/>
      <w:bookmarkEnd w:id="1016"/>
    </w:p>
    <w:p w:rsidR="004F34D9" w:rsidRPr="00123108" w:rsidRDefault="004F34D9" w:rsidP="00D06780">
      <w:pPr>
        <w:tabs>
          <w:tab w:val="left" w:pos="1276"/>
        </w:tabs>
        <w:spacing w:line="500" w:lineRule="exact"/>
        <w:ind w:firstLineChars="200" w:firstLine="560"/>
        <w:rPr>
          <w:rFonts w:ascii="宋体" w:hAnsi="宋体" w:cs="宋体"/>
          <w:sz w:val="28"/>
          <w:szCs w:val="28"/>
        </w:rPr>
      </w:pPr>
      <w:bookmarkStart w:id="1017" w:name="_Toc10850"/>
      <w:bookmarkStart w:id="1018" w:name="_Toc9299"/>
      <w:bookmarkStart w:id="1019" w:name="_Toc3809061"/>
      <w:bookmarkStart w:id="1020" w:name="_Toc252533275"/>
      <w:bookmarkStart w:id="1021" w:name="_Toc236122661"/>
      <w:bookmarkStart w:id="1022" w:name="_Toc25493"/>
      <w:bookmarkStart w:id="1023" w:name="_Toc11182"/>
      <w:bookmarkStart w:id="1024" w:name="_Toc29685"/>
      <w:bookmarkStart w:id="1025" w:name="_Toc16668"/>
      <w:bookmarkStart w:id="1026" w:name="_Toc238867532"/>
      <w:r w:rsidRPr="00123108">
        <w:rPr>
          <w:rFonts w:ascii="宋体" w:hAnsi="宋体" w:cs="宋体" w:hint="eastAsia"/>
          <w:sz w:val="28"/>
          <w:szCs w:val="28"/>
        </w:rPr>
        <w:t>新桥化工位于</w:t>
      </w:r>
      <w:r w:rsidRPr="00123108">
        <w:rPr>
          <w:rFonts w:ascii="宋体" w:hAnsi="宋体" w:hint="eastAsia"/>
          <w:sz w:val="28"/>
          <w:szCs w:val="28"/>
        </w:rPr>
        <w:t>宁波经济技术开发区</w:t>
      </w:r>
      <w:r w:rsidRPr="00123108">
        <w:rPr>
          <w:rFonts w:ascii="宋体" w:hAnsi="宋体" w:cs="宋体" w:hint="eastAsia"/>
          <w:sz w:val="28"/>
          <w:szCs w:val="28"/>
        </w:rPr>
        <w:t>内，与周边环境、相邻企业的防火间距符合要求；同时周围无军事禁区、军事管理区法律、行政法规规定予以保护的其他区域，远离居民区、商业中心、公园等人口密集区域，学校、医院、影剧院、体育场（馆）等公共设施。因此，新桥化工在正常生产情况下，不会对周围环境造成影响。但是若发生重大火灾、爆炸，有毒物料泄漏等事故，且得不到有效控制，将会波及周边环境、相邻企业。</w:t>
      </w:r>
    </w:p>
    <w:p w:rsidR="004F34D9" w:rsidRPr="00123108" w:rsidRDefault="004F34D9" w:rsidP="00D06780">
      <w:pPr>
        <w:tabs>
          <w:tab w:val="left" w:pos="1276"/>
        </w:tabs>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周边企业主要危险是火灾、爆炸、中毒等，一旦发生事故，且得不到有效控制，将对新桥化工造成一定影响。</w:t>
      </w:r>
    </w:p>
    <w:p w:rsidR="004F34D9" w:rsidRPr="00123108" w:rsidRDefault="004F34D9" w:rsidP="00D06780">
      <w:pPr>
        <w:pStyle w:val="3"/>
        <w:spacing w:line="500" w:lineRule="exact"/>
        <w:rPr>
          <w:rFonts w:ascii="宋体" w:eastAsia="宋体" w:hAnsi="宋体" w:cs="宋体" w:hint="eastAsia"/>
          <w:sz w:val="28"/>
          <w:szCs w:val="28"/>
          <w:lang w:val="zh-CN"/>
        </w:rPr>
      </w:pPr>
      <w:bookmarkStart w:id="1027" w:name="_Toc190935809"/>
      <w:r w:rsidRPr="00123108">
        <w:rPr>
          <w:rFonts w:ascii="宋体" w:eastAsia="宋体" w:hAnsi="宋体" w:cs="宋体" w:hint="eastAsia"/>
          <w:sz w:val="28"/>
          <w:szCs w:val="28"/>
          <w:lang w:val="zh-CN"/>
        </w:rPr>
        <w:t>7.</w:t>
      </w:r>
      <w:r w:rsidRPr="00123108">
        <w:rPr>
          <w:rFonts w:ascii="宋体" w:eastAsia="宋体" w:hAnsi="宋体" w:cs="宋体" w:hint="eastAsia"/>
          <w:sz w:val="28"/>
          <w:szCs w:val="28"/>
        </w:rPr>
        <w:t>3</w:t>
      </w:r>
      <w:r w:rsidRPr="00123108">
        <w:rPr>
          <w:rFonts w:ascii="宋体" w:eastAsia="宋体" w:hAnsi="宋体" w:cs="宋体" w:hint="eastAsia"/>
          <w:sz w:val="28"/>
          <w:szCs w:val="28"/>
          <w:lang w:val="zh-CN"/>
        </w:rPr>
        <w:t>.3  自然条件的影响</w:t>
      </w:r>
      <w:r w:rsidRPr="00123108">
        <w:rPr>
          <w:rFonts w:ascii="宋体" w:eastAsia="宋体" w:hAnsi="宋体" w:cs="宋体" w:hint="eastAsia"/>
          <w:sz w:val="28"/>
          <w:szCs w:val="28"/>
        </w:rPr>
        <w:t>分析</w:t>
      </w:r>
      <w:r w:rsidRPr="00123108">
        <w:rPr>
          <w:rFonts w:ascii="宋体" w:eastAsia="宋体" w:hAnsi="宋体" w:cs="宋体" w:hint="eastAsia"/>
          <w:sz w:val="28"/>
          <w:szCs w:val="28"/>
          <w:lang w:val="zh-CN"/>
        </w:rPr>
        <w:t>结果</w:t>
      </w:r>
      <w:bookmarkEnd w:id="1017"/>
      <w:bookmarkEnd w:id="1018"/>
      <w:bookmarkEnd w:id="1019"/>
      <w:bookmarkEnd w:id="1020"/>
      <w:bookmarkEnd w:id="1021"/>
      <w:bookmarkEnd w:id="1022"/>
      <w:bookmarkEnd w:id="1023"/>
      <w:bookmarkEnd w:id="1024"/>
      <w:bookmarkEnd w:id="1025"/>
      <w:bookmarkEnd w:id="1026"/>
      <w:bookmarkEnd w:id="1027"/>
    </w:p>
    <w:p w:rsidR="004F34D9" w:rsidRPr="00123108" w:rsidRDefault="004F34D9" w:rsidP="00D06780">
      <w:pPr>
        <w:tabs>
          <w:tab w:val="left" w:pos="1276"/>
        </w:tabs>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新桥化工所在地自然条件中气温、风况、地震、地质等均对安全生产有一定的影响，就目前采取的措施，不利的自然条件对项目安全生产的影响基本可控。但是，企业在日后的生产过程中仍应重视自然条件的不利影响，定期维护保养各类工艺设备和辅助设备；加强与防雷（防静电接地）装置检测机构的联系，定期委托检测。</w:t>
      </w:r>
    </w:p>
    <w:p w:rsidR="004F34D9" w:rsidRPr="00123108" w:rsidRDefault="004F34D9" w:rsidP="00D06780">
      <w:pPr>
        <w:spacing w:line="500" w:lineRule="exact"/>
        <w:ind w:firstLine="540"/>
        <w:rPr>
          <w:rFonts w:ascii="宋体" w:hAnsi="宋体" w:cs="宋体" w:hint="eastAsia"/>
          <w:sz w:val="28"/>
          <w:szCs w:val="28"/>
        </w:rPr>
      </w:pPr>
      <w:r w:rsidRPr="00123108">
        <w:rPr>
          <w:rFonts w:ascii="宋体" w:hAnsi="宋体" w:cs="宋体" w:hint="eastAsia"/>
          <w:sz w:val="28"/>
          <w:szCs w:val="28"/>
        </w:rPr>
        <w:t>具体分析过程见附件2.3.3。</w:t>
      </w:r>
    </w:p>
    <w:p w:rsidR="004F34D9" w:rsidRPr="00123108" w:rsidRDefault="004F34D9" w:rsidP="00D06780">
      <w:pPr>
        <w:pStyle w:val="2"/>
        <w:spacing w:line="500" w:lineRule="exact"/>
        <w:jc w:val="both"/>
        <w:rPr>
          <w:rFonts w:ascii="宋体" w:eastAsia="宋体" w:cs="宋体" w:hint="eastAsia"/>
          <w:sz w:val="28"/>
          <w:szCs w:val="28"/>
        </w:rPr>
      </w:pPr>
      <w:bookmarkStart w:id="1028" w:name="_Toc1297"/>
      <w:bookmarkStart w:id="1029" w:name="_Toc20956"/>
      <w:bookmarkStart w:id="1030" w:name="_Toc4847"/>
      <w:bookmarkStart w:id="1031" w:name="_Toc18173"/>
      <w:bookmarkStart w:id="1032" w:name="_Toc20987"/>
      <w:bookmarkStart w:id="1033" w:name="_Toc14701"/>
      <w:bookmarkStart w:id="1034" w:name="_Toc3809062"/>
      <w:bookmarkStart w:id="1035" w:name="_Toc190935810"/>
      <w:bookmarkEnd w:id="1000"/>
      <w:r w:rsidRPr="00123108">
        <w:rPr>
          <w:rFonts w:ascii="宋体" w:eastAsia="宋体" w:cs="宋体" w:hint="eastAsia"/>
          <w:sz w:val="28"/>
          <w:szCs w:val="28"/>
        </w:rPr>
        <w:t>7.4  安全生产条件的分析</w:t>
      </w:r>
      <w:bookmarkEnd w:id="1034"/>
      <w:r w:rsidRPr="00123108">
        <w:rPr>
          <w:rFonts w:ascii="宋体" w:eastAsia="宋体" w:cs="宋体" w:hint="eastAsia"/>
          <w:sz w:val="28"/>
          <w:szCs w:val="28"/>
        </w:rPr>
        <w:t>结果</w:t>
      </w:r>
      <w:bookmarkEnd w:id="1028"/>
      <w:bookmarkEnd w:id="1029"/>
      <w:bookmarkEnd w:id="1030"/>
      <w:bookmarkEnd w:id="1031"/>
      <w:bookmarkEnd w:id="1032"/>
      <w:bookmarkEnd w:id="1033"/>
      <w:bookmarkEnd w:id="1035"/>
    </w:p>
    <w:p w:rsidR="004F34D9" w:rsidRPr="00123108" w:rsidRDefault="004F34D9" w:rsidP="00D06780">
      <w:pPr>
        <w:pStyle w:val="3"/>
        <w:spacing w:line="500" w:lineRule="exact"/>
        <w:rPr>
          <w:rFonts w:ascii="宋体" w:eastAsia="宋体" w:hAnsi="宋体" w:cs="宋体" w:hint="eastAsia"/>
          <w:sz w:val="28"/>
          <w:szCs w:val="28"/>
        </w:rPr>
      </w:pPr>
      <w:bookmarkStart w:id="1036" w:name="_Toc238867534"/>
      <w:bookmarkStart w:id="1037" w:name="_Toc236122663"/>
      <w:bookmarkStart w:id="1038" w:name="_Toc252533277"/>
      <w:bookmarkStart w:id="1039" w:name="_Toc8916"/>
      <w:bookmarkStart w:id="1040" w:name="_Toc17907"/>
      <w:bookmarkStart w:id="1041" w:name="_Toc17020"/>
      <w:bookmarkStart w:id="1042" w:name="_Toc628"/>
      <w:bookmarkStart w:id="1043" w:name="_Toc28829"/>
      <w:bookmarkStart w:id="1044" w:name="_Toc21224"/>
      <w:bookmarkStart w:id="1045" w:name="_Toc3809063"/>
      <w:bookmarkStart w:id="1046" w:name="_Toc190935811"/>
      <w:r w:rsidRPr="00123108">
        <w:rPr>
          <w:rFonts w:ascii="宋体" w:eastAsia="宋体" w:hAnsi="宋体" w:cs="宋体" w:hint="eastAsia"/>
          <w:sz w:val="28"/>
          <w:szCs w:val="28"/>
          <w:lang w:val="zh-CN"/>
        </w:rPr>
        <w:t>7.</w:t>
      </w:r>
      <w:r w:rsidRPr="00123108">
        <w:rPr>
          <w:rFonts w:ascii="宋体" w:eastAsia="宋体" w:hAnsi="宋体" w:cs="宋体" w:hint="eastAsia"/>
          <w:sz w:val="28"/>
          <w:szCs w:val="28"/>
        </w:rPr>
        <w:t>4</w:t>
      </w:r>
      <w:r w:rsidRPr="00123108">
        <w:rPr>
          <w:rFonts w:ascii="宋体" w:eastAsia="宋体" w:hAnsi="宋体" w:cs="宋体" w:hint="eastAsia"/>
          <w:sz w:val="28"/>
          <w:szCs w:val="28"/>
          <w:lang w:val="zh-CN"/>
        </w:rPr>
        <w:t xml:space="preserve">.1  </w:t>
      </w:r>
      <w:bookmarkEnd w:id="1036"/>
      <w:bookmarkEnd w:id="1037"/>
      <w:bookmarkEnd w:id="1038"/>
      <w:bookmarkEnd w:id="1045"/>
      <w:r w:rsidRPr="00123108">
        <w:rPr>
          <w:rFonts w:ascii="宋体" w:eastAsia="宋体" w:hAnsi="宋体" w:cs="宋体" w:hint="eastAsia"/>
          <w:sz w:val="28"/>
          <w:szCs w:val="28"/>
        </w:rPr>
        <w:t>总平面布置评价</w:t>
      </w:r>
      <w:bookmarkEnd w:id="1039"/>
      <w:bookmarkEnd w:id="1040"/>
      <w:bookmarkEnd w:id="1041"/>
      <w:bookmarkEnd w:id="1042"/>
      <w:bookmarkEnd w:id="1043"/>
      <w:bookmarkEnd w:id="1044"/>
      <w:r w:rsidRPr="00123108">
        <w:rPr>
          <w:rFonts w:ascii="宋体" w:eastAsia="宋体" w:hAnsi="宋体" w:cs="宋体" w:hint="eastAsia"/>
          <w:sz w:val="28"/>
          <w:szCs w:val="28"/>
        </w:rPr>
        <w:t>结果</w:t>
      </w:r>
      <w:bookmarkEnd w:id="1046"/>
    </w:p>
    <w:p w:rsidR="004F34D9" w:rsidRPr="00123108" w:rsidRDefault="004F34D9" w:rsidP="00D06780">
      <w:pPr>
        <w:adjustRightInd w:val="0"/>
        <w:snapToGrid w:val="0"/>
        <w:spacing w:line="500" w:lineRule="exact"/>
        <w:ind w:firstLine="560"/>
        <w:rPr>
          <w:rFonts w:ascii="宋体" w:hAnsi="宋体" w:cs="宋体" w:hint="eastAsia"/>
          <w:sz w:val="28"/>
        </w:rPr>
      </w:pPr>
      <w:r w:rsidRPr="00123108">
        <w:rPr>
          <w:rFonts w:ascii="宋体" w:hAnsi="宋体" w:cs="宋体" w:hint="eastAsia"/>
          <w:sz w:val="28"/>
          <w:szCs w:val="28"/>
        </w:rPr>
        <w:t>依据《建筑设计防火规范》GB 50016-2014（2018年版）、《石油化工</w:t>
      </w:r>
      <w:r w:rsidRPr="00123108">
        <w:rPr>
          <w:rFonts w:ascii="宋体" w:hAnsi="宋体" w:cs="宋体" w:hint="eastAsia"/>
          <w:sz w:val="28"/>
          <w:szCs w:val="28"/>
        </w:rPr>
        <w:lastRenderedPageBreak/>
        <w:t>企业设计防火标准》GB 50160-2008（2018年版）、《化工企业总图运输设计规范》GB 50489-2009等标准及现场状况编制总平面布置安全检查表，不符合项已列入整改</w:t>
      </w:r>
      <w:r w:rsidRPr="00123108">
        <w:rPr>
          <w:rFonts w:ascii="宋体" w:hAnsi="宋体" w:cs="宋体" w:hint="eastAsia"/>
          <w:sz w:val="28"/>
        </w:rPr>
        <w:t>。</w:t>
      </w:r>
    </w:p>
    <w:p w:rsidR="004F34D9" w:rsidRPr="00123108" w:rsidRDefault="004F34D9" w:rsidP="00D06780">
      <w:pPr>
        <w:snapToGrid w:val="0"/>
        <w:spacing w:line="500" w:lineRule="exact"/>
        <w:ind w:firstLineChars="200" w:firstLine="560"/>
        <w:rPr>
          <w:rFonts w:ascii="宋体" w:hAnsi="宋体" w:cs="宋体" w:hint="eastAsia"/>
          <w:sz w:val="28"/>
        </w:rPr>
      </w:pPr>
      <w:r w:rsidRPr="00123108">
        <w:rPr>
          <w:rFonts w:ascii="宋体" w:hAnsi="宋体" w:cs="宋体" w:hint="eastAsia"/>
          <w:sz w:val="28"/>
          <w:szCs w:val="28"/>
        </w:rPr>
        <w:t>评价过程见附件2.4.1</w:t>
      </w:r>
      <w:r w:rsidRPr="00123108">
        <w:rPr>
          <w:rFonts w:ascii="宋体" w:hAnsi="宋体" w:cs="宋体" w:hint="eastAsia"/>
          <w:sz w:val="28"/>
        </w:rPr>
        <w:t>。</w:t>
      </w:r>
    </w:p>
    <w:p w:rsidR="004F34D9" w:rsidRPr="00123108" w:rsidRDefault="004F34D9" w:rsidP="00D06780">
      <w:pPr>
        <w:pStyle w:val="3"/>
        <w:spacing w:line="500" w:lineRule="exact"/>
        <w:rPr>
          <w:rFonts w:ascii="宋体" w:eastAsia="宋体" w:hAnsi="宋体" w:cs="宋体" w:hint="eastAsia"/>
          <w:sz w:val="28"/>
          <w:szCs w:val="28"/>
          <w:lang w:val="zh-CN"/>
        </w:rPr>
      </w:pPr>
      <w:bookmarkStart w:id="1047" w:name="_Toc6377"/>
      <w:bookmarkStart w:id="1048" w:name="_Toc21073"/>
      <w:bookmarkStart w:id="1049" w:name="_Toc236122664"/>
      <w:bookmarkStart w:id="1050" w:name="_Toc3809064"/>
      <w:bookmarkStart w:id="1051" w:name="_Toc252533278"/>
      <w:bookmarkStart w:id="1052" w:name="_Toc10614"/>
      <w:bookmarkStart w:id="1053" w:name="_Toc15275"/>
      <w:bookmarkStart w:id="1054" w:name="_Toc7122"/>
      <w:bookmarkStart w:id="1055" w:name="_Toc238867535"/>
      <w:bookmarkStart w:id="1056" w:name="_Toc24980"/>
      <w:bookmarkStart w:id="1057" w:name="_Toc190935812"/>
      <w:r w:rsidRPr="00123108">
        <w:rPr>
          <w:rFonts w:ascii="宋体" w:eastAsia="宋体" w:hAnsi="宋体" w:cs="宋体" w:hint="eastAsia"/>
          <w:sz w:val="28"/>
          <w:szCs w:val="28"/>
          <w:lang w:val="zh-CN"/>
        </w:rPr>
        <w:t>7.</w:t>
      </w:r>
      <w:r w:rsidRPr="00123108">
        <w:rPr>
          <w:rFonts w:ascii="宋体" w:eastAsia="宋体" w:hAnsi="宋体" w:cs="宋体" w:hint="eastAsia"/>
          <w:sz w:val="28"/>
          <w:szCs w:val="28"/>
        </w:rPr>
        <w:t>4</w:t>
      </w:r>
      <w:r w:rsidRPr="00123108">
        <w:rPr>
          <w:rFonts w:ascii="宋体" w:eastAsia="宋体" w:hAnsi="宋体" w:cs="宋体" w:hint="eastAsia"/>
          <w:sz w:val="28"/>
          <w:szCs w:val="28"/>
          <w:lang w:val="zh-CN"/>
        </w:rPr>
        <w:t>.2  建构筑物布置评价结果</w:t>
      </w:r>
      <w:bookmarkEnd w:id="1047"/>
      <w:bookmarkEnd w:id="1048"/>
      <w:bookmarkEnd w:id="1049"/>
      <w:bookmarkEnd w:id="1050"/>
      <w:bookmarkEnd w:id="1051"/>
      <w:bookmarkEnd w:id="1052"/>
      <w:bookmarkEnd w:id="1053"/>
      <w:bookmarkEnd w:id="1054"/>
      <w:bookmarkEnd w:id="1055"/>
      <w:bookmarkEnd w:id="1056"/>
      <w:bookmarkEnd w:id="1057"/>
    </w:p>
    <w:p w:rsidR="004F34D9" w:rsidRPr="00123108" w:rsidRDefault="004F34D9" w:rsidP="00D06780">
      <w:pPr>
        <w:tabs>
          <w:tab w:val="left" w:pos="-10"/>
        </w:tabs>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根据《建筑设计防火规范》GB 50016-2014（2018年版）对本项目</w:t>
      </w:r>
      <w:r w:rsidRPr="00123108">
        <w:rPr>
          <w:rFonts w:ascii="宋体" w:hAnsi="宋体" w:cs="宋体" w:hint="eastAsia"/>
          <w:sz w:val="28"/>
        </w:rPr>
        <w:t>建构筑物</w:t>
      </w:r>
      <w:r w:rsidRPr="00123108">
        <w:rPr>
          <w:rFonts w:ascii="宋体" w:hAnsi="宋体" w:cs="宋体" w:hint="eastAsia"/>
          <w:sz w:val="28"/>
          <w:lang w:val="zh-CN"/>
        </w:rPr>
        <w:t>布置</w:t>
      </w:r>
      <w:r w:rsidRPr="00123108">
        <w:rPr>
          <w:rFonts w:ascii="宋体" w:hAnsi="宋体" w:cs="宋体" w:hint="eastAsia"/>
          <w:sz w:val="28"/>
        </w:rPr>
        <w:t>进行检查，</w:t>
      </w:r>
      <w:r w:rsidRPr="00123108">
        <w:rPr>
          <w:rFonts w:ascii="宋体" w:hAnsi="宋体" w:cs="宋体" w:hint="eastAsia"/>
          <w:sz w:val="28"/>
          <w:szCs w:val="28"/>
        </w:rPr>
        <w:t>不符合项已列入整改。</w:t>
      </w:r>
    </w:p>
    <w:p w:rsidR="004F34D9" w:rsidRPr="00123108" w:rsidRDefault="004F34D9" w:rsidP="00D06780">
      <w:pPr>
        <w:snapToGrid w:val="0"/>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评价过程见附件2.4.2。</w:t>
      </w:r>
    </w:p>
    <w:p w:rsidR="004F34D9" w:rsidRPr="00123108" w:rsidRDefault="004F34D9" w:rsidP="00D06780">
      <w:pPr>
        <w:pStyle w:val="3"/>
        <w:spacing w:line="500" w:lineRule="exact"/>
        <w:rPr>
          <w:rFonts w:ascii="宋体" w:hAnsi="宋体" w:cs="宋体" w:hint="eastAsia"/>
          <w:sz w:val="28"/>
          <w:szCs w:val="28"/>
        </w:rPr>
      </w:pPr>
      <w:bookmarkStart w:id="1058" w:name="_Toc18700"/>
      <w:bookmarkStart w:id="1059" w:name="_Toc23182"/>
      <w:bookmarkStart w:id="1060" w:name="_Toc18416"/>
      <w:bookmarkStart w:id="1061" w:name="_Toc7203"/>
      <w:bookmarkStart w:id="1062" w:name="_Toc3809065"/>
      <w:bookmarkStart w:id="1063" w:name="_Toc11638"/>
      <w:bookmarkStart w:id="1064" w:name="_Toc28647"/>
      <w:bookmarkStart w:id="1065" w:name="_Toc190935813"/>
      <w:r w:rsidRPr="00123108">
        <w:rPr>
          <w:rFonts w:ascii="宋体" w:eastAsia="宋体" w:hAnsi="宋体" w:cs="宋体" w:hint="eastAsia"/>
          <w:sz w:val="28"/>
          <w:szCs w:val="28"/>
          <w:lang w:val="zh-CN"/>
        </w:rPr>
        <w:t>7.</w:t>
      </w:r>
      <w:r w:rsidRPr="00123108">
        <w:rPr>
          <w:rFonts w:ascii="宋体" w:eastAsia="宋体" w:hAnsi="宋体" w:cs="宋体" w:hint="eastAsia"/>
          <w:sz w:val="28"/>
          <w:szCs w:val="28"/>
        </w:rPr>
        <w:t>4</w:t>
      </w:r>
      <w:r w:rsidRPr="00123108">
        <w:rPr>
          <w:rFonts w:ascii="宋体" w:eastAsia="宋体" w:hAnsi="宋体" w:cs="宋体" w:hint="eastAsia"/>
          <w:sz w:val="28"/>
          <w:szCs w:val="28"/>
          <w:lang w:val="zh-CN"/>
        </w:rPr>
        <w:t xml:space="preserve">.3 </w:t>
      </w:r>
      <w:bookmarkStart w:id="1066" w:name="_Toc11322"/>
      <w:bookmarkStart w:id="1067" w:name="_Toc10848"/>
      <w:bookmarkStart w:id="1068" w:name="_Toc2938"/>
      <w:bookmarkStart w:id="1069" w:name="_Toc14187"/>
      <w:bookmarkStart w:id="1070" w:name="_Toc12597"/>
      <w:bookmarkStart w:id="1071" w:name="_Toc3809066"/>
      <w:bookmarkStart w:id="1072" w:name="_Toc10687"/>
      <w:bookmarkStart w:id="1073" w:name="_Toc393724153"/>
      <w:bookmarkEnd w:id="1058"/>
      <w:bookmarkEnd w:id="1059"/>
      <w:bookmarkEnd w:id="1060"/>
      <w:bookmarkEnd w:id="1061"/>
      <w:bookmarkEnd w:id="1062"/>
      <w:bookmarkEnd w:id="1063"/>
      <w:bookmarkEnd w:id="1064"/>
      <w:r w:rsidRPr="00123108">
        <w:rPr>
          <w:rFonts w:ascii="宋体" w:eastAsia="宋体" w:hAnsi="宋体" w:cs="宋体" w:hint="eastAsia"/>
          <w:sz w:val="28"/>
        </w:rPr>
        <w:t>生产工艺、设备设施评价</w:t>
      </w:r>
      <w:bookmarkEnd w:id="1073"/>
      <w:r w:rsidRPr="00123108">
        <w:rPr>
          <w:rFonts w:ascii="宋体" w:eastAsia="宋体" w:hAnsi="宋体" w:cs="宋体" w:hint="eastAsia"/>
          <w:sz w:val="28"/>
          <w:szCs w:val="28"/>
        </w:rPr>
        <w:t>结果</w:t>
      </w:r>
      <w:bookmarkEnd w:id="1065"/>
      <w:bookmarkEnd w:id="1066"/>
      <w:bookmarkEnd w:id="1067"/>
      <w:bookmarkEnd w:id="1068"/>
      <w:bookmarkEnd w:id="1069"/>
      <w:bookmarkEnd w:id="1070"/>
      <w:bookmarkEnd w:id="1071"/>
      <w:bookmarkEnd w:id="1072"/>
    </w:p>
    <w:p w:rsidR="004F34D9" w:rsidRPr="00123108" w:rsidRDefault="004F34D9" w:rsidP="00D06780">
      <w:pPr>
        <w:spacing w:line="500" w:lineRule="exact"/>
        <w:ind w:firstLineChars="200" w:firstLine="560"/>
        <w:rPr>
          <w:rFonts w:ascii="宋体" w:hAnsi="宋体" w:hint="eastAsia"/>
          <w:sz w:val="28"/>
          <w:szCs w:val="28"/>
        </w:rPr>
      </w:pPr>
      <w:r w:rsidRPr="00123108">
        <w:rPr>
          <w:rFonts w:ascii="宋体" w:hAnsi="宋体" w:cs="宋体" w:hint="eastAsia"/>
          <w:sz w:val="28"/>
          <w:szCs w:val="28"/>
        </w:rPr>
        <w:t>据</w:t>
      </w:r>
      <w:r w:rsidRPr="00123108">
        <w:rPr>
          <w:rFonts w:ascii="宋体" w:hAnsi="宋体" w:hint="eastAsia"/>
          <w:sz w:val="28"/>
          <w:szCs w:val="28"/>
          <w:lang w:val="zh-CN"/>
        </w:rPr>
        <w:t>《中华人民共和国安全生产法》、</w:t>
      </w:r>
      <w:r w:rsidRPr="00123108">
        <w:rPr>
          <w:rFonts w:ascii="宋体" w:hAnsi="宋体" w:cs="宋体" w:hint="eastAsia"/>
          <w:sz w:val="28"/>
          <w:szCs w:val="28"/>
        </w:rPr>
        <w:t>《爆炸危险环境电力装置设计规范》GB 50058-2014、《固定式压力容器安全技术监察规程》TSG 21-2016及行业标准第1号修改单TSG 21-2016/XG1-2020、</w:t>
      </w:r>
      <w:r w:rsidRPr="00123108">
        <w:rPr>
          <w:rFonts w:ascii="宋体" w:hAnsi="宋体" w:cs="Arial" w:hint="eastAsia"/>
          <w:sz w:val="28"/>
          <w:szCs w:val="28"/>
        </w:rPr>
        <w:t>《工业企业总平面设计规范》</w:t>
      </w:r>
      <w:r w:rsidRPr="00123108">
        <w:rPr>
          <w:rFonts w:ascii="宋体" w:hAnsi="宋体" w:cs="Arial"/>
          <w:sz w:val="28"/>
          <w:szCs w:val="28"/>
        </w:rPr>
        <w:t>GB50</w:t>
      </w:r>
      <w:r w:rsidRPr="00123108">
        <w:rPr>
          <w:rFonts w:ascii="宋体" w:hAnsi="宋体" w:cs="Arial" w:hint="eastAsia"/>
          <w:sz w:val="28"/>
          <w:szCs w:val="28"/>
        </w:rPr>
        <w:t>187</w:t>
      </w:r>
      <w:r w:rsidRPr="00123108">
        <w:rPr>
          <w:rFonts w:ascii="宋体" w:hAnsi="宋体" w:cs="Arial"/>
          <w:sz w:val="28"/>
          <w:szCs w:val="28"/>
        </w:rPr>
        <w:t>-20</w:t>
      </w:r>
      <w:r w:rsidRPr="00123108">
        <w:rPr>
          <w:rFonts w:ascii="宋体" w:hAnsi="宋体" w:cs="Arial" w:hint="eastAsia"/>
          <w:sz w:val="28"/>
          <w:szCs w:val="28"/>
        </w:rPr>
        <w:t>12、</w:t>
      </w:r>
      <w:r w:rsidRPr="00123108">
        <w:rPr>
          <w:rFonts w:ascii="宋体" w:hAnsi="宋体" w:hint="eastAsia"/>
          <w:sz w:val="28"/>
          <w:szCs w:val="28"/>
        </w:rPr>
        <w:t>《工业企业设计卫生标准》GBZ 1-2010、</w:t>
      </w:r>
      <w:r w:rsidRPr="00123108">
        <w:rPr>
          <w:rFonts w:ascii="宋体" w:hAnsi="宋体" w:cs="Arial" w:hint="eastAsia"/>
          <w:sz w:val="28"/>
          <w:szCs w:val="28"/>
        </w:rPr>
        <w:t>《生产设备安全卫生设计总则》</w:t>
      </w:r>
      <w:r w:rsidRPr="00123108">
        <w:rPr>
          <w:rFonts w:ascii="宋体" w:hAnsi="宋体" w:hint="eastAsia"/>
          <w:sz w:val="28"/>
          <w:szCs w:val="28"/>
        </w:rPr>
        <w:t>GB5083-1999、《生产过程安全卫生要求总则》GB</w:t>
      </w:r>
      <w:r w:rsidRPr="00123108">
        <w:rPr>
          <w:rFonts w:ascii="宋体" w:hAnsi="宋体" w:hint="eastAsia"/>
          <w:spacing w:val="-4"/>
          <w:sz w:val="28"/>
          <w:szCs w:val="28"/>
        </w:rPr>
        <w:t xml:space="preserve">/T </w:t>
      </w:r>
      <w:r w:rsidRPr="00123108">
        <w:rPr>
          <w:rFonts w:ascii="宋体" w:hAnsi="宋体" w:hint="eastAsia"/>
          <w:sz w:val="28"/>
          <w:szCs w:val="28"/>
        </w:rPr>
        <w:t>12801-2008</w:t>
      </w:r>
      <w:r w:rsidRPr="00123108">
        <w:rPr>
          <w:rFonts w:ascii="宋体" w:hAnsi="宋体" w:cs="宋体" w:hint="eastAsia"/>
          <w:sz w:val="28"/>
          <w:szCs w:val="28"/>
        </w:rPr>
        <w:t>、《应急管理部关于印发危险化学品企业安全分类整治目录（2020年）的通知》应急〔2020〕84号、《应急管理部办公厅关于印发&lt;淘汰落后危险化学品安全生产工艺技术设备目录（第一批）&gt;的通知》应急厅〔2020〕38号、</w:t>
      </w:r>
      <w:r w:rsidR="0026546B" w:rsidRPr="00123108">
        <w:rPr>
          <w:rFonts w:ascii="宋体" w:hAnsi="宋体" w:hint="eastAsia"/>
          <w:sz w:val="28"/>
          <w:szCs w:val="28"/>
        </w:rPr>
        <w:t>《应急管理部办公厅关于印发&lt;淘汰落后危险化学品安全生产工艺技术设备目录（第二批）&gt;的通知》应急厅〔2024〕86号、</w:t>
      </w:r>
      <w:r w:rsidRPr="00123108">
        <w:rPr>
          <w:rFonts w:ascii="宋体" w:hAnsi="宋体" w:cs="宋体" w:hint="eastAsia"/>
          <w:sz w:val="28"/>
          <w:szCs w:val="28"/>
        </w:rPr>
        <w:t>《危险化学品生产使用企业老旧装置安全风险评估指南</w:t>
      </w:r>
      <w:r w:rsidRPr="00123108">
        <w:rPr>
          <w:rFonts w:ascii="宋体" w:hAnsi="宋体" w:cs="宋体" w:hint="eastAsia"/>
          <w:sz w:val="28"/>
          <w:szCs w:val="28"/>
          <w:shd w:val="clear" w:color="auto" w:fill="FFFFFF"/>
        </w:rPr>
        <w:t>》</w:t>
      </w:r>
      <w:r w:rsidRPr="00123108">
        <w:rPr>
          <w:rFonts w:ascii="宋体" w:hAnsi="宋体" w:cs="宋体" w:hint="eastAsia"/>
          <w:sz w:val="28"/>
          <w:szCs w:val="28"/>
        </w:rPr>
        <w:t>、</w:t>
      </w:r>
      <w:r w:rsidRPr="00123108">
        <w:rPr>
          <w:rFonts w:ascii="宋体" w:hAnsi="宋体" w:cs="宋体" w:hint="eastAsia"/>
          <w:kern w:val="0"/>
          <w:sz w:val="28"/>
          <w:szCs w:val="28"/>
          <w:shd w:val="clear" w:color="auto" w:fill="FFFFFF"/>
        </w:rPr>
        <w:t>根据苯乙烯安全风险隐患排查指南（试行）</w:t>
      </w:r>
      <w:r w:rsidRPr="00123108">
        <w:rPr>
          <w:rFonts w:ascii="宋体" w:hAnsi="宋体" w:cs="宋体" w:hint="eastAsia"/>
          <w:sz w:val="28"/>
          <w:szCs w:val="28"/>
        </w:rPr>
        <w:t>对本项目工艺、设备进行检查，不符合项已列入整改。</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评价过程见附件2.4.3。</w:t>
      </w:r>
    </w:p>
    <w:p w:rsidR="004F34D9" w:rsidRPr="00123108" w:rsidRDefault="004F34D9" w:rsidP="00D06780">
      <w:pPr>
        <w:pStyle w:val="3"/>
        <w:spacing w:line="500" w:lineRule="exact"/>
        <w:rPr>
          <w:rFonts w:ascii="宋体" w:eastAsia="宋体" w:hAnsi="宋体" w:cs="宋体" w:hint="eastAsia"/>
          <w:sz w:val="28"/>
          <w:szCs w:val="28"/>
        </w:rPr>
      </w:pPr>
      <w:bookmarkStart w:id="1074" w:name="_Toc3407"/>
      <w:bookmarkStart w:id="1075" w:name="_Toc12224"/>
      <w:bookmarkStart w:id="1076" w:name="_Toc26271"/>
      <w:bookmarkStart w:id="1077" w:name="_Toc15193"/>
      <w:bookmarkStart w:id="1078" w:name="_Toc4582"/>
      <w:bookmarkStart w:id="1079" w:name="_Toc3809067"/>
      <w:bookmarkStart w:id="1080" w:name="_Toc26104"/>
      <w:bookmarkStart w:id="1081" w:name="_Toc393724154"/>
      <w:bookmarkStart w:id="1082" w:name="_Toc190935814"/>
      <w:r w:rsidRPr="00123108">
        <w:rPr>
          <w:rFonts w:ascii="宋体" w:eastAsia="宋体" w:hAnsi="宋体" w:cs="宋体" w:hint="eastAsia"/>
          <w:sz w:val="28"/>
          <w:szCs w:val="28"/>
        </w:rPr>
        <w:t xml:space="preserve">7.4.4 </w:t>
      </w:r>
      <w:r w:rsidRPr="00123108">
        <w:rPr>
          <w:rFonts w:ascii="宋体" w:eastAsia="宋体" w:hAnsi="宋体" w:cs="宋体" w:hint="eastAsia"/>
          <w:sz w:val="28"/>
          <w:lang w:val="zh-CN"/>
        </w:rPr>
        <w:t>防火防爆措施评价</w:t>
      </w:r>
      <w:r w:rsidRPr="00123108">
        <w:rPr>
          <w:rFonts w:ascii="宋体" w:eastAsia="宋体" w:hAnsi="宋体" w:cs="宋体" w:hint="eastAsia"/>
          <w:sz w:val="28"/>
          <w:szCs w:val="28"/>
        </w:rPr>
        <w:t>结果</w:t>
      </w:r>
      <w:bookmarkEnd w:id="1074"/>
      <w:bookmarkEnd w:id="1075"/>
      <w:bookmarkEnd w:id="1076"/>
      <w:bookmarkEnd w:id="1077"/>
      <w:bookmarkEnd w:id="1078"/>
      <w:bookmarkEnd w:id="1079"/>
      <w:bookmarkEnd w:id="1080"/>
      <w:bookmarkEnd w:id="1081"/>
      <w:bookmarkEnd w:id="1082"/>
    </w:p>
    <w:p w:rsidR="004F34D9" w:rsidRPr="00123108" w:rsidRDefault="004F34D9" w:rsidP="00D06780">
      <w:pPr>
        <w:adjustRightInd w:val="0"/>
        <w:snapToGrid w:val="0"/>
        <w:spacing w:line="500" w:lineRule="exact"/>
        <w:ind w:firstLine="560"/>
        <w:rPr>
          <w:rFonts w:ascii="宋体" w:hAnsi="宋体" w:cs="宋体" w:hint="eastAsia"/>
          <w:sz w:val="28"/>
          <w:szCs w:val="28"/>
        </w:rPr>
      </w:pPr>
      <w:r w:rsidRPr="00123108">
        <w:rPr>
          <w:rFonts w:ascii="宋体" w:hAnsi="宋体" w:cs="宋体" w:hint="eastAsia"/>
          <w:sz w:val="28"/>
          <w:szCs w:val="28"/>
        </w:rPr>
        <w:t>依据《爆炸危险环境电力装置设计规范》GB 50058-2014、《建筑灭火器配置设计规范》GB 50140-2005、《石油化工可燃气体和有毒气体检测报警设计标准》GB/T 50493-2019的要求，对产装置区、储罐区等区域电气系统与防火防爆设施进行检查，新桥化工现有的防火防爆设施能满足规范要求。</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评价过程详见附件2.4.4。</w:t>
      </w:r>
    </w:p>
    <w:p w:rsidR="004F34D9" w:rsidRPr="00123108" w:rsidRDefault="004F34D9" w:rsidP="00D06780">
      <w:pPr>
        <w:pStyle w:val="3"/>
        <w:spacing w:line="500" w:lineRule="exact"/>
        <w:rPr>
          <w:rFonts w:ascii="宋体" w:eastAsia="宋体" w:hAnsi="宋体" w:cs="宋体" w:hint="eastAsia"/>
          <w:sz w:val="28"/>
          <w:szCs w:val="28"/>
        </w:rPr>
      </w:pPr>
      <w:bookmarkStart w:id="1083" w:name="_Toc393724156"/>
      <w:bookmarkStart w:id="1084" w:name="_Toc6659"/>
      <w:bookmarkStart w:id="1085" w:name="_Toc12239"/>
      <w:bookmarkStart w:id="1086" w:name="_Toc3809069"/>
      <w:bookmarkStart w:id="1087" w:name="_Toc18496"/>
      <w:bookmarkStart w:id="1088" w:name="_Toc21302"/>
      <w:bookmarkStart w:id="1089" w:name="_Toc23947"/>
      <w:bookmarkStart w:id="1090" w:name="_Toc30416"/>
      <w:bookmarkStart w:id="1091" w:name="_Toc190935815"/>
      <w:r w:rsidRPr="00123108">
        <w:rPr>
          <w:rFonts w:ascii="宋体" w:eastAsia="宋体" w:hAnsi="宋体" w:cs="宋体" w:hint="eastAsia"/>
          <w:sz w:val="28"/>
          <w:szCs w:val="28"/>
        </w:rPr>
        <w:lastRenderedPageBreak/>
        <w:t xml:space="preserve">7.4.5 </w:t>
      </w:r>
      <w:r w:rsidRPr="00123108">
        <w:rPr>
          <w:rFonts w:ascii="宋体" w:eastAsia="宋体" w:hAnsi="宋体" w:cs="宋体" w:hint="eastAsia"/>
          <w:sz w:val="28"/>
          <w:szCs w:val="28"/>
          <w:lang w:val="zh-CN"/>
        </w:rPr>
        <w:t>防雷防静电评价</w:t>
      </w:r>
      <w:r w:rsidRPr="00123108">
        <w:rPr>
          <w:rFonts w:ascii="宋体" w:eastAsia="宋体" w:hAnsi="宋体" w:cs="宋体" w:hint="eastAsia"/>
          <w:sz w:val="28"/>
          <w:szCs w:val="28"/>
        </w:rPr>
        <w:t>结果</w:t>
      </w:r>
      <w:bookmarkEnd w:id="1083"/>
      <w:bookmarkEnd w:id="1084"/>
      <w:bookmarkEnd w:id="1085"/>
      <w:bookmarkEnd w:id="1086"/>
      <w:bookmarkEnd w:id="1087"/>
      <w:bookmarkEnd w:id="1088"/>
      <w:bookmarkEnd w:id="1089"/>
      <w:bookmarkEnd w:id="1090"/>
      <w:bookmarkEnd w:id="1091"/>
    </w:p>
    <w:p w:rsidR="004F34D9" w:rsidRPr="00123108" w:rsidRDefault="004F34D9" w:rsidP="00D06780">
      <w:pPr>
        <w:snapToGrid w:val="0"/>
        <w:spacing w:line="500" w:lineRule="exact"/>
        <w:ind w:firstLineChars="200" w:firstLine="560"/>
        <w:rPr>
          <w:rFonts w:ascii="宋体" w:hAnsi="宋体" w:cs="宋体" w:hint="eastAsia"/>
          <w:sz w:val="28"/>
          <w:szCs w:val="28"/>
          <w:lang w:val="zh-CN"/>
        </w:rPr>
      </w:pPr>
      <w:r w:rsidRPr="00123108">
        <w:rPr>
          <w:rFonts w:ascii="宋体" w:hAnsi="宋体" w:cs="宋体" w:hint="eastAsia"/>
          <w:sz w:val="28"/>
          <w:szCs w:val="28"/>
        </w:rPr>
        <w:t>依据《建筑物防雷设计规范》GB 50057-2010、</w:t>
      </w:r>
      <w:r w:rsidRPr="00123108">
        <w:rPr>
          <w:rFonts w:ascii="宋体" w:hAnsi="宋体" w:cs="宋体" w:hint="eastAsia"/>
          <w:sz w:val="28"/>
        </w:rPr>
        <w:t>《</w:t>
      </w:r>
      <w:r w:rsidRPr="00123108">
        <w:rPr>
          <w:rFonts w:ascii="宋体" w:hAnsi="宋体" w:cs="宋体"/>
          <w:sz w:val="28"/>
        </w:rPr>
        <w:t>石油化工装置防雷设计规范</w:t>
      </w:r>
      <w:r w:rsidRPr="00123108">
        <w:rPr>
          <w:rFonts w:ascii="宋体" w:hAnsi="宋体" w:cs="宋体" w:hint="eastAsia"/>
          <w:sz w:val="28"/>
        </w:rPr>
        <w:t>》GB 50650-2011</w:t>
      </w:r>
      <w:r w:rsidRPr="00123108">
        <w:rPr>
          <w:rFonts w:ascii="宋体" w:hAnsi="宋体" w:cs="宋体"/>
          <w:sz w:val="28"/>
        </w:rPr>
        <w:t>（2022</w:t>
      </w:r>
      <w:r w:rsidRPr="00123108">
        <w:rPr>
          <w:rFonts w:ascii="宋体" w:hAnsi="宋体" w:cs="宋体" w:hint="eastAsia"/>
          <w:sz w:val="28"/>
        </w:rPr>
        <w:t>年</w:t>
      </w:r>
      <w:r w:rsidRPr="00123108">
        <w:rPr>
          <w:rFonts w:ascii="宋体" w:hAnsi="宋体" w:cs="宋体"/>
          <w:sz w:val="28"/>
        </w:rPr>
        <w:t>版）</w:t>
      </w:r>
      <w:r w:rsidRPr="00123108">
        <w:rPr>
          <w:rFonts w:ascii="宋体" w:hAnsi="宋体" w:cs="宋体" w:hint="eastAsia"/>
          <w:sz w:val="28"/>
          <w:szCs w:val="28"/>
        </w:rPr>
        <w:t>等的要求，对生产装置区、罐区等区域进行电气安全设施检查，不符合项已列入整改</w:t>
      </w:r>
      <w:r w:rsidRPr="00123108">
        <w:rPr>
          <w:rFonts w:ascii="宋体" w:hAnsi="宋体" w:hint="eastAsia"/>
          <w:sz w:val="28"/>
          <w:szCs w:val="28"/>
        </w:rPr>
        <w:t>。</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评价过程详见附件2.4.5。</w:t>
      </w:r>
    </w:p>
    <w:p w:rsidR="004F34D9" w:rsidRPr="00123108" w:rsidRDefault="004F34D9" w:rsidP="00D06780">
      <w:pPr>
        <w:pStyle w:val="3"/>
        <w:spacing w:line="500" w:lineRule="exact"/>
        <w:rPr>
          <w:rFonts w:ascii="宋体" w:eastAsia="宋体" w:hAnsi="宋体" w:cs="宋体" w:hint="eastAsia"/>
          <w:sz w:val="28"/>
          <w:szCs w:val="28"/>
        </w:rPr>
      </w:pPr>
      <w:bookmarkStart w:id="1092" w:name="_Toc28471"/>
      <w:bookmarkStart w:id="1093" w:name="_Toc3809070"/>
      <w:bookmarkStart w:id="1094" w:name="_Toc7784"/>
      <w:bookmarkStart w:id="1095" w:name="_Toc22417"/>
      <w:bookmarkStart w:id="1096" w:name="_Toc22060"/>
      <w:bookmarkStart w:id="1097" w:name="_Toc7306"/>
      <w:bookmarkStart w:id="1098" w:name="_Toc12068"/>
      <w:bookmarkStart w:id="1099" w:name="_Toc393724157"/>
      <w:bookmarkStart w:id="1100" w:name="_Toc190935816"/>
      <w:r w:rsidRPr="00123108">
        <w:rPr>
          <w:rFonts w:ascii="宋体" w:eastAsia="宋体" w:hAnsi="宋体" w:cs="宋体" w:hint="eastAsia"/>
          <w:sz w:val="28"/>
          <w:szCs w:val="28"/>
        </w:rPr>
        <w:t xml:space="preserve">7.4.6 </w:t>
      </w:r>
      <w:bookmarkStart w:id="1101" w:name="_Toc393724158"/>
      <w:bookmarkStart w:id="1102" w:name="_Toc283210346"/>
      <w:bookmarkEnd w:id="1099"/>
      <w:r w:rsidRPr="00123108">
        <w:rPr>
          <w:rFonts w:ascii="宋体" w:eastAsia="宋体" w:hAnsi="宋体" w:cs="宋体" w:hint="eastAsia"/>
          <w:sz w:val="28"/>
          <w:szCs w:val="28"/>
        </w:rPr>
        <w:t>消防设施评价结果</w:t>
      </w:r>
      <w:bookmarkEnd w:id="1092"/>
      <w:bookmarkEnd w:id="1093"/>
      <w:bookmarkEnd w:id="1094"/>
      <w:bookmarkEnd w:id="1095"/>
      <w:bookmarkEnd w:id="1096"/>
      <w:bookmarkEnd w:id="1097"/>
      <w:bookmarkEnd w:id="1098"/>
      <w:bookmarkEnd w:id="1100"/>
      <w:bookmarkEnd w:id="1101"/>
      <w:bookmarkEnd w:id="1102"/>
    </w:p>
    <w:p w:rsidR="004F34D9" w:rsidRPr="00123108" w:rsidRDefault="004F34D9" w:rsidP="00D06780">
      <w:pPr>
        <w:adjustRightInd w:val="0"/>
        <w:snapToGrid w:val="0"/>
        <w:spacing w:line="500" w:lineRule="exact"/>
        <w:ind w:firstLine="560"/>
        <w:rPr>
          <w:rFonts w:ascii="宋体" w:hAnsi="宋体" w:cs="宋体" w:hint="eastAsia"/>
          <w:bCs/>
          <w:sz w:val="28"/>
          <w:szCs w:val="28"/>
        </w:rPr>
      </w:pPr>
      <w:r w:rsidRPr="00123108">
        <w:rPr>
          <w:rFonts w:ascii="宋体" w:hAnsi="宋体" w:cs="宋体" w:hint="eastAsia"/>
          <w:sz w:val="28"/>
          <w:szCs w:val="28"/>
        </w:rPr>
        <w:t>依据《中华人民共和国消防法》、《建筑灭火器配置设计规范》GB 50140-2005、《建筑灭火器配置验收及检查规范》GB 50444-2008等规范要求，对消防设施进行检查，本项目消防设施能满足规范要求</w:t>
      </w:r>
      <w:r w:rsidRPr="00123108">
        <w:rPr>
          <w:rFonts w:ascii="宋体" w:hAnsi="宋体" w:cs="宋体" w:hint="eastAsia"/>
          <w:bCs/>
          <w:sz w:val="28"/>
          <w:szCs w:val="28"/>
        </w:rPr>
        <w:t>。</w:t>
      </w:r>
    </w:p>
    <w:p w:rsidR="004F34D9" w:rsidRPr="00123108" w:rsidRDefault="004F34D9" w:rsidP="00D06780">
      <w:pPr>
        <w:adjustRightInd w:val="0"/>
        <w:snapToGrid w:val="0"/>
        <w:spacing w:line="500" w:lineRule="exact"/>
        <w:ind w:firstLine="560"/>
        <w:rPr>
          <w:rFonts w:ascii="宋体" w:hAnsi="宋体" w:cs="宋体" w:hint="eastAsia"/>
          <w:sz w:val="28"/>
          <w:szCs w:val="28"/>
        </w:rPr>
      </w:pPr>
      <w:r w:rsidRPr="00123108">
        <w:rPr>
          <w:rFonts w:ascii="宋体" w:hAnsi="宋体" w:cs="宋体" w:hint="eastAsia"/>
          <w:sz w:val="28"/>
          <w:szCs w:val="28"/>
          <w:lang w:val="zh-CN"/>
        </w:rPr>
        <w:t>评价过程见附件2.</w:t>
      </w:r>
      <w:r w:rsidRPr="00123108">
        <w:rPr>
          <w:rFonts w:ascii="宋体" w:hAnsi="宋体" w:cs="宋体" w:hint="eastAsia"/>
          <w:sz w:val="28"/>
          <w:szCs w:val="28"/>
        </w:rPr>
        <w:t>4</w:t>
      </w:r>
      <w:r w:rsidRPr="00123108">
        <w:rPr>
          <w:rFonts w:ascii="宋体" w:hAnsi="宋体" w:cs="宋体" w:hint="eastAsia"/>
          <w:sz w:val="28"/>
          <w:szCs w:val="28"/>
          <w:lang w:val="zh-CN"/>
        </w:rPr>
        <w:t>.6。</w:t>
      </w:r>
    </w:p>
    <w:p w:rsidR="004F34D9" w:rsidRPr="00123108" w:rsidRDefault="004F34D9" w:rsidP="00D06780">
      <w:pPr>
        <w:pStyle w:val="3"/>
        <w:spacing w:line="500" w:lineRule="exact"/>
        <w:rPr>
          <w:rFonts w:ascii="宋体" w:eastAsia="宋体" w:hAnsi="宋体" w:cs="宋体" w:hint="eastAsia"/>
          <w:sz w:val="28"/>
          <w:szCs w:val="28"/>
        </w:rPr>
      </w:pPr>
      <w:bookmarkStart w:id="1103" w:name="_Toc393724161"/>
      <w:bookmarkStart w:id="1104" w:name="_Toc20187"/>
      <w:bookmarkStart w:id="1105" w:name="_Toc19274"/>
      <w:bookmarkStart w:id="1106" w:name="_Toc4347"/>
      <w:bookmarkStart w:id="1107" w:name="_Toc3809071"/>
      <w:bookmarkStart w:id="1108" w:name="_Toc15354"/>
      <w:bookmarkStart w:id="1109" w:name="_Toc29885"/>
      <w:bookmarkStart w:id="1110" w:name="_Toc2145"/>
      <w:bookmarkStart w:id="1111" w:name="_Toc190935817"/>
      <w:r w:rsidRPr="00123108">
        <w:rPr>
          <w:rFonts w:ascii="宋体" w:eastAsia="宋体" w:hAnsi="宋体" w:cs="宋体" w:hint="eastAsia"/>
          <w:sz w:val="28"/>
          <w:szCs w:val="28"/>
        </w:rPr>
        <w:t>7.4.7 电气、照明设施评价结果</w:t>
      </w:r>
      <w:bookmarkEnd w:id="1103"/>
      <w:bookmarkEnd w:id="1104"/>
      <w:bookmarkEnd w:id="1105"/>
      <w:bookmarkEnd w:id="1106"/>
      <w:bookmarkEnd w:id="1107"/>
      <w:bookmarkEnd w:id="1108"/>
      <w:bookmarkEnd w:id="1109"/>
      <w:bookmarkEnd w:id="1110"/>
      <w:bookmarkEnd w:id="1111"/>
    </w:p>
    <w:p w:rsidR="00D74BFF"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依据《建筑设计防火规范》GB 50016-2014（2018年版）、《化工企业静电接地设计规程》HG/T 20675-1990、《供配电系统设计规范》GB 50052-2009、《低压配电设计规范》GB 50054-2011、《20kV及以下变电所设计规范》GB 50053-2013、《用电安全导则》GB/T 13869-2017</w:t>
      </w:r>
      <w:r w:rsidR="00D74BFF" w:rsidRPr="00123108">
        <w:rPr>
          <w:rFonts w:ascii="宋体" w:hAnsi="宋体" w:cs="宋体" w:hint="eastAsia"/>
          <w:sz w:val="28"/>
          <w:szCs w:val="28"/>
        </w:rPr>
        <w:t>、</w:t>
      </w:r>
      <w:r w:rsidR="00D74BFF" w:rsidRPr="00123108">
        <w:rPr>
          <w:rFonts w:hint="eastAsia"/>
        </w:rPr>
        <w:t>《应急照明》</w:t>
      </w:r>
      <w:r w:rsidR="00D74BFF" w:rsidRPr="00123108">
        <w:rPr>
          <w:rFonts w:hint="eastAsia"/>
        </w:rPr>
        <w:t>GB/T42824-2023</w:t>
      </w:r>
      <w:r w:rsidR="00D74BFF" w:rsidRPr="00123108">
        <w:rPr>
          <w:rFonts w:ascii="宋体" w:hAnsi="宋体" w:cs="宋体" w:hint="eastAsia"/>
          <w:sz w:val="28"/>
          <w:szCs w:val="28"/>
        </w:rPr>
        <w:t>等规范，对企业现有的电气、照明设施进行检查</w:t>
      </w:r>
      <w:r w:rsidR="00D74BFF" w:rsidRPr="00123108">
        <w:rPr>
          <w:rFonts w:ascii="宋体" w:hAnsi="宋体" w:cs="宋体" w:hint="eastAsia"/>
          <w:sz w:val="28"/>
          <w:szCs w:val="28"/>
          <w:lang w:val="zh-CN"/>
        </w:rPr>
        <w:t>，</w:t>
      </w:r>
      <w:r w:rsidR="00D74BFF" w:rsidRPr="00123108">
        <w:rPr>
          <w:rFonts w:ascii="宋体" w:hAnsi="宋体" w:cs="宋体" w:hint="eastAsia"/>
          <w:sz w:val="28"/>
          <w:szCs w:val="28"/>
        </w:rPr>
        <w:t>新桥化工现有的电气、照明措施能满足规范要求</w:t>
      </w:r>
      <w:r w:rsidR="00D74BFF" w:rsidRPr="00123108">
        <w:rPr>
          <w:rFonts w:ascii="宋体" w:hAnsi="宋体" w:cs="宋体" w:hint="eastAsia"/>
          <w:sz w:val="28"/>
        </w:rPr>
        <w:t>。</w:t>
      </w:r>
    </w:p>
    <w:p w:rsidR="004F34D9" w:rsidRPr="00123108" w:rsidRDefault="004F34D9" w:rsidP="00D06780">
      <w:pPr>
        <w:spacing w:line="500" w:lineRule="exact"/>
        <w:ind w:firstLineChars="200" w:firstLine="560"/>
        <w:rPr>
          <w:rFonts w:ascii="宋体" w:hAnsi="宋体" w:cs="宋体" w:hint="eastAsia"/>
          <w:sz w:val="28"/>
          <w:szCs w:val="28"/>
          <w:lang w:val="zh-CN"/>
        </w:rPr>
      </w:pPr>
      <w:r w:rsidRPr="00123108">
        <w:rPr>
          <w:rFonts w:ascii="宋体" w:hAnsi="宋体" w:cs="宋体" w:hint="eastAsia"/>
          <w:sz w:val="28"/>
          <w:szCs w:val="28"/>
          <w:lang w:val="zh-CN"/>
        </w:rPr>
        <w:t>评价过程见附件2.</w:t>
      </w:r>
      <w:r w:rsidRPr="00123108">
        <w:rPr>
          <w:rFonts w:ascii="宋体" w:hAnsi="宋体" w:cs="宋体" w:hint="eastAsia"/>
          <w:sz w:val="28"/>
          <w:szCs w:val="28"/>
        </w:rPr>
        <w:t>4</w:t>
      </w:r>
      <w:r w:rsidRPr="00123108">
        <w:rPr>
          <w:rFonts w:ascii="宋体" w:hAnsi="宋体" w:cs="宋体" w:hint="eastAsia"/>
          <w:sz w:val="28"/>
          <w:szCs w:val="28"/>
          <w:lang w:val="zh-CN"/>
        </w:rPr>
        <w:t>.7。</w:t>
      </w:r>
    </w:p>
    <w:p w:rsidR="004F34D9" w:rsidRPr="00123108" w:rsidRDefault="004F34D9" w:rsidP="00D06780">
      <w:pPr>
        <w:spacing w:line="500" w:lineRule="exact"/>
        <w:outlineLvl w:val="2"/>
        <w:rPr>
          <w:rFonts w:ascii="宋体" w:hAnsi="宋体" w:cs="宋体" w:hint="eastAsia"/>
          <w:b/>
          <w:bCs/>
          <w:sz w:val="28"/>
          <w:szCs w:val="28"/>
        </w:rPr>
      </w:pPr>
      <w:bookmarkStart w:id="1112" w:name="_Toc7639"/>
      <w:bookmarkStart w:id="1113" w:name="_Toc22068"/>
      <w:bookmarkStart w:id="1114" w:name="_Toc29721"/>
      <w:bookmarkStart w:id="1115" w:name="_Toc3425"/>
      <w:bookmarkStart w:id="1116" w:name="_Toc19064"/>
      <w:bookmarkStart w:id="1117" w:name="_Toc3446"/>
      <w:bookmarkStart w:id="1118" w:name="_Toc190935818"/>
      <w:r w:rsidRPr="00123108">
        <w:rPr>
          <w:rFonts w:ascii="宋体" w:hAnsi="宋体" w:cs="宋体" w:hint="eastAsia"/>
          <w:b/>
          <w:bCs/>
          <w:sz w:val="28"/>
          <w:szCs w:val="28"/>
        </w:rPr>
        <w:t>7.4.8  常规防护设施和措施评价结果</w:t>
      </w:r>
      <w:bookmarkEnd w:id="1112"/>
      <w:bookmarkEnd w:id="1113"/>
      <w:bookmarkEnd w:id="1114"/>
      <w:bookmarkEnd w:id="1115"/>
      <w:bookmarkEnd w:id="1116"/>
      <w:bookmarkEnd w:id="1117"/>
      <w:bookmarkEnd w:id="1118"/>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依据《中华人民共和国安全生产法》、《工业企业厂内铁路、道路运输安全规程》GB 4387-2008、《固定式钢梯及平台安全要求 第3部分：工业防护栏杆及钢平台》GB 4053.3-2009 、</w:t>
      </w:r>
      <w:r w:rsidRPr="00123108">
        <w:rPr>
          <w:rFonts w:ascii="宋体" w:hAnsi="宋体" w:cs="宋体"/>
          <w:sz w:val="28"/>
          <w:szCs w:val="28"/>
          <w:lang w:val="zh-CN"/>
        </w:rPr>
        <w:t>《个体防护装备配备规范第1部分：总则》GB</w:t>
      </w:r>
      <w:r w:rsidRPr="00123108">
        <w:rPr>
          <w:rFonts w:ascii="宋体" w:hAnsi="宋体" w:cs="宋体" w:hint="eastAsia"/>
          <w:sz w:val="28"/>
          <w:szCs w:val="28"/>
        </w:rPr>
        <w:t xml:space="preserve"> </w:t>
      </w:r>
      <w:r w:rsidRPr="00123108">
        <w:rPr>
          <w:rFonts w:ascii="宋体" w:hAnsi="宋体" w:cs="宋体"/>
          <w:sz w:val="28"/>
          <w:szCs w:val="28"/>
          <w:lang w:val="zh-CN"/>
        </w:rPr>
        <w:t>39800.1-2020</w:t>
      </w:r>
      <w:r w:rsidRPr="00123108">
        <w:rPr>
          <w:rFonts w:ascii="宋体" w:hAnsi="宋体" w:cs="宋体" w:hint="eastAsia"/>
          <w:sz w:val="28"/>
          <w:szCs w:val="28"/>
        </w:rPr>
        <w:t>、《石油化工企业职业安全卫生设计规范》SH/T 3047-2021等，通过现场检查，采用安全检查表方式对现场安全标志、安全色、道路交通标志标线进行检查，新桥化工常规防护设施能够符合规范要求。</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评价过程见附件2.4.8。</w:t>
      </w:r>
    </w:p>
    <w:p w:rsidR="004F34D9" w:rsidRPr="00123108" w:rsidRDefault="004F34D9" w:rsidP="00D06780">
      <w:pPr>
        <w:spacing w:line="500" w:lineRule="exact"/>
        <w:outlineLvl w:val="2"/>
        <w:rPr>
          <w:rFonts w:ascii="宋体" w:hAnsi="宋体" w:cs="宋体" w:hint="eastAsia"/>
          <w:b/>
          <w:bCs/>
          <w:sz w:val="28"/>
          <w:szCs w:val="28"/>
        </w:rPr>
      </w:pPr>
      <w:bookmarkStart w:id="1119" w:name="_Toc324"/>
      <w:bookmarkStart w:id="1120" w:name="_Toc13452"/>
      <w:bookmarkStart w:id="1121" w:name="_Toc18453"/>
      <w:bookmarkStart w:id="1122" w:name="_Toc19926"/>
      <w:bookmarkStart w:id="1123" w:name="_Toc2239"/>
      <w:bookmarkStart w:id="1124" w:name="_Toc18526"/>
      <w:bookmarkStart w:id="1125" w:name="_Toc190935819"/>
      <w:r w:rsidRPr="00123108">
        <w:rPr>
          <w:rFonts w:ascii="宋体" w:hAnsi="宋体" w:cs="宋体" w:hint="eastAsia"/>
          <w:b/>
          <w:bCs/>
          <w:sz w:val="28"/>
          <w:szCs w:val="28"/>
        </w:rPr>
        <w:t>7.4.9  自动化控制系统评价结果</w:t>
      </w:r>
      <w:bookmarkEnd w:id="1119"/>
      <w:bookmarkEnd w:id="1120"/>
      <w:bookmarkEnd w:id="1121"/>
      <w:bookmarkEnd w:id="1122"/>
      <w:bookmarkEnd w:id="1123"/>
      <w:bookmarkEnd w:id="1124"/>
      <w:bookmarkEnd w:id="1125"/>
    </w:p>
    <w:p w:rsidR="004F34D9" w:rsidRPr="00123108" w:rsidRDefault="004F34D9" w:rsidP="00D06780">
      <w:pPr>
        <w:snapToGrid w:val="0"/>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根据《石油化工安全仪表系统设计规范》</w:t>
      </w:r>
      <w:r w:rsidRPr="00123108">
        <w:rPr>
          <w:rFonts w:ascii="宋体" w:hAnsi="宋体" w:cs="宋体" w:hint="eastAsia"/>
          <w:sz w:val="28"/>
        </w:rPr>
        <w:t>GB/T 50770-2013</w:t>
      </w:r>
      <w:r w:rsidRPr="00123108">
        <w:rPr>
          <w:rFonts w:ascii="宋体" w:hAnsi="宋体" w:cs="宋体" w:hint="eastAsia"/>
          <w:sz w:val="28"/>
          <w:szCs w:val="28"/>
        </w:rPr>
        <w:t>、《石油化工</w:t>
      </w:r>
      <w:r w:rsidRPr="00123108">
        <w:rPr>
          <w:rFonts w:ascii="宋体" w:hAnsi="宋体" w:cs="宋体" w:hint="eastAsia"/>
          <w:sz w:val="28"/>
          <w:szCs w:val="28"/>
        </w:rPr>
        <w:lastRenderedPageBreak/>
        <w:t>自动化仪表选型设计规范》SH/T 3005-2016、《危险化学品企业事故隐患排查治理实施导则的通知》安监总管三[2012]103号等规范及规范性文件对新桥化工的自动化控制系统进行检查，存在问题：</w:t>
      </w:r>
      <w:r w:rsidRPr="00123108">
        <w:rPr>
          <w:rFonts w:ascii="宋体" w:hAnsi="宋体" w:hint="eastAsia"/>
          <w:sz w:val="28"/>
          <w:szCs w:val="28"/>
        </w:rPr>
        <w:t>SIS回路：PID上联锁回路未体现联锁开</w:t>
      </w:r>
      <w:r w:rsidRPr="00123108">
        <w:rPr>
          <w:rFonts w:ascii="宋体" w:hAnsi="宋体" w:cs="Arial"/>
          <w:sz w:val="28"/>
          <w:szCs w:val="28"/>
        </w:rPr>
        <w:t>SOV201A</w:t>
      </w:r>
      <w:r w:rsidRPr="00123108">
        <w:rPr>
          <w:rFonts w:ascii="宋体" w:hAnsi="宋体" w:cs="Arial" w:hint="eastAsia"/>
          <w:sz w:val="28"/>
          <w:szCs w:val="28"/>
        </w:rPr>
        <w:t>/B。 PID上有两个温度测量，SIS组态程序未明确温度信号是取TT201A还是TT201B</w:t>
      </w:r>
      <w:r w:rsidRPr="00123108">
        <w:rPr>
          <w:rFonts w:ascii="宋体" w:hAnsi="宋体" w:hint="eastAsia"/>
          <w:sz w:val="28"/>
          <w:szCs w:val="28"/>
        </w:rPr>
        <w:t>。</w:t>
      </w:r>
    </w:p>
    <w:p w:rsidR="004F34D9" w:rsidRPr="00123108" w:rsidRDefault="004F34D9" w:rsidP="00D06780">
      <w:pPr>
        <w:spacing w:line="500" w:lineRule="exact"/>
        <w:ind w:firstLineChars="200" w:firstLine="560"/>
        <w:rPr>
          <w:rFonts w:ascii="宋体" w:hAnsi="宋体" w:cs="宋体" w:hint="eastAsia"/>
          <w:sz w:val="28"/>
          <w:szCs w:val="28"/>
          <w:lang w:val="zh-CN"/>
        </w:rPr>
      </w:pPr>
      <w:r w:rsidRPr="00123108">
        <w:rPr>
          <w:rFonts w:ascii="宋体" w:hAnsi="宋体" w:cs="宋体" w:hint="eastAsia"/>
          <w:sz w:val="28"/>
          <w:szCs w:val="28"/>
          <w:lang w:val="zh-CN"/>
        </w:rPr>
        <w:t>评价过程见附件2.</w:t>
      </w:r>
      <w:r w:rsidRPr="00123108">
        <w:rPr>
          <w:rFonts w:ascii="宋体" w:hAnsi="宋体" w:cs="宋体" w:hint="eastAsia"/>
          <w:sz w:val="28"/>
          <w:szCs w:val="28"/>
        </w:rPr>
        <w:t>5</w:t>
      </w:r>
      <w:r w:rsidRPr="00123108">
        <w:rPr>
          <w:rFonts w:ascii="宋体" w:hAnsi="宋体" w:cs="宋体" w:hint="eastAsia"/>
          <w:sz w:val="28"/>
          <w:szCs w:val="28"/>
          <w:lang w:val="zh-CN"/>
        </w:rPr>
        <w:t>。</w:t>
      </w:r>
    </w:p>
    <w:p w:rsidR="004F34D9" w:rsidRPr="00123108" w:rsidRDefault="004F34D9" w:rsidP="00D06780">
      <w:pPr>
        <w:spacing w:line="500" w:lineRule="exact"/>
        <w:outlineLvl w:val="2"/>
        <w:rPr>
          <w:rFonts w:ascii="宋体" w:hAnsi="宋体" w:cs="宋体" w:hint="eastAsia"/>
          <w:b/>
          <w:bCs/>
          <w:sz w:val="28"/>
          <w:szCs w:val="28"/>
        </w:rPr>
      </w:pPr>
      <w:bookmarkStart w:id="1126" w:name="_Toc190935820"/>
      <w:r w:rsidRPr="00123108">
        <w:rPr>
          <w:rFonts w:ascii="宋体" w:hAnsi="宋体" w:cs="宋体" w:hint="eastAsia"/>
          <w:b/>
          <w:bCs/>
          <w:sz w:val="28"/>
          <w:szCs w:val="28"/>
        </w:rPr>
        <w:t xml:space="preserve">7.4.10 </w:t>
      </w:r>
      <w:r w:rsidRPr="00123108">
        <w:rPr>
          <w:rFonts w:ascii="宋体" w:hAnsi="宋体" w:cs="宋体" w:hint="eastAsia"/>
          <w:b/>
          <w:bCs/>
          <w:sz w:val="28"/>
          <w:szCs w:val="28"/>
          <w:lang w:val="zh-CN"/>
        </w:rPr>
        <w:t>职业危害评价结果</w:t>
      </w:r>
      <w:bookmarkEnd w:id="1126"/>
    </w:p>
    <w:p w:rsidR="004F34D9" w:rsidRPr="00123108" w:rsidRDefault="004F34D9" w:rsidP="00D06780">
      <w:pPr>
        <w:spacing w:line="500" w:lineRule="exact"/>
        <w:ind w:firstLineChars="200" w:firstLine="560"/>
        <w:rPr>
          <w:rFonts w:hint="eastAsia"/>
          <w:sz w:val="28"/>
          <w:szCs w:val="28"/>
        </w:rPr>
      </w:pPr>
      <w:r w:rsidRPr="00123108">
        <w:rPr>
          <w:rFonts w:ascii="宋体" w:hAnsi="宋体" w:hint="eastAsia"/>
          <w:sz w:val="28"/>
          <w:szCs w:val="28"/>
        </w:rPr>
        <w:t>本项目主要的职业危害包括毒物、噪声、高低温、粉尘等。</w:t>
      </w:r>
    </w:p>
    <w:p w:rsidR="004F34D9" w:rsidRPr="00123108" w:rsidRDefault="004F34D9" w:rsidP="00D06780">
      <w:pPr>
        <w:spacing w:line="500" w:lineRule="exact"/>
        <w:ind w:firstLineChars="200" w:firstLine="560"/>
        <w:rPr>
          <w:rFonts w:ascii="宋体" w:cs="宋体" w:hint="eastAsia"/>
          <w:kern w:val="0"/>
          <w:sz w:val="28"/>
          <w:szCs w:val="28"/>
        </w:rPr>
      </w:pPr>
      <w:r w:rsidRPr="00123108">
        <w:rPr>
          <w:rFonts w:ascii="宋体" w:hAnsi="宋体" w:hint="eastAsia"/>
          <w:sz w:val="28"/>
        </w:rPr>
        <w:t>本项目职业危害防护能够符合规范要求。</w:t>
      </w:r>
    </w:p>
    <w:p w:rsidR="004F34D9" w:rsidRPr="00123108" w:rsidRDefault="004F34D9" w:rsidP="00D06780">
      <w:pPr>
        <w:spacing w:line="500" w:lineRule="exact"/>
        <w:ind w:firstLineChars="200" w:firstLine="560"/>
        <w:rPr>
          <w:rFonts w:ascii="宋体" w:hAnsi="宋体" w:hint="eastAsia"/>
          <w:sz w:val="28"/>
          <w:szCs w:val="28"/>
        </w:rPr>
      </w:pPr>
      <w:r w:rsidRPr="00123108">
        <w:rPr>
          <w:rFonts w:ascii="宋体" w:hAnsi="宋体" w:hint="eastAsia"/>
          <w:sz w:val="28"/>
          <w:szCs w:val="28"/>
        </w:rPr>
        <w:t>评价过程详见附件</w:t>
      </w:r>
      <w:r w:rsidRPr="00123108">
        <w:rPr>
          <w:rFonts w:ascii="宋体" w:hAnsi="宋体" w:cs="宋体" w:hint="eastAsia"/>
          <w:sz w:val="28"/>
          <w:szCs w:val="28"/>
          <w:lang w:val="zh-CN"/>
        </w:rPr>
        <w:t>2.</w:t>
      </w:r>
      <w:r w:rsidRPr="00123108">
        <w:rPr>
          <w:rFonts w:ascii="宋体" w:hAnsi="宋体" w:cs="宋体" w:hint="eastAsia"/>
          <w:sz w:val="28"/>
          <w:szCs w:val="28"/>
        </w:rPr>
        <w:t>6</w:t>
      </w:r>
      <w:r w:rsidRPr="00123108">
        <w:rPr>
          <w:rFonts w:ascii="宋体" w:hAnsi="宋体" w:hint="eastAsia"/>
          <w:sz w:val="28"/>
          <w:szCs w:val="28"/>
        </w:rPr>
        <w:t>。</w:t>
      </w:r>
    </w:p>
    <w:p w:rsidR="004F34D9" w:rsidRPr="00123108" w:rsidRDefault="004F34D9" w:rsidP="00D06780">
      <w:pPr>
        <w:spacing w:line="500" w:lineRule="exact"/>
        <w:outlineLvl w:val="2"/>
        <w:rPr>
          <w:rFonts w:ascii="宋体" w:hAnsi="宋体" w:cs="宋体" w:hint="eastAsia"/>
          <w:b/>
          <w:bCs/>
          <w:sz w:val="28"/>
          <w:szCs w:val="28"/>
        </w:rPr>
      </w:pPr>
      <w:bookmarkStart w:id="1127" w:name="_Toc190935821"/>
      <w:r w:rsidRPr="00123108">
        <w:rPr>
          <w:rFonts w:ascii="宋体" w:hAnsi="宋体" w:cs="宋体" w:hint="eastAsia"/>
          <w:b/>
          <w:bCs/>
          <w:sz w:val="28"/>
          <w:szCs w:val="28"/>
        </w:rPr>
        <w:t xml:space="preserve">7.4.11 </w:t>
      </w:r>
      <w:r w:rsidRPr="00123108">
        <w:rPr>
          <w:rFonts w:ascii="宋体" w:hAnsi="宋体" w:cs="宋体" w:hint="eastAsia"/>
          <w:b/>
          <w:bCs/>
          <w:sz w:val="28"/>
          <w:szCs w:val="28"/>
          <w:lang w:val="zh-CN"/>
        </w:rPr>
        <w:t>劳动防护用品评价结果</w:t>
      </w:r>
      <w:bookmarkEnd w:id="1127"/>
    </w:p>
    <w:p w:rsidR="004F34D9" w:rsidRPr="00123108" w:rsidRDefault="004F34D9" w:rsidP="00D06780">
      <w:pPr>
        <w:spacing w:line="500" w:lineRule="exact"/>
        <w:ind w:firstLineChars="200" w:firstLine="560"/>
        <w:rPr>
          <w:rFonts w:ascii="宋体" w:hAnsi="宋体" w:cs="Courier New" w:hint="eastAsia"/>
          <w:sz w:val="28"/>
          <w:szCs w:val="28"/>
        </w:rPr>
      </w:pPr>
      <w:r w:rsidRPr="00123108">
        <w:rPr>
          <w:rFonts w:ascii="宋体" w:hAnsi="宋体" w:cs="Courier New" w:hint="eastAsia"/>
          <w:sz w:val="28"/>
          <w:szCs w:val="28"/>
        </w:rPr>
        <w:t>企业已根据不同岗位分别配备了各种劳动防护用品和应急物资装备，劳动防护用品发放标准见表2.13-10，应急物资储备清单</w:t>
      </w:r>
      <w:r w:rsidRPr="00123108">
        <w:rPr>
          <w:rFonts w:ascii="宋体" w:hAnsi="宋体" w:cs="Courier New" w:hint="eastAsia"/>
          <w:sz w:val="28"/>
          <w:szCs w:val="28"/>
          <w:lang w:val="zh-CN"/>
        </w:rPr>
        <w:t>见</w:t>
      </w:r>
      <w:r w:rsidRPr="00123108">
        <w:rPr>
          <w:rFonts w:ascii="宋体" w:hAnsi="宋体" w:cs="Courier New" w:hint="eastAsia"/>
          <w:sz w:val="28"/>
          <w:szCs w:val="28"/>
        </w:rPr>
        <w:t>表2.13-8，消防、气防设施见2.11章节。通过比对，能够符合《个体防护装备配备规范 第1部分：总则》GB 39800.1-2020、《个体防护装备配备规范 第2部分：石油、化工、天然气》GB 39800.2-2020的要求。</w:t>
      </w:r>
    </w:p>
    <w:p w:rsidR="004F34D9" w:rsidRPr="00123108" w:rsidRDefault="004F34D9" w:rsidP="00D06780">
      <w:pPr>
        <w:spacing w:line="500" w:lineRule="exact"/>
        <w:ind w:firstLineChars="200" w:firstLine="560"/>
        <w:rPr>
          <w:rFonts w:ascii="宋体" w:hAnsi="宋体" w:hint="eastAsia"/>
          <w:sz w:val="28"/>
        </w:rPr>
      </w:pPr>
      <w:r w:rsidRPr="00123108">
        <w:rPr>
          <w:rFonts w:ascii="宋体" w:hAnsi="宋体" w:hint="eastAsia"/>
          <w:sz w:val="28"/>
          <w:szCs w:val="28"/>
        </w:rPr>
        <w:t>评价过程详见附件</w:t>
      </w:r>
      <w:r w:rsidRPr="00123108">
        <w:rPr>
          <w:rFonts w:ascii="宋体" w:hAnsi="宋体" w:cs="宋体" w:hint="eastAsia"/>
          <w:sz w:val="28"/>
          <w:szCs w:val="28"/>
          <w:lang w:val="zh-CN"/>
        </w:rPr>
        <w:t>2.</w:t>
      </w:r>
      <w:r w:rsidRPr="00123108">
        <w:rPr>
          <w:rFonts w:ascii="宋体" w:hAnsi="宋体" w:cs="宋体" w:hint="eastAsia"/>
          <w:sz w:val="28"/>
          <w:szCs w:val="28"/>
        </w:rPr>
        <w:t>7</w:t>
      </w:r>
      <w:r w:rsidRPr="00123108">
        <w:rPr>
          <w:rFonts w:ascii="宋体" w:hAnsi="宋体" w:hint="eastAsia"/>
          <w:sz w:val="28"/>
          <w:szCs w:val="28"/>
        </w:rPr>
        <w:t>。</w:t>
      </w:r>
    </w:p>
    <w:p w:rsidR="004F34D9" w:rsidRPr="00123108" w:rsidRDefault="004F34D9" w:rsidP="00D06780">
      <w:pPr>
        <w:spacing w:line="500" w:lineRule="exact"/>
        <w:outlineLvl w:val="2"/>
        <w:rPr>
          <w:rFonts w:ascii="宋体" w:hAnsi="宋体" w:cs="宋体" w:hint="eastAsia"/>
          <w:b/>
          <w:bCs/>
          <w:sz w:val="28"/>
          <w:szCs w:val="28"/>
        </w:rPr>
      </w:pPr>
      <w:bookmarkStart w:id="1128" w:name="_Toc8351"/>
      <w:bookmarkStart w:id="1129" w:name="_Toc10773"/>
      <w:bookmarkStart w:id="1130" w:name="_Toc130"/>
      <w:bookmarkStart w:id="1131" w:name="_Toc17757"/>
      <w:bookmarkStart w:id="1132" w:name="_Toc19578"/>
      <w:bookmarkStart w:id="1133" w:name="_Toc869"/>
      <w:bookmarkStart w:id="1134" w:name="_Toc190935822"/>
      <w:r w:rsidRPr="00123108">
        <w:rPr>
          <w:rFonts w:ascii="宋体" w:hAnsi="宋体" w:cs="宋体" w:hint="eastAsia"/>
          <w:b/>
          <w:bCs/>
          <w:sz w:val="28"/>
          <w:szCs w:val="28"/>
        </w:rPr>
        <w:t>7.4.12 《化工企业安全检查重点指导目录》符合性检查</w:t>
      </w:r>
      <w:bookmarkEnd w:id="1128"/>
      <w:bookmarkEnd w:id="1129"/>
      <w:bookmarkEnd w:id="1130"/>
      <w:bookmarkEnd w:id="1131"/>
      <w:bookmarkEnd w:id="1132"/>
      <w:bookmarkEnd w:id="1133"/>
      <w:r w:rsidRPr="00123108">
        <w:rPr>
          <w:rFonts w:ascii="宋体" w:hAnsi="宋体" w:cs="宋体" w:hint="eastAsia"/>
          <w:b/>
          <w:bCs/>
          <w:sz w:val="28"/>
          <w:szCs w:val="28"/>
        </w:rPr>
        <w:t>结果</w:t>
      </w:r>
      <w:bookmarkEnd w:id="1134"/>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rPr>
        <w:t>依据《国家安监总局关于印发&lt;化工（危险化学品）企业安全检查重点指导目录》的通知&gt;安监总管三〔2015〕113号对企业安全生产管理情况进行检查，</w:t>
      </w:r>
      <w:r w:rsidRPr="00123108">
        <w:rPr>
          <w:rFonts w:ascii="宋体" w:hAnsi="宋体" w:cs="宋体" w:hint="eastAsia"/>
          <w:sz w:val="28"/>
          <w:szCs w:val="28"/>
        </w:rPr>
        <w:t>不符合项已列入整改。</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lang w:val="zh-CN"/>
        </w:rPr>
        <w:t>评价过程见附件2.</w:t>
      </w:r>
      <w:r w:rsidRPr="00123108">
        <w:rPr>
          <w:rFonts w:ascii="宋体" w:hAnsi="宋体" w:cs="宋体" w:hint="eastAsia"/>
          <w:sz w:val="28"/>
          <w:szCs w:val="28"/>
        </w:rPr>
        <w:t>8。</w:t>
      </w:r>
    </w:p>
    <w:p w:rsidR="004F34D9" w:rsidRPr="00123108" w:rsidRDefault="004F34D9" w:rsidP="00D06780">
      <w:pPr>
        <w:spacing w:line="500" w:lineRule="exact"/>
        <w:outlineLvl w:val="2"/>
        <w:rPr>
          <w:rFonts w:ascii="宋体" w:hAnsi="宋体" w:cs="宋体" w:hint="eastAsia"/>
          <w:b/>
          <w:bCs/>
          <w:sz w:val="28"/>
          <w:szCs w:val="28"/>
        </w:rPr>
      </w:pPr>
      <w:bookmarkStart w:id="1135" w:name="_Toc2840"/>
      <w:bookmarkStart w:id="1136" w:name="_Toc13769"/>
      <w:bookmarkStart w:id="1137" w:name="_Toc1107"/>
      <w:bookmarkStart w:id="1138" w:name="_Toc20288"/>
      <w:bookmarkStart w:id="1139" w:name="_Toc10080"/>
      <w:bookmarkStart w:id="1140" w:name="_Toc19608"/>
      <w:bookmarkStart w:id="1141" w:name="_Toc190935823"/>
      <w:r w:rsidRPr="00123108">
        <w:rPr>
          <w:rFonts w:ascii="宋体" w:hAnsi="宋体" w:cs="宋体" w:hint="eastAsia"/>
          <w:b/>
          <w:bCs/>
          <w:sz w:val="28"/>
          <w:szCs w:val="28"/>
        </w:rPr>
        <w:t>7.4.13 重大生产安全事故隐患判定结果</w:t>
      </w:r>
      <w:bookmarkEnd w:id="1135"/>
      <w:bookmarkEnd w:id="1136"/>
      <w:bookmarkEnd w:id="1137"/>
      <w:bookmarkEnd w:id="1138"/>
      <w:bookmarkEnd w:id="1139"/>
      <w:bookmarkEnd w:id="1140"/>
      <w:bookmarkEnd w:id="1141"/>
    </w:p>
    <w:p w:rsidR="004F34D9" w:rsidRPr="00123108" w:rsidRDefault="004F34D9" w:rsidP="00D06780">
      <w:pPr>
        <w:spacing w:line="500" w:lineRule="exact"/>
        <w:ind w:firstLineChars="200" w:firstLine="560"/>
        <w:rPr>
          <w:rFonts w:ascii="宋体" w:hAnsi="宋体" w:cs="宋体" w:hint="eastAsia"/>
          <w:sz w:val="28"/>
          <w:lang w:val="zh-CN"/>
        </w:rPr>
      </w:pPr>
      <w:r w:rsidRPr="00123108">
        <w:rPr>
          <w:rFonts w:ascii="宋体" w:hAnsi="宋体" w:cs="宋体" w:hint="eastAsia"/>
          <w:sz w:val="28"/>
        </w:rPr>
        <w:t>根据《国家安全监管总局关于印发&lt;化工和危险化学品生产经营单位重大生产安全事故隐患判定标准（试行）&gt;和&lt;烟花爆竹生产经营单位重大生产安全事故隐患判定标准（试行）&gt;的通知》安监总管三〔2017〕121号文，对新桥化工是否存在重大生产安全事故隐患进行判定，检查结果</w:t>
      </w:r>
      <w:r w:rsidRPr="00123108">
        <w:rPr>
          <w:rFonts w:ascii="宋体" w:hAnsi="宋体" w:cs="宋体" w:hint="eastAsia"/>
          <w:sz w:val="28"/>
          <w:lang w:val="zh-CN"/>
        </w:rPr>
        <w:t>新桥化工不存在重大生产安全事故隐患。</w:t>
      </w:r>
    </w:p>
    <w:p w:rsidR="004F34D9" w:rsidRPr="00123108" w:rsidRDefault="004F34D9" w:rsidP="00D06780">
      <w:pPr>
        <w:spacing w:line="500" w:lineRule="exact"/>
        <w:ind w:firstLineChars="200" w:firstLine="560"/>
        <w:rPr>
          <w:rFonts w:ascii="宋体" w:hAnsi="宋体" w:cs="宋体" w:hint="eastAsia"/>
          <w:sz w:val="28"/>
          <w:szCs w:val="28"/>
          <w:lang w:val="zh-CN"/>
        </w:rPr>
      </w:pPr>
      <w:r w:rsidRPr="00123108">
        <w:rPr>
          <w:rFonts w:ascii="宋体" w:hAnsi="宋体" w:cs="宋体" w:hint="eastAsia"/>
          <w:sz w:val="28"/>
          <w:szCs w:val="28"/>
          <w:lang w:val="zh-CN"/>
        </w:rPr>
        <w:lastRenderedPageBreak/>
        <w:t>评价过程见附件2.</w:t>
      </w:r>
      <w:r w:rsidRPr="00123108">
        <w:rPr>
          <w:rFonts w:ascii="宋体" w:hAnsi="宋体" w:cs="宋体" w:hint="eastAsia"/>
          <w:sz w:val="28"/>
          <w:szCs w:val="28"/>
        </w:rPr>
        <w:t>9</w:t>
      </w:r>
      <w:r w:rsidRPr="00123108">
        <w:rPr>
          <w:rFonts w:ascii="宋体" w:hAnsi="宋体" w:cs="宋体" w:hint="eastAsia"/>
          <w:sz w:val="28"/>
          <w:szCs w:val="28"/>
          <w:lang w:val="zh-CN"/>
        </w:rPr>
        <w:t>。</w:t>
      </w:r>
    </w:p>
    <w:p w:rsidR="004F34D9" w:rsidRPr="00123108" w:rsidRDefault="004F34D9" w:rsidP="00D06780">
      <w:pPr>
        <w:spacing w:line="500" w:lineRule="exact"/>
        <w:outlineLvl w:val="2"/>
        <w:rPr>
          <w:rFonts w:ascii="宋体" w:hAnsi="宋体" w:cs="宋体" w:hint="eastAsia"/>
          <w:b/>
          <w:bCs/>
          <w:sz w:val="28"/>
          <w:szCs w:val="28"/>
        </w:rPr>
      </w:pPr>
      <w:bookmarkStart w:id="1142" w:name="_Toc24046"/>
      <w:bookmarkStart w:id="1143" w:name="_Toc18311"/>
      <w:bookmarkStart w:id="1144" w:name="_Toc18080"/>
      <w:bookmarkStart w:id="1145" w:name="_Toc26747"/>
      <w:bookmarkStart w:id="1146" w:name="_Toc1978"/>
      <w:bookmarkStart w:id="1147" w:name="_Toc9004"/>
      <w:bookmarkStart w:id="1148" w:name="_Toc190935824"/>
      <w:r w:rsidRPr="00123108">
        <w:rPr>
          <w:rFonts w:ascii="宋体" w:hAnsi="宋体" w:cs="宋体" w:hint="eastAsia"/>
          <w:b/>
          <w:bCs/>
          <w:sz w:val="28"/>
          <w:szCs w:val="28"/>
        </w:rPr>
        <w:t>7.4.14 两重点一重大评价结果</w:t>
      </w:r>
      <w:bookmarkEnd w:id="1142"/>
      <w:bookmarkEnd w:id="1143"/>
      <w:bookmarkEnd w:id="1144"/>
      <w:bookmarkEnd w:id="1145"/>
      <w:bookmarkEnd w:id="1146"/>
      <w:bookmarkEnd w:id="1147"/>
      <w:bookmarkEnd w:id="1148"/>
    </w:p>
    <w:p w:rsidR="004F34D9" w:rsidRPr="00123108" w:rsidRDefault="004F34D9" w:rsidP="00D06780">
      <w:pPr>
        <w:spacing w:line="500" w:lineRule="exact"/>
        <w:ind w:firstLineChars="200" w:firstLine="560"/>
        <w:rPr>
          <w:rFonts w:ascii="宋体" w:hAnsi="宋体" w:cs="宋体" w:hint="eastAsia"/>
          <w:sz w:val="28"/>
          <w:szCs w:val="28"/>
          <w:lang w:val="zh-CN"/>
        </w:rPr>
      </w:pPr>
      <w:r w:rsidRPr="00123108">
        <w:rPr>
          <w:rFonts w:ascii="宋体" w:hAnsi="宋体" w:cs="宋体" w:hint="eastAsia"/>
          <w:sz w:val="28"/>
          <w:szCs w:val="28"/>
          <w:lang w:val="zh-CN"/>
        </w:rPr>
        <w:t>（</w:t>
      </w:r>
      <w:r w:rsidRPr="00123108">
        <w:rPr>
          <w:rFonts w:ascii="宋体" w:hAnsi="宋体" w:cs="宋体" w:hint="eastAsia"/>
          <w:sz w:val="28"/>
          <w:szCs w:val="28"/>
        </w:rPr>
        <w:t>1</w:t>
      </w:r>
      <w:r w:rsidRPr="00123108">
        <w:rPr>
          <w:rFonts w:ascii="宋体" w:hAnsi="宋体" w:cs="宋体" w:hint="eastAsia"/>
          <w:sz w:val="28"/>
          <w:szCs w:val="28"/>
          <w:lang w:val="zh-CN"/>
        </w:rPr>
        <w:t>）重点监管的危险化学品安全措施评价结果</w:t>
      </w:r>
    </w:p>
    <w:p w:rsidR="004F34D9" w:rsidRPr="00123108" w:rsidRDefault="004F34D9" w:rsidP="00D06780">
      <w:pPr>
        <w:snapToGrid w:val="0"/>
        <w:spacing w:line="500" w:lineRule="exact"/>
        <w:ind w:firstLineChars="225" w:firstLine="630"/>
        <w:rPr>
          <w:rFonts w:ascii="宋体" w:hAnsi="宋体" w:cs="宋体" w:hint="eastAsia"/>
          <w:kern w:val="0"/>
          <w:sz w:val="28"/>
          <w:szCs w:val="28"/>
        </w:rPr>
      </w:pPr>
      <w:r w:rsidRPr="00123108">
        <w:rPr>
          <w:rFonts w:ascii="宋体" w:hAnsi="宋体" w:cs="宋体" w:hint="eastAsia"/>
          <w:sz w:val="28"/>
          <w:szCs w:val="28"/>
        </w:rPr>
        <w:t>根据《国家安全监管总局关于公布首批重点监管的危险化学品名录的通知》安监总管三〔2011〕95号及《国家安全监管总局关于公布第二批重点监管危险化学品名录的通知》安监总管三〔2013〕12号，新桥化工涉及物料</w:t>
      </w:r>
      <w:r w:rsidRPr="00123108">
        <w:rPr>
          <w:rFonts w:cs="宋体" w:hint="eastAsia"/>
          <w:sz w:val="28"/>
          <w:szCs w:val="28"/>
        </w:rPr>
        <w:t>苯乙烯、</w:t>
      </w:r>
      <w:r w:rsidRPr="00123108">
        <w:rPr>
          <w:rFonts w:hint="eastAsia"/>
          <w:sz w:val="28"/>
          <w:szCs w:val="28"/>
        </w:rPr>
        <w:t>过氧化苯甲酰和过氧化苯甲酸叔丁酯</w:t>
      </w:r>
      <w:r w:rsidRPr="00123108">
        <w:rPr>
          <w:rFonts w:ascii="宋体" w:hAnsi="宋体" w:cs="宋体" w:hint="eastAsia"/>
          <w:sz w:val="28"/>
          <w:szCs w:val="28"/>
        </w:rPr>
        <w:t>属于重点监管的危险化学品。根据《关于印发首批重点监管的危险化学品安全措施和应急处置原则的通知》原安监总厅管三〔2011〕142号对本项目重点监管的危险化学品进行检查</w:t>
      </w:r>
      <w:r w:rsidRPr="00123108">
        <w:rPr>
          <w:rFonts w:ascii="宋体" w:hAnsi="宋体" w:cs="宋体" w:hint="eastAsia"/>
          <w:sz w:val="28"/>
          <w:szCs w:val="28"/>
          <w:lang w:val="zh-CN"/>
        </w:rPr>
        <w:t>，</w:t>
      </w:r>
      <w:r w:rsidRPr="00123108">
        <w:rPr>
          <w:rFonts w:ascii="宋体" w:hAnsi="宋体" w:cs="宋体" w:hint="eastAsia"/>
          <w:sz w:val="28"/>
          <w:szCs w:val="28"/>
        </w:rPr>
        <w:t>不符合项已列入整改</w:t>
      </w:r>
      <w:r w:rsidRPr="00123108">
        <w:rPr>
          <w:rFonts w:ascii="宋体" w:hAnsi="宋体" w:cs="宋体" w:hint="eastAsia"/>
          <w:kern w:val="0"/>
          <w:sz w:val="28"/>
          <w:szCs w:val="28"/>
        </w:rPr>
        <w:t>。</w:t>
      </w:r>
    </w:p>
    <w:p w:rsidR="004F34D9" w:rsidRPr="00123108" w:rsidRDefault="004F34D9" w:rsidP="00D06780">
      <w:pPr>
        <w:spacing w:line="500" w:lineRule="exact"/>
        <w:ind w:firstLineChars="200" w:firstLine="560"/>
        <w:rPr>
          <w:rFonts w:ascii="宋体" w:hAnsi="宋体" w:cs="宋体" w:hint="eastAsia"/>
          <w:sz w:val="28"/>
          <w:szCs w:val="28"/>
          <w:lang w:val="zh-CN"/>
        </w:rPr>
      </w:pPr>
      <w:r w:rsidRPr="00123108">
        <w:rPr>
          <w:rFonts w:ascii="宋体" w:hAnsi="宋体" w:cs="宋体" w:hint="eastAsia"/>
          <w:sz w:val="28"/>
          <w:szCs w:val="28"/>
          <w:lang w:val="zh-CN"/>
        </w:rPr>
        <w:t>评价过程见附件2.10.1。</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lang w:val="zh-CN"/>
        </w:rPr>
        <w:t>（</w:t>
      </w:r>
      <w:r w:rsidRPr="00123108">
        <w:rPr>
          <w:rFonts w:ascii="宋体" w:hAnsi="宋体" w:cs="宋体" w:hint="eastAsia"/>
          <w:sz w:val="28"/>
          <w:szCs w:val="28"/>
        </w:rPr>
        <w:t>2</w:t>
      </w:r>
      <w:r w:rsidRPr="00123108">
        <w:rPr>
          <w:rFonts w:ascii="宋体" w:hAnsi="宋体" w:cs="宋体" w:hint="eastAsia"/>
          <w:sz w:val="28"/>
          <w:szCs w:val="28"/>
          <w:lang w:val="zh-CN"/>
        </w:rPr>
        <w:t>）</w:t>
      </w:r>
      <w:r w:rsidRPr="00123108">
        <w:rPr>
          <w:rFonts w:ascii="宋体" w:hAnsi="宋体" w:cs="宋体" w:hint="eastAsia"/>
          <w:sz w:val="28"/>
          <w:szCs w:val="28"/>
        </w:rPr>
        <w:t>重点监管危险化工工艺安全控制措施评价结果</w:t>
      </w:r>
    </w:p>
    <w:p w:rsidR="004F34D9" w:rsidRPr="00123108" w:rsidRDefault="004F34D9" w:rsidP="00D06780">
      <w:pPr>
        <w:pStyle w:val="aff4"/>
        <w:widowControl w:val="0"/>
        <w:adjustRightInd w:val="0"/>
        <w:spacing w:before="0" w:beforeAutospacing="0" w:after="0" w:afterAutospacing="0" w:line="500" w:lineRule="exact"/>
        <w:ind w:firstLineChars="200" w:firstLine="560"/>
        <w:rPr>
          <w:rFonts w:cs="宋体" w:hint="eastAsia"/>
          <w:sz w:val="28"/>
        </w:rPr>
      </w:pPr>
      <w:r w:rsidRPr="00123108">
        <w:rPr>
          <w:rFonts w:cs="宋体" w:hint="eastAsia"/>
          <w:sz w:val="28"/>
        </w:rPr>
        <w:t>根据《国家安全监管总局关于公布首批重点监管的危险化工工艺目录的通知》安监总管三[2009]116号及《国家安全监管总局关于公布第二批重点监管危险化工工艺目录和调整首批重点监管危险化工工艺中部分典型工艺的通知》安监总管三[2013]3号，本项目涉及重点监管的危险化工工艺有</w:t>
      </w:r>
      <w:r w:rsidRPr="00123108">
        <w:rPr>
          <w:rFonts w:hint="eastAsia"/>
          <w:sz w:val="28"/>
          <w:szCs w:val="28"/>
        </w:rPr>
        <w:t>聚合</w:t>
      </w:r>
      <w:r w:rsidRPr="00123108">
        <w:rPr>
          <w:sz w:val="28"/>
          <w:szCs w:val="28"/>
        </w:rPr>
        <w:t>工艺</w:t>
      </w:r>
      <w:r w:rsidRPr="00123108">
        <w:rPr>
          <w:rFonts w:cs="宋体" w:hint="eastAsia"/>
          <w:sz w:val="28"/>
        </w:rPr>
        <w:t>。</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hint="eastAsia"/>
          <w:sz w:val="28"/>
          <w:szCs w:val="28"/>
        </w:rPr>
        <w:t>对照《国家安全监管总局关于公布首批重点监管的危险化工工艺目录的通知》原安监总管三[2009]116号</w:t>
      </w:r>
      <w:r w:rsidRPr="00123108">
        <w:rPr>
          <w:rFonts w:hint="eastAsia"/>
          <w:sz w:val="28"/>
          <w:szCs w:val="28"/>
        </w:rPr>
        <w:t>，</w:t>
      </w:r>
      <w:r w:rsidRPr="00123108">
        <w:rPr>
          <w:rFonts w:ascii="宋体" w:hAnsi="宋体" w:hint="eastAsia"/>
          <w:sz w:val="28"/>
          <w:szCs w:val="28"/>
        </w:rPr>
        <w:t>对本项目涉及的危险化工工艺的安全控制要求进行检查</w:t>
      </w:r>
      <w:r w:rsidRPr="00123108">
        <w:rPr>
          <w:rFonts w:hint="eastAsia"/>
          <w:sz w:val="28"/>
          <w:szCs w:val="28"/>
        </w:rPr>
        <w:t>，</w:t>
      </w:r>
      <w:r w:rsidRPr="00123108">
        <w:rPr>
          <w:rFonts w:ascii="宋体" w:hAnsi="宋体" w:cs="宋体" w:hint="eastAsia"/>
          <w:sz w:val="28"/>
          <w:szCs w:val="28"/>
        </w:rPr>
        <w:t>检查结果工艺控制措施符合要求。</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评价过程见附件2.10.2。</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lang w:val="zh-CN"/>
        </w:rPr>
        <w:t>（</w:t>
      </w:r>
      <w:r w:rsidRPr="00123108">
        <w:rPr>
          <w:rFonts w:ascii="宋体" w:hAnsi="宋体" w:cs="宋体" w:hint="eastAsia"/>
          <w:sz w:val="28"/>
          <w:szCs w:val="28"/>
        </w:rPr>
        <w:t>3</w:t>
      </w:r>
      <w:r w:rsidRPr="00123108">
        <w:rPr>
          <w:rFonts w:ascii="宋体" w:hAnsi="宋体" w:cs="宋体" w:hint="eastAsia"/>
          <w:sz w:val="28"/>
          <w:szCs w:val="28"/>
          <w:lang w:val="zh-CN"/>
        </w:rPr>
        <w:t>）</w:t>
      </w:r>
      <w:r w:rsidRPr="00123108">
        <w:rPr>
          <w:rFonts w:ascii="宋体" w:hAnsi="宋体" w:cs="宋体" w:hint="eastAsia"/>
          <w:sz w:val="28"/>
          <w:szCs w:val="28"/>
        </w:rPr>
        <w:t>重大危险源安全管理评价结果</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rPr>
        <w:t>依据《危险化学品重大危险源监督管理暂行规定》原国家安全生产监督管理总局令第40号（79号令修改）的规定对新桥化工危险化学品重大危险源的安全管理措施进行检查，依据《危险化学品重大危险源安全监控通用技术规范》AQ 3035-2010、《危险化学品重大危险源 罐区现场安全监控装备设置规范》AQ 3036-2010对新桥化工危险化学品重大危险源的安全技术和监控措施进行检查，</w:t>
      </w:r>
      <w:r w:rsidRPr="00123108">
        <w:rPr>
          <w:rFonts w:ascii="宋体" w:hAnsi="宋体" w:cs="宋体" w:hint="eastAsia"/>
          <w:sz w:val="28"/>
          <w:szCs w:val="28"/>
        </w:rPr>
        <w:t>检查结果符合要求。</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lastRenderedPageBreak/>
        <w:t>评价过程见附件2.10.3。</w:t>
      </w:r>
    </w:p>
    <w:p w:rsidR="004F34D9" w:rsidRPr="00123108" w:rsidRDefault="004F34D9" w:rsidP="00D06780">
      <w:pPr>
        <w:spacing w:line="500" w:lineRule="exact"/>
        <w:outlineLvl w:val="2"/>
        <w:rPr>
          <w:rFonts w:ascii="宋体" w:hAnsi="宋体" w:cs="宋体" w:hint="eastAsia"/>
          <w:b/>
          <w:bCs/>
          <w:sz w:val="28"/>
          <w:szCs w:val="28"/>
        </w:rPr>
      </w:pPr>
      <w:bookmarkStart w:id="1149" w:name="_Toc15678"/>
      <w:bookmarkStart w:id="1150" w:name="_Toc23777"/>
      <w:bookmarkStart w:id="1151" w:name="_Toc12895"/>
      <w:bookmarkStart w:id="1152" w:name="_Toc16148"/>
      <w:bookmarkStart w:id="1153" w:name="_Toc7432"/>
      <w:bookmarkStart w:id="1154" w:name="_Toc29361"/>
      <w:bookmarkStart w:id="1155" w:name="_Toc190935825"/>
      <w:r w:rsidRPr="00123108">
        <w:rPr>
          <w:rFonts w:ascii="宋体" w:hAnsi="宋体" w:cs="宋体" w:hint="eastAsia"/>
          <w:b/>
          <w:bCs/>
          <w:sz w:val="28"/>
          <w:szCs w:val="28"/>
        </w:rPr>
        <w:t>7.4.15 安全生产管理评价结果</w:t>
      </w:r>
      <w:bookmarkEnd w:id="1149"/>
      <w:bookmarkEnd w:id="1150"/>
      <w:bookmarkEnd w:id="1151"/>
      <w:bookmarkEnd w:id="1152"/>
      <w:bookmarkEnd w:id="1153"/>
      <w:bookmarkEnd w:id="1154"/>
      <w:bookmarkEnd w:id="1155"/>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cs="宋体" w:hint="eastAsia"/>
          <w:sz w:val="28"/>
          <w:szCs w:val="28"/>
        </w:rPr>
        <w:t>依据《中华人民共和国安全生产法》、《危险化学品安全管理条例》、《浙江省安全生产条例》等相关法律、法规要求，对企业的安全生产管理进行检查，</w:t>
      </w:r>
      <w:r w:rsidRPr="00123108">
        <w:rPr>
          <w:rFonts w:ascii="宋体" w:hAnsi="宋体" w:cs="宋体" w:hint="eastAsia"/>
          <w:sz w:val="28"/>
          <w:szCs w:val="28"/>
        </w:rPr>
        <w:t>不符合项已列入整改。</w:t>
      </w:r>
    </w:p>
    <w:p w:rsidR="004F34D9" w:rsidRPr="00123108" w:rsidRDefault="004F34D9" w:rsidP="00D06780">
      <w:pPr>
        <w:spacing w:line="500" w:lineRule="exact"/>
        <w:ind w:firstLineChars="200" w:firstLine="560"/>
        <w:rPr>
          <w:rFonts w:ascii="宋体" w:hAnsi="宋体" w:cs="宋体" w:hint="eastAsia"/>
          <w:sz w:val="28"/>
          <w:szCs w:val="28"/>
          <w:lang w:val="zh-CN"/>
        </w:rPr>
      </w:pPr>
      <w:r w:rsidRPr="00123108">
        <w:rPr>
          <w:rFonts w:ascii="宋体" w:hAnsi="宋体" w:cs="宋体" w:hint="eastAsia"/>
          <w:sz w:val="28"/>
          <w:szCs w:val="28"/>
        </w:rPr>
        <w:t>评价过程见附件2.11。</w:t>
      </w:r>
    </w:p>
    <w:p w:rsidR="004F34D9" w:rsidRPr="00123108" w:rsidRDefault="004F34D9" w:rsidP="00D06780">
      <w:pPr>
        <w:spacing w:line="500" w:lineRule="exact"/>
        <w:outlineLvl w:val="2"/>
        <w:rPr>
          <w:rFonts w:ascii="宋体" w:hAnsi="宋体" w:cs="宋体" w:hint="eastAsia"/>
          <w:b/>
          <w:bCs/>
          <w:sz w:val="28"/>
          <w:szCs w:val="28"/>
        </w:rPr>
      </w:pPr>
      <w:bookmarkStart w:id="1156" w:name="_Toc11145"/>
      <w:bookmarkStart w:id="1157" w:name="_Toc18930"/>
      <w:bookmarkStart w:id="1158" w:name="_Toc1024"/>
      <w:bookmarkStart w:id="1159" w:name="_Toc28646"/>
      <w:bookmarkStart w:id="1160" w:name="_Toc3985"/>
      <w:bookmarkStart w:id="1161" w:name="_Toc25187"/>
      <w:bookmarkStart w:id="1162" w:name="_Toc190935826"/>
      <w:r w:rsidRPr="00123108">
        <w:rPr>
          <w:rFonts w:ascii="宋体" w:hAnsi="宋体" w:cs="宋体" w:hint="eastAsia"/>
          <w:b/>
          <w:bCs/>
          <w:sz w:val="28"/>
          <w:szCs w:val="28"/>
        </w:rPr>
        <w:t xml:space="preserve">7.4.16  </w:t>
      </w:r>
      <w:r w:rsidRPr="00123108">
        <w:rPr>
          <w:rFonts w:ascii="宋体" w:hAnsi="宋体" w:cs="宋体" w:hint="eastAsia"/>
          <w:b/>
          <w:bCs/>
          <w:sz w:val="28"/>
          <w:szCs w:val="28"/>
          <w:lang w:val="zh-CN"/>
        </w:rPr>
        <w:t>特殊作业安全评价</w:t>
      </w:r>
      <w:r w:rsidRPr="00123108">
        <w:rPr>
          <w:rFonts w:ascii="宋体" w:hAnsi="宋体" w:cs="宋体" w:hint="eastAsia"/>
          <w:b/>
          <w:bCs/>
          <w:sz w:val="28"/>
          <w:szCs w:val="28"/>
        </w:rPr>
        <w:t>结果</w:t>
      </w:r>
      <w:bookmarkEnd w:id="1156"/>
      <w:bookmarkEnd w:id="1157"/>
      <w:bookmarkEnd w:id="1158"/>
      <w:bookmarkEnd w:id="1159"/>
      <w:bookmarkEnd w:id="1160"/>
      <w:bookmarkEnd w:id="1161"/>
      <w:bookmarkEnd w:id="1162"/>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依据</w:t>
      </w:r>
      <w:r w:rsidRPr="00123108">
        <w:rPr>
          <w:rFonts w:ascii="宋体" w:hint="eastAsia"/>
          <w:sz w:val="28"/>
          <w:szCs w:val="28"/>
        </w:rPr>
        <w:t>《中华人民共和国安全生产法》</w:t>
      </w:r>
      <w:r w:rsidRPr="00123108">
        <w:rPr>
          <w:rFonts w:ascii="宋体" w:hAnsi="宋体" w:cs="宋体" w:hint="eastAsia"/>
          <w:sz w:val="28"/>
          <w:szCs w:val="28"/>
        </w:rPr>
        <w:t>、</w:t>
      </w:r>
      <w:r w:rsidRPr="00123108">
        <w:rPr>
          <w:rFonts w:ascii="宋体" w:hAnsi="宋体" w:cs="宋体" w:hint="eastAsia"/>
          <w:sz w:val="28"/>
        </w:rPr>
        <w:t>《危险化学品企业特殊作业安全规范》GB 30871-2022</w:t>
      </w:r>
      <w:r w:rsidRPr="00123108">
        <w:rPr>
          <w:rFonts w:ascii="宋体" w:hAnsi="宋体" w:cs="宋体" w:hint="eastAsia"/>
          <w:sz w:val="28"/>
          <w:szCs w:val="28"/>
        </w:rPr>
        <w:t>等法律法规、标准规范对企业特殊作业管理程序及执行情况进行评价，能够符合要求。</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评价过程见附件2.12。</w:t>
      </w:r>
    </w:p>
    <w:p w:rsidR="004F34D9" w:rsidRPr="00123108" w:rsidRDefault="004F34D9" w:rsidP="00D06780">
      <w:pPr>
        <w:spacing w:line="500" w:lineRule="exact"/>
        <w:outlineLvl w:val="2"/>
        <w:rPr>
          <w:rFonts w:ascii="宋体" w:hAnsi="宋体" w:cs="宋体" w:hint="eastAsia"/>
          <w:b/>
          <w:bCs/>
          <w:sz w:val="28"/>
          <w:szCs w:val="28"/>
        </w:rPr>
      </w:pPr>
      <w:bookmarkStart w:id="1163" w:name="_Toc5260"/>
      <w:bookmarkStart w:id="1164" w:name="_Toc14019"/>
      <w:bookmarkStart w:id="1165" w:name="_Toc16611"/>
      <w:bookmarkStart w:id="1166" w:name="_Toc5377"/>
      <w:bookmarkStart w:id="1167" w:name="_Toc25190"/>
      <w:bookmarkStart w:id="1168" w:name="_Toc6625"/>
      <w:bookmarkStart w:id="1169" w:name="_Toc190935827"/>
      <w:r w:rsidRPr="00123108">
        <w:rPr>
          <w:rFonts w:ascii="宋体" w:hAnsi="宋体" w:cs="宋体" w:hint="eastAsia"/>
          <w:b/>
          <w:bCs/>
          <w:sz w:val="28"/>
          <w:szCs w:val="28"/>
        </w:rPr>
        <w:t>7.4.17 安全生产许可证取证情况符合性检查结果</w:t>
      </w:r>
      <w:bookmarkEnd w:id="1163"/>
      <w:bookmarkEnd w:id="1164"/>
      <w:bookmarkEnd w:id="1165"/>
      <w:bookmarkEnd w:id="1166"/>
      <w:bookmarkEnd w:id="1167"/>
      <w:bookmarkEnd w:id="1168"/>
      <w:bookmarkEnd w:id="1169"/>
    </w:p>
    <w:p w:rsidR="004F34D9" w:rsidRPr="00123108" w:rsidRDefault="004F34D9" w:rsidP="00D06780">
      <w:pPr>
        <w:spacing w:line="500" w:lineRule="exact"/>
        <w:ind w:firstLineChars="200" w:firstLine="560"/>
        <w:rPr>
          <w:rFonts w:cs="宋体" w:hint="eastAsia"/>
          <w:sz w:val="28"/>
          <w:szCs w:val="28"/>
        </w:rPr>
      </w:pPr>
      <w:r w:rsidRPr="00123108">
        <w:rPr>
          <w:rFonts w:cs="宋体" w:hint="eastAsia"/>
          <w:sz w:val="28"/>
          <w:szCs w:val="28"/>
        </w:rPr>
        <w:t>依据</w:t>
      </w:r>
      <w:r w:rsidRPr="00123108">
        <w:rPr>
          <w:rFonts w:ascii="宋体" w:hint="eastAsia"/>
          <w:sz w:val="28"/>
          <w:szCs w:val="28"/>
        </w:rPr>
        <w:t>《危险化学品生产企业安全生产许可证实施办法》</w:t>
      </w:r>
      <w:r w:rsidRPr="00123108">
        <w:rPr>
          <w:rFonts w:cs="宋体" w:hint="eastAsia"/>
          <w:sz w:val="28"/>
          <w:szCs w:val="28"/>
        </w:rPr>
        <w:t>，对新桥化工安全生产许可证换证条件符合性进行检查，新桥化工</w:t>
      </w:r>
      <w:r w:rsidRPr="00123108">
        <w:rPr>
          <w:rFonts w:ascii="宋体" w:hAnsi="宋体" w:cs="宋体" w:hint="eastAsia"/>
          <w:sz w:val="28"/>
          <w:szCs w:val="28"/>
        </w:rPr>
        <w:t>选址符合规划和布局要求、未使用明令淘汰、禁止使用工艺、相关装置已设置自控系统，相关场所已设置可燃气体检测报警器等安全设施、已制定相关管理制度。不符合项已列入整改</w:t>
      </w:r>
      <w:r w:rsidRPr="00123108">
        <w:rPr>
          <w:rFonts w:cs="宋体" w:hint="eastAsia"/>
          <w:sz w:val="28"/>
          <w:szCs w:val="28"/>
        </w:rPr>
        <w:t>。</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评价过程见附件2.4.13。</w:t>
      </w:r>
    </w:p>
    <w:p w:rsidR="004F34D9" w:rsidRPr="00123108" w:rsidRDefault="004F34D9" w:rsidP="00D06780">
      <w:pPr>
        <w:spacing w:line="500" w:lineRule="exact"/>
        <w:outlineLvl w:val="2"/>
        <w:rPr>
          <w:rFonts w:ascii="宋体" w:hAnsi="宋体" w:cs="宋体" w:hint="eastAsia"/>
          <w:b/>
          <w:bCs/>
          <w:sz w:val="28"/>
          <w:szCs w:val="28"/>
        </w:rPr>
      </w:pPr>
      <w:bookmarkStart w:id="1170" w:name="_Toc190935828"/>
      <w:r w:rsidRPr="00123108">
        <w:rPr>
          <w:rFonts w:ascii="宋体" w:hAnsi="宋体" w:cs="宋体" w:hint="eastAsia"/>
          <w:b/>
          <w:bCs/>
          <w:sz w:val="28"/>
          <w:szCs w:val="28"/>
        </w:rPr>
        <w:t>7.4.</w:t>
      </w:r>
      <w:r w:rsidRPr="00123108">
        <w:rPr>
          <w:rFonts w:ascii="宋体" w:hAnsi="宋体" w:cs="宋体" w:hint="eastAsia"/>
          <w:b/>
          <w:bCs/>
          <w:kern w:val="0"/>
          <w:sz w:val="28"/>
          <w:szCs w:val="28"/>
        </w:rPr>
        <w:t xml:space="preserve">18 </w:t>
      </w:r>
      <w:r w:rsidRPr="00123108">
        <w:rPr>
          <w:rFonts w:ascii="宋体" w:hAnsi="宋体" w:cs="宋体" w:hint="eastAsia"/>
          <w:b/>
          <w:bCs/>
          <w:kern w:val="0"/>
          <w:sz w:val="28"/>
          <w:szCs w:val="28"/>
          <w:lang w:val="zh-CN"/>
        </w:rPr>
        <w:t>危险化学品企业安全风险隐患排查</w:t>
      </w:r>
      <w:r w:rsidRPr="00123108">
        <w:rPr>
          <w:rFonts w:ascii="宋体" w:hAnsi="宋体" w:cs="宋体" w:hint="eastAsia"/>
          <w:b/>
          <w:bCs/>
          <w:sz w:val="28"/>
          <w:szCs w:val="28"/>
        </w:rPr>
        <w:t>结果</w:t>
      </w:r>
      <w:bookmarkEnd w:id="1170"/>
    </w:p>
    <w:p w:rsidR="004F34D9" w:rsidRPr="00123108" w:rsidRDefault="004F34D9" w:rsidP="00D06780">
      <w:pPr>
        <w:spacing w:line="500" w:lineRule="exact"/>
        <w:ind w:firstLineChars="200" w:firstLine="560"/>
        <w:rPr>
          <w:rFonts w:ascii="宋体" w:hAnsi="宋体" w:hint="eastAsia"/>
          <w:sz w:val="28"/>
        </w:rPr>
      </w:pPr>
      <w:r w:rsidRPr="00123108">
        <w:rPr>
          <w:rFonts w:ascii="宋体" w:hAnsi="宋体" w:hint="eastAsia"/>
          <w:sz w:val="28"/>
        </w:rPr>
        <w:t>通过对新桥化工定期进行</w:t>
      </w:r>
      <w:r w:rsidRPr="00123108">
        <w:rPr>
          <w:rFonts w:ascii="宋体" w:hAnsi="宋体" w:hint="eastAsia"/>
          <w:sz w:val="28"/>
          <w:lang w:val="zh-CN"/>
        </w:rPr>
        <w:t>危险化学品企业安全风险隐患排查</w:t>
      </w:r>
      <w:r w:rsidRPr="00123108">
        <w:rPr>
          <w:rFonts w:ascii="宋体" w:hAnsi="宋体" w:hint="eastAsia"/>
          <w:sz w:val="28"/>
        </w:rPr>
        <w:t>，能够符合要求。</w:t>
      </w:r>
    </w:p>
    <w:p w:rsidR="004F34D9" w:rsidRPr="00123108" w:rsidRDefault="004F34D9" w:rsidP="00D06780">
      <w:pPr>
        <w:spacing w:line="500" w:lineRule="exact"/>
        <w:ind w:firstLineChars="200" w:firstLine="560"/>
        <w:rPr>
          <w:rFonts w:ascii="宋体" w:hAnsi="宋体" w:hint="eastAsia"/>
          <w:sz w:val="28"/>
        </w:rPr>
      </w:pPr>
      <w:r w:rsidRPr="00123108">
        <w:rPr>
          <w:rFonts w:ascii="宋体" w:hAnsi="宋体" w:hint="eastAsia"/>
          <w:sz w:val="28"/>
        </w:rPr>
        <w:t>评价过程详见附件2</w:t>
      </w:r>
      <w:r w:rsidRPr="00123108">
        <w:rPr>
          <w:rFonts w:ascii="宋体" w:hAnsi="宋体"/>
          <w:sz w:val="28"/>
        </w:rPr>
        <w:t>.</w:t>
      </w:r>
      <w:r w:rsidRPr="00123108">
        <w:rPr>
          <w:rFonts w:ascii="宋体" w:hAnsi="宋体" w:hint="eastAsia"/>
          <w:sz w:val="28"/>
        </w:rPr>
        <w:t>14。</w:t>
      </w:r>
    </w:p>
    <w:p w:rsidR="004F34D9" w:rsidRPr="00123108" w:rsidRDefault="004F34D9" w:rsidP="00D06780">
      <w:pPr>
        <w:spacing w:line="500" w:lineRule="exact"/>
        <w:outlineLvl w:val="2"/>
        <w:rPr>
          <w:rFonts w:ascii="宋体" w:hAnsi="宋体" w:cs="宋体" w:hint="eastAsia"/>
          <w:b/>
          <w:bCs/>
          <w:sz w:val="28"/>
          <w:szCs w:val="28"/>
        </w:rPr>
      </w:pPr>
      <w:bookmarkStart w:id="1171" w:name="_Toc190935829"/>
      <w:r w:rsidRPr="00123108">
        <w:rPr>
          <w:rFonts w:ascii="宋体" w:hAnsi="宋体" w:cs="宋体" w:hint="eastAsia"/>
          <w:b/>
          <w:bCs/>
          <w:sz w:val="28"/>
          <w:szCs w:val="28"/>
        </w:rPr>
        <w:t>7.4.</w:t>
      </w:r>
      <w:r w:rsidRPr="00123108">
        <w:rPr>
          <w:rFonts w:ascii="宋体" w:hAnsi="宋体" w:cs="宋体" w:hint="eastAsia"/>
          <w:b/>
          <w:bCs/>
          <w:kern w:val="0"/>
          <w:sz w:val="28"/>
          <w:szCs w:val="28"/>
        </w:rPr>
        <w:t xml:space="preserve">19 </w:t>
      </w:r>
      <w:r w:rsidRPr="00123108">
        <w:rPr>
          <w:rFonts w:ascii="宋体" w:hAnsi="宋体" w:cs="宋体" w:hint="eastAsia"/>
          <w:b/>
          <w:bCs/>
          <w:kern w:val="0"/>
          <w:sz w:val="28"/>
          <w:szCs w:val="28"/>
          <w:lang w:val="zh-CN"/>
        </w:rPr>
        <w:t>安全生产专项提升整治检查</w:t>
      </w:r>
      <w:r w:rsidRPr="00123108">
        <w:rPr>
          <w:rFonts w:ascii="宋体" w:hAnsi="宋体" w:cs="宋体" w:hint="eastAsia"/>
          <w:b/>
          <w:bCs/>
          <w:sz w:val="28"/>
          <w:szCs w:val="28"/>
        </w:rPr>
        <w:t>结果</w:t>
      </w:r>
      <w:bookmarkEnd w:id="1171"/>
    </w:p>
    <w:p w:rsidR="004F34D9" w:rsidRPr="00123108" w:rsidRDefault="004F34D9" w:rsidP="00D06780">
      <w:pPr>
        <w:spacing w:line="500" w:lineRule="exact"/>
        <w:ind w:firstLineChars="200" w:firstLine="560"/>
        <w:rPr>
          <w:rFonts w:hint="eastAsia"/>
          <w:sz w:val="28"/>
          <w:szCs w:val="28"/>
        </w:rPr>
      </w:pPr>
      <w:r w:rsidRPr="00123108">
        <w:rPr>
          <w:rFonts w:hint="eastAsia"/>
          <w:sz w:val="28"/>
          <w:szCs w:val="28"/>
        </w:rPr>
        <w:t>通过</w:t>
      </w:r>
      <w:r w:rsidRPr="00123108">
        <w:rPr>
          <w:rFonts w:hint="eastAsia"/>
          <w:sz w:val="28"/>
          <w:szCs w:val="28"/>
          <w:lang w:val="zh-CN"/>
        </w:rPr>
        <w:t>安全生产专项提升整治检查</w:t>
      </w:r>
      <w:r w:rsidRPr="00123108">
        <w:rPr>
          <w:rFonts w:hint="eastAsia"/>
          <w:sz w:val="28"/>
          <w:szCs w:val="28"/>
        </w:rPr>
        <w:t>，能够符合要求。</w:t>
      </w:r>
    </w:p>
    <w:p w:rsidR="004F34D9" w:rsidRPr="00123108" w:rsidRDefault="004F34D9" w:rsidP="00D06780">
      <w:pPr>
        <w:spacing w:line="500" w:lineRule="exact"/>
        <w:ind w:firstLineChars="200" w:firstLine="560"/>
        <w:rPr>
          <w:rFonts w:ascii="宋体" w:hAnsi="宋体" w:hint="eastAsia"/>
          <w:sz w:val="28"/>
        </w:rPr>
      </w:pPr>
      <w:r w:rsidRPr="00123108">
        <w:rPr>
          <w:rFonts w:ascii="宋体" w:hAnsi="宋体" w:hint="eastAsia"/>
          <w:sz w:val="28"/>
        </w:rPr>
        <w:t>评价过程详见附件2</w:t>
      </w:r>
      <w:r w:rsidRPr="00123108">
        <w:rPr>
          <w:rFonts w:ascii="宋体" w:hAnsi="宋体"/>
          <w:sz w:val="28"/>
        </w:rPr>
        <w:t>.</w:t>
      </w:r>
      <w:r w:rsidRPr="00123108">
        <w:rPr>
          <w:rFonts w:ascii="宋体" w:hAnsi="宋体" w:hint="eastAsia"/>
          <w:sz w:val="28"/>
        </w:rPr>
        <w:t>15。</w:t>
      </w:r>
    </w:p>
    <w:p w:rsidR="004F34D9" w:rsidRPr="00123108" w:rsidRDefault="004F34D9" w:rsidP="00D06780">
      <w:pPr>
        <w:spacing w:line="500" w:lineRule="exact"/>
        <w:outlineLvl w:val="2"/>
        <w:rPr>
          <w:rFonts w:ascii="宋体" w:hAnsi="宋体" w:cs="宋体" w:hint="eastAsia"/>
          <w:b/>
          <w:bCs/>
          <w:sz w:val="28"/>
          <w:szCs w:val="28"/>
        </w:rPr>
      </w:pPr>
      <w:bookmarkStart w:id="1172" w:name="_Toc190935830"/>
      <w:r w:rsidRPr="00123108">
        <w:rPr>
          <w:rFonts w:ascii="宋体" w:hAnsi="宋体" w:cs="宋体" w:hint="eastAsia"/>
          <w:b/>
          <w:bCs/>
          <w:sz w:val="28"/>
          <w:szCs w:val="28"/>
        </w:rPr>
        <w:t>7.4.</w:t>
      </w:r>
      <w:r w:rsidRPr="00123108">
        <w:rPr>
          <w:rFonts w:ascii="宋体" w:hAnsi="宋体" w:cs="宋体" w:hint="eastAsia"/>
          <w:b/>
          <w:bCs/>
          <w:kern w:val="0"/>
          <w:sz w:val="28"/>
          <w:szCs w:val="28"/>
        </w:rPr>
        <w:t>20 环保设施安全风险评价</w:t>
      </w:r>
      <w:r w:rsidRPr="00123108">
        <w:rPr>
          <w:rFonts w:ascii="宋体" w:hAnsi="宋体" w:cs="宋体" w:hint="eastAsia"/>
          <w:b/>
          <w:bCs/>
          <w:sz w:val="28"/>
          <w:szCs w:val="28"/>
        </w:rPr>
        <w:t>结果</w:t>
      </w:r>
      <w:bookmarkEnd w:id="1172"/>
    </w:p>
    <w:p w:rsidR="004F34D9" w:rsidRPr="00123108" w:rsidRDefault="004F34D9" w:rsidP="00D06780">
      <w:pPr>
        <w:autoSpaceDE w:val="0"/>
        <w:autoSpaceDN w:val="0"/>
        <w:adjustRightInd w:val="0"/>
        <w:spacing w:line="500" w:lineRule="exact"/>
        <w:ind w:firstLineChars="200" w:firstLine="560"/>
        <w:rPr>
          <w:rFonts w:ascii="宋体" w:hAnsi="宋体" w:hint="eastAsia"/>
          <w:sz w:val="28"/>
          <w:szCs w:val="28"/>
        </w:rPr>
      </w:pPr>
      <w:r w:rsidRPr="00123108">
        <w:rPr>
          <w:rFonts w:ascii="宋体" w:hAnsi="宋体" w:hint="eastAsia"/>
          <w:sz w:val="28"/>
          <w:szCs w:val="28"/>
        </w:rPr>
        <w:t>评价过程详见附件2.16。</w:t>
      </w:r>
    </w:p>
    <w:p w:rsidR="004F34D9" w:rsidRPr="00123108" w:rsidRDefault="004F34D9" w:rsidP="00D06780">
      <w:pPr>
        <w:spacing w:line="500" w:lineRule="exact"/>
        <w:outlineLvl w:val="2"/>
        <w:rPr>
          <w:rFonts w:ascii="宋体" w:hAnsi="宋体" w:cs="宋体" w:hint="eastAsia"/>
          <w:b/>
          <w:bCs/>
          <w:sz w:val="28"/>
          <w:szCs w:val="28"/>
        </w:rPr>
      </w:pPr>
      <w:bookmarkStart w:id="1173" w:name="_Toc190935831"/>
      <w:r w:rsidRPr="00123108">
        <w:rPr>
          <w:rFonts w:ascii="宋体" w:hAnsi="宋体" w:cs="宋体" w:hint="eastAsia"/>
          <w:b/>
          <w:bCs/>
          <w:sz w:val="28"/>
          <w:szCs w:val="28"/>
        </w:rPr>
        <w:t>7.4.21 易制爆危险化学品安全评价</w:t>
      </w:r>
      <w:bookmarkEnd w:id="1173"/>
    </w:p>
    <w:p w:rsidR="004F34D9" w:rsidRPr="00123108" w:rsidRDefault="004F34D9" w:rsidP="00D06780">
      <w:pPr>
        <w:autoSpaceDE w:val="0"/>
        <w:autoSpaceDN w:val="0"/>
        <w:adjustRightInd w:val="0"/>
        <w:spacing w:line="500" w:lineRule="exact"/>
        <w:ind w:firstLineChars="200" w:firstLine="560"/>
        <w:rPr>
          <w:rFonts w:ascii="宋体" w:hAnsi="宋体" w:hint="eastAsia"/>
          <w:sz w:val="28"/>
          <w:szCs w:val="28"/>
        </w:rPr>
      </w:pPr>
      <w:r w:rsidRPr="00123108">
        <w:rPr>
          <w:rFonts w:ascii="宋体" w:hAnsi="宋体" w:hint="eastAsia"/>
          <w:sz w:val="28"/>
          <w:szCs w:val="28"/>
        </w:rPr>
        <w:lastRenderedPageBreak/>
        <w:t>根据</w:t>
      </w:r>
      <w:r w:rsidRPr="00123108">
        <w:rPr>
          <w:rFonts w:ascii="宋体" w:hAnsi="宋体"/>
          <w:sz w:val="28"/>
          <w:szCs w:val="28"/>
        </w:rPr>
        <w:t>《易制爆危险化学品储存场所治安防范要求》（GA 1511-2018）</w:t>
      </w:r>
      <w:r w:rsidRPr="00123108">
        <w:rPr>
          <w:rFonts w:ascii="宋体" w:hAnsi="宋体" w:hint="eastAsia"/>
          <w:sz w:val="28"/>
          <w:szCs w:val="28"/>
        </w:rPr>
        <w:t>要求，对企业涉及的易制爆危险化学品过氧化二异丙苯储存场所进行检查，符合要求。</w:t>
      </w:r>
    </w:p>
    <w:p w:rsidR="004F34D9" w:rsidRPr="00123108" w:rsidRDefault="004F34D9" w:rsidP="00D06780">
      <w:pPr>
        <w:autoSpaceDE w:val="0"/>
        <w:autoSpaceDN w:val="0"/>
        <w:adjustRightInd w:val="0"/>
        <w:spacing w:line="500" w:lineRule="exact"/>
        <w:ind w:firstLineChars="200" w:firstLine="560"/>
        <w:rPr>
          <w:rFonts w:ascii="宋体" w:hAnsi="宋体" w:hint="eastAsia"/>
          <w:sz w:val="28"/>
          <w:szCs w:val="28"/>
        </w:rPr>
      </w:pPr>
      <w:r w:rsidRPr="00123108">
        <w:rPr>
          <w:rFonts w:ascii="宋体" w:hAnsi="宋体" w:hint="eastAsia"/>
          <w:sz w:val="28"/>
          <w:szCs w:val="28"/>
        </w:rPr>
        <w:t>评价过程详见附件2.17。</w:t>
      </w:r>
    </w:p>
    <w:p w:rsidR="004F34D9" w:rsidRPr="00123108" w:rsidRDefault="004F34D9" w:rsidP="00D06780">
      <w:pPr>
        <w:spacing w:line="500" w:lineRule="exact"/>
        <w:outlineLvl w:val="2"/>
        <w:rPr>
          <w:rFonts w:ascii="宋体" w:hAnsi="宋体" w:cs="宋体" w:hint="eastAsia"/>
          <w:b/>
          <w:bCs/>
          <w:sz w:val="28"/>
          <w:szCs w:val="28"/>
        </w:rPr>
      </w:pPr>
      <w:bookmarkStart w:id="1174" w:name="_Toc190935832"/>
      <w:r w:rsidRPr="00123108">
        <w:rPr>
          <w:rFonts w:ascii="宋体" w:hAnsi="宋体" w:cs="宋体" w:hint="eastAsia"/>
          <w:b/>
          <w:bCs/>
          <w:sz w:val="28"/>
          <w:szCs w:val="28"/>
        </w:rPr>
        <w:t>7.4.</w:t>
      </w:r>
      <w:r w:rsidRPr="00123108">
        <w:rPr>
          <w:rFonts w:ascii="宋体" w:hAnsi="宋体" w:cs="宋体" w:hint="eastAsia"/>
          <w:b/>
          <w:bCs/>
          <w:kern w:val="0"/>
          <w:sz w:val="28"/>
          <w:szCs w:val="28"/>
        </w:rPr>
        <w:t>22 本次安全评价与上次安全评价之间的变化分析</w:t>
      </w:r>
      <w:r w:rsidRPr="00123108">
        <w:rPr>
          <w:rFonts w:ascii="宋体" w:hAnsi="宋体" w:cs="宋体" w:hint="eastAsia"/>
          <w:b/>
          <w:bCs/>
          <w:sz w:val="28"/>
          <w:szCs w:val="28"/>
        </w:rPr>
        <w:t>结果</w:t>
      </w:r>
      <w:bookmarkEnd w:id="1174"/>
    </w:p>
    <w:p w:rsidR="004F34D9" w:rsidRPr="00123108" w:rsidRDefault="004F34D9" w:rsidP="00D06780">
      <w:pPr>
        <w:snapToGrid w:val="0"/>
        <w:spacing w:line="500" w:lineRule="exact"/>
        <w:ind w:firstLineChars="200" w:firstLine="560"/>
        <w:rPr>
          <w:rFonts w:ascii="宋体" w:hAnsi="宋体" w:hint="eastAsia"/>
          <w:sz w:val="28"/>
          <w:szCs w:val="28"/>
        </w:rPr>
      </w:pPr>
      <w:r w:rsidRPr="00123108">
        <w:rPr>
          <w:rFonts w:ascii="宋体" w:hAnsi="宋体" w:hint="eastAsia"/>
          <w:sz w:val="28"/>
          <w:szCs w:val="28"/>
        </w:rPr>
        <w:t>本次安全评价与上次安全评价之间的变化情况见报告2.13章节。本评价周期内，企业无新、改、扩建项目，无生产工艺及主要设备变更。</w:t>
      </w:r>
    </w:p>
    <w:p w:rsidR="004F34D9" w:rsidRPr="00123108" w:rsidRDefault="004F34D9" w:rsidP="00D06780">
      <w:pPr>
        <w:autoSpaceDE w:val="0"/>
        <w:autoSpaceDN w:val="0"/>
        <w:adjustRightInd w:val="0"/>
        <w:spacing w:line="500" w:lineRule="exact"/>
        <w:ind w:firstLineChars="200" w:firstLine="560"/>
        <w:rPr>
          <w:rFonts w:ascii="宋体" w:hAnsi="宋体" w:hint="eastAsia"/>
          <w:sz w:val="28"/>
          <w:szCs w:val="28"/>
        </w:rPr>
      </w:pPr>
      <w:r w:rsidRPr="00123108">
        <w:rPr>
          <w:rFonts w:ascii="宋体" w:hAnsi="宋体" w:hint="eastAsia"/>
          <w:sz w:val="28"/>
          <w:szCs w:val="28"/>
        </w:rPr>
        <w:t>评价过程详见附件2.18。</w:t>
      </w:r>
    </w:p>
    <w:p w:rsidR="004F34D9" w:rsidRPr="00123108" w:rsidRDefault="004F34D9" w:rsidP="00D06780">
      <w:pPr>
        <w:spacing w:line="500" w:lineRule="exact"/>
        <w:outlineLvl w:val="2"/>
        <w:rPr>
          <w:rFonts w:ascii="宋体" w:hAnsi="宋体" w:cs="宋体" w:hint="eastAsia"/>
          <w:b/>
          <w:bCs/>
          <w:sz w:val="28"/>
          <w:szCs w:val="28"/>
        </w:rPr>
      </w:pPr>
      <w:bookmarkStart w:id="1175" w:name="_Toc190935833"/>
      <w:r w:rsidRPr="00123108">
        <w:rPr>
          <w:rFonts w:ascii="宋体" w:hAnsi="宋体" w:cs="宋体" w:hint="eastAsia"/>
          <w:b/>
          <w:bCs/>
          <w:sz w:val="28"/>
          <w:szCs w:val="28"/>
        </w:rPr>
        <w:t>7.4.</w:t>
      </w:r>
      <w:r w:rsidR="00176D77" w:rsidRPr="00123108">
        <w:rPr>
          <w:rFonts w:ascii="宋体" w:hAnsi="宋体" w:cs="宋体" w:hint="eastAsia"/>
          <w:b/>
          <w:bCs/>
          <w:kern w:val="0"/>
          <w:sz w:val="28"/>
          <w:szCs w:val="28"/>
        </w:rPr>
        <w:t xml:space="preserve">23 </w:t>
      </w:r>
      <w:r w:rsidRPr="00123108">
        <w:rPr>
          <w:rFonts w:ascii="宋体" w:hAnsi="宋体" w:cs="宋体" w:hint="eastAsia"/>
          <w:b/>
          <w:bCs/>
          <w:kern w:val="0"/>
          <w:sz w:val="28"/>
          <w:szCs w:val="28"/>
        </w:rPr>
        <w:t>上次安全评价以来整改措施落实检查</w:t>
      </w:r>
      <w:r w:rsidRPr="00123108">
        <w:rPr>
          <w:rFonts w:ascii="宋体" w:hAnsi="宋体" w:cs="宋体" w:hint="eastAsia"/>
          <w:b/>
          <w:bCs/>
          <w:sz w:val="28"/>
          <w:szCs w:val="28"/>
        </w:rPr>
        <w:t>结果</w:t>
      </w:r>
      <w:bookmarkEnd w:id="1175"/>
    </w:p>
    <w:p w:rsidR="004F34D9" w:rsidRPr="00123108" w:rsidRDefault="004F34D9" w:rsidP="00D06780">
      <w:pPr>
        <w:spacing w:line="500" w:lineRule="exact"/>
        <w:ind w:firstLineChars="200" w:firstLine="560"/>
        <w:rPr>
          <w:rFonts w:ascii="宋体" w:hAnsi="宋体" w:hint="eastAsia"/>
          <w:sz w:val="28"/>
          <w:szCs w:val="28"/>
        </w:rPr>
      </w:pPr>
      <w:r w:rsidRPr="00123108">
        <w:rPr>
          <w:rFonts w:ascii="宋体" w:hAnsi="宋体" w:hint="eastAsia"/>
          <w:sz w:val="28"/>
          <w:szCs w:val="28"/>
        </w:rPr>
        <w:t>上一周期《宁波新桥化工有限公司年产12万吨可发性聚苯乙烯项目安全现状评价报告》由</w:t>
      </w:r>
      <w:r w:rsidRPr="00123108">
        <w:rPr>
          <w:rFonts w:ascii="宋体" w:hAnsi="宋体"/>
          <w:sz w:val="28"/>
          <w:szCs w:val="28"/>
        </w:rPr>
        <w:t>北京中安质环技术评价中心有限公司</w:t>
      </w:r>
      <w:r w:rsidRPr="00123108">
        <w:rPr>
          <w:rFonts w:ascii="宋体" w:hAnsi="宋体" w:hint="eastAsia"/>
          <w:sz w:val="28"/>
          <w:szCs w:val="28"/>
        </w:rPr>
        <w:t>于2021年4月编制，根据安全现状评价报告提出的整改意见，企业已完成整改</w:t>
      </w:r>
      <w:r w:rsidR="007A1DBC" w:rsidRPr="00123108">
        <w:rPr>
          <w:rFonts w:ascii="宋体" w:hAnsi="宋体" w:hint="eastAsia"/>
          <w:sz w:val="28"/>
          <w:szCs w:val="28"/>
        </w:rPr>
        <w:t>。</w:t>
      </w:r>
    </w:p>
    <w:p w:rsidR="004F34D9" w:rsidRPr="00123108" w:rsidRDefault="004F34D9" w:rsidP="00D06780">
      <w:pPr>
        <w:spacing w:line="500" w:lineRule="exact"/>
        <w:ind w:firstLineChars="200" w:firstLine="560"/>
        <w:rPr>
          <w:rFonts w:ascii="宋体" w:hAnsi="宋体" w:hint="eastAsia"/>
          <w:sz w:val="28"/>
          <w:szCs w:val="28"/>
        </w:rPr>
      </w:pPr>
      <w:r w:rsidRPr="00123108">
        <w:rPr>
          <w:rFonts w:ascii="宋体" w:hAnsi="宋体" w:hint="eastAsia"/>
          <w:sz w:val="28"/>
          <w:szCs w:val="28"/>
        </w:rPr>
        <w:t>评价过程详见附件2.19。</w:t>
      </w:r>
    </w:p>
    <w:p w:rsidR="00D06780" w:rsidRPr="00123108" w:rsidRDefault="00D06780" w:rsidP="00A23D55">
      <w:pPr>
        <w:pStyle w:val="1"/>
        <w:spacing w:beforeLines="0" w:before="0" w:afterLines="0" w:after="0" w:line="500" w:lineRule="exact"/>
        <w:rPr>
          <w:rFonts w:ascii="宋体" w:eastAsia="宋体" w:cs="宋体"/>
          <w:spacing w:val="-4"/>
        </w:rPr>
        <w:sectPr w:rsidR="00D06780" w:rsidRPr="00123108">
          <w:type w:val="nextColumn"/>
          <w:pgSz w:w="11907" w:h="16840"/>
          <w:pgMar w:top="1418" w:right="1134" w:bottom="1134" w:left="1588" w:header="851" w:footer="992" w:gutter="0"/>
          <w:paperSrc w:first="7" w:other="7"/>
          <w:cols w:space="720"/>
          <w:docGrid w:linePitch="435" w:charSpace="2564"/>
        </w:sectPr>
      </w:pPr>
      <w:bookmarkStart w:id="1176" w:name="_Toc154996454"/>
      <w:bookmarkStart w:id="1177" w:name="_Toc156200345"/>
      <w:bookmarkStart w:id="1178" w:name="_Toc156189805"/>
      <w:bookmarkStart w:id="1179" w:name="_Toc156189306"/>
      <w:bookmarkStart w:id="1180" w:name="_Toc156189143"/>
      <w:bookmarkStart w:id="1181" w:name="_Toc155236251"/>
      <w:bookmarkStart w:id="1182" w:name="_Toc156189569"/>
      <w:bookmarkStart w:id="1183" w:name="_Toc156189994"/>
      <w:bookmarkStart w:id="1184" w:name="_Toc14618"/>
      <w:bookmarkStart w:id="1185" w:name="_Toc218914700"/>
      <w:bookmarkStart w:id="1186" w:name="_Toc238867543"/>
      <w:bookmarkStart w:id="1187" w:name="_Toc21387"/>
      <w:bookmarkStart w:id="1188" w:name="_Toc4437"/>
      <w:bookmarkStart w:id="1189" w:name="_Toc13704"/>
      <w:bookmarkStart w:id="1190" w:name="_Toc3809075"/>
      <w:bookmarkStart w:id="1191" w:name="_Toc224442426"/>
      <w:bookmarkStart w:id="1192" w:name="_Toc252533297"/>
      <w:bookmarkStart w:id="1193" w:name="_Toc4426"/>
      <w:bookmarkStart w:id="1194" w:name="_Toc225056916"/>
      <w:bookmarkStart w:id="1195" w:name="_Toc13529"/>
      <w:bookmarkStart w:id="1196" w:name="_Toc236122672"/>
      <w:bookmarkStart w:id="1197" w:name="_Toc156199768"/>
    </w:p>
    <w:p w:rsidR="004F34D9" w:rsidRPr="00123108" w:rsidRDefault="004F34D9" w:rsidP="00D06780">
      <w:pPr>
        <w:pStyle w:val="1"/>
        <w:spacing w:beforeLines="0" w:before="0" w:afterLines="0" w:after="0" w:line="500" w:lineRule="exact"/>
        <w:rPr>
          <w:rFonts w:ascii="宋体" w:eastAsia="宋体" w:cs="宋体" w:hint="eastAsia"/>
          <w:spacing w:val="-4"/>
        </w:rPr>
      </w:pPr>
      <w:bookmarkStart w:id="1198" w:name="_Toc190935834"/>
      <w:r w:rsidRPr="00123108">
        <w:rPr>
          <w:rFonts w:ascii="宋体" w:eastAsia="宋体" w:cs="宋体" w:hint="eastAsia"/>
          <w:spacing w:val="-4"/>
        </w:rPr>
        <w:lastRenderedPageBreak/>
        <w:t>8  安全对策措施</w:t>
      </w:r>
      <w:bookmarkEnd w:id="1176"/>
      <w:bookmarkEnd w:id="1177"/>
      <w:bookmarkEnd w:id="1178"/>
      <w:bookmarkEnd w:id="1179"/>
      <w:bookmarkEnd w:id="1180"/>
      <w:bookmarkEnd w:id="1181"/>
      <w:bookmarkEnd w:id="1182"/>
      <w:bookmarkEnd w:id="1183"/>
      <w:bookmarkEnd w:id="1197"/>
      <w:r w:rsidRPr="00123108">
        <w:rPr>
          <w:rFonts w:ascii="宋体" w:eastAsia="宋体" w:cs="宋体" w:hint="eastAsia"/>
          <w:spacing w:val="-4"/>
        </w:rPr>
        <w:t>与建议</w:t>
      </w:r>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8"/>
    </w:p>
    <w:p w:rsidR="004F34D9" w:rsidRPr="00123108" w:rsidRDefault="004F34D9" w:rsidP="00D06780">
      <w:pPr>
        <w:pStyle w:val="2"/>
        <w:spacing w:line="500" w:lineRule="exact"/>
        <w:jc w:val="both"/>
        <w:rPr>
          <w:rFonts w:ascii="宋体" w:eastAsia="宋体" w:cs="宋体" w:hint="eastAsia"/>
          <w:sz w:val="28"/>
          <w:szCs w:val="28"/>
        </w:rPr>
      </w:pPr>
      <w:bookmarkStart w:id="1199" w:name="_Toc225056917"/>
      <w:bookmarkStart w:id="1200" w:name="_Toc3809076"/>
      <w:bookmarkStart w:id="1201" w:name="_Toc155236252"/>
      <w:bookmarkStart w:id="1202" w:name="_Toc156189144"/>
      <w:bookmarkStart w:id="1203" w:name="_Toc22565"/>
      <w:bookmarkStart w:id="1204" w:name="_Toc154996455"/>
      <w:bookmarkStart w:id="1205" w:name="_Toc218914701"/>
      <w:bookmarkStart w:id="1206" w:name="_Toc156189806"/>
      <w:bookmarkStart w:id="1207" w:name="_Toc16585"/>
      <w:bookmarkStart w:id="1208" w:name="_Toc6893"/>
      <w:bookmarkStart w:id="1209" w:name="_Toc156200346"/>
      <w:bookmarkStart w:id="1210" w:name="_Toc12185"/>
      <w:bookmarkStart w:id="1211" w:name="_Toc236122673"/>
      <w:bookmarkStart w:id="1212" w:name="_Toc252533298"/>
      <w:bookmarkStart w:id="1213" w:name="_Toc156199769"/>
      <w:bookmarkStart w:id="1214" w:name="_Toc18532"/>
      <w:bookmarkStart w:id="1215" w:name="_Toc156189570"/>
      <w:bookmarkStart w:id="1216" w:name="_Toc21860"/>
      <w:bookmarkStart w:id="1217" w:name="_Toc156189995"/>
      <w:bookmarkStart w:id="1218" w:name="_Toc156189307"/>
      <w:bookmarkStart w:id="1219" w:name="_Toc224442427"/>
      <w:bookmarkStart w:id="1220" w:name="_Toc238867544"/>
      <w:bookmarkStart w:id="1221" w:name="_Toc190935835"/>
      <w:r w:rsidRPr="00123108">
        <w:rPr>
          <w:rFonts w:ascii="宋体" w:eastAsia="宋体" w:cs="宋体" w:hint="eastAsia"/>
          <w:sz w:val="28"/>
          <w:szCs w:val="28"/>
        </w:rPr>
        <w:t xml:space="preserve">8.1  </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r w:rsidRPr="00123108">
        <w:rPr>
          <w:rFonts w:ascii="宋体" w:eastAsia="宋体" w:cs="宋体" w:hint="eastAsia"/>
          <w:sz w:val="28"/>
          <w:szCs w:val="28"/>
        </w:rPr>
        <w:t>存在的主要问题及整改措施</w:t>
      </w:r>
      <w:bookmarkEnd w:id="1221"/>
    </w:p>
    <w:p w:rsidR="004F34D9" w:rsidRPr="00123108" w:rsidRDefault="004F34D9" w:rsidP="00D06780">
      <w:pPr>
        <w:autoSpaceDE w:val="0"/>
        <w:autoSpaceDN w:val="0"/>
        <w:adjustRightInd w:val="0"/>
        <w:spacing w:line="500" w:lineRule="exact"/>
        <w:ind w:firstLine="560"/>
        <w:rPr>
          <w:rFonts w:ascii="宋体" w:hAnsi="宋体" w:hint="eastAsia"/>
          <w:bCs/>
          <w:sz w:val="28"/>
          <w:szCs w:val="28"/>
        </w:rPr>
      </w:pPr>
      <w:bookmarkStart w:id="1222" w:name="_Toc156200348"/>
      <w:bookmarkStart w:id="1223" w:name="_Toc155236254"/>
      <w:bookmarkStart w:id="1224" w:name="_Toc224442429"/>
      <w:bookmarkStart w:id="1225" w:name="_Toc225056919"/>
      <w:bookmarkStart w:id="1226" w:name="_Toc156189572"/>
      <w:bookmarkStart w:id="1227" w:name="_Toc156189309"/>
      <w:bookmarkStart w:id="1228" w:name="_Toc156189997"/>
      <w:bookmarkStart w:id="1229" w:name="_Toc218914703"/>
      <w:bookmarkStart w:id="1230" w:name="_Toc156189808"/>
      <w:bookmarkStart w:id="1231" w:name="_Toc154996457"/>
      <w:bookmarkStart w:id="1232" w:name="_Toc156199771"/>
      <w:bookmarkStart w:id="1233" w:name="_Toc156189146"/>
      <w:r w:rsidRPr="00123108">
        <w:rPr>
          <w:rFonts w:ascii="宋体" w:hAnsi="宋体" w:hint="eastAsia"/>
          <w:bCs/>
          <w:sz w:val="28"/>
          <w:szCs w:val="28"/>
        </w:rPr>
        <w:t>通过对新桥化工安全现状评价，本项目存在的主要问题及整改措施见表8.1-1。</w:t>
      </w:r>
    </w:p>
    <w:p w:rsidR="004F34D9" w:rsidRDefault="004F34D9" w:rsidP="00D06780">
      <w:pPr>
        <w:spacing w:line="500" w:lineRule="exact"/>
        <w:ind w:firstLine="435"/>
        <w:jc w:val="center"/>
        <w:rPr>
          <w:rFonts w:ascii="宋体" w:hAnsi="宋体" w:cs="宋体" w:hint="eastAsia"/>
          <w:b/>
          <w:sz w:val="28"/>
          <w:szCs w:val="28"/>
          <w:lang w:val="zh-CN"/>
        </w:rPr>
      </w:pPr>
      <w:r w:rsidRPr="00123108">
        <w:rPr>
          <w:rFonts w:ascii="宋体" w:hAnsi="宋体" w:cs="宋体" w:hint="eastAsia"/>
          <w:b/>
          <w:sz w:val="28"/>
          <w:szCs w:val="28"/>
        </w:rPr>
        <w:t xml:space="preserve">表8.1-1  </w:t>
      </w:r>
      <w:r w:rsidRPr="00123108">
        <w:rPr>
          <w:rFonts w:ascii="宋体" w:hAnsi="宋体" w:cs="宋体" w:hint="eastAsia"/>
          <w:b/>
          <w:sz w:val="28"/>
          <w:szCs w:val="28"/>
          <w:lang w:val="zh-CN"/>
        </w:rPr>
        <w:t>存在的主要问题及整改措施</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Pr="00123108" w:rsidRDefault="004F34D9" w:rsidP="00D06780">
      <w:pPr>
        <w:spacing w:line="500" w:lineRule="exact"/>
        <w:ind w:firstLineChars="200" w:firstLine="560"/>
        <w:rPr>
          <w:rFonts w:ascii="宋体" w:hAnsi="宋体" w:hint="eastAsia"/>
          <w:sz w:val="28"/>
        </w:rPr>
      </w:pPr>
      <w:bookmarkStart w:id="1234" w:name="_Toc238867546"/>
      <w:bookmarkStart w:id="1235" w:name="_Toc3809077"/>
      <w:bookmarkStart w:id="1236" w:name="_Toc236122675"/>
      <w:bookmarkStart w:id="1237" w:name="_Toc252533300"/>
      <w:r w:rsidRPr="00123108">
        <w:rPr>
          <w:rFonts w:ascii="宋体" w:hAnsi="宋体" w:hint="eastAsia"/>
          <w:sz w:val="28"/>
        </w:rPr>
        <w:t>对于这些整改措施，山东实华安全技术有限公司评价人员已经现场核查，整改完毕。</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hint="eastAsia"/>
          <w:sz w:val="28"/>
        </w:rPr>
        <w:t>整改措施落实情况详见附件的</w:t>
      </w:r>
      <w:r w:rsidRPr="00123108">
        <w:rPr>
          <w:rFonts w:ascii="宋体" w:hAnsi="宋体" w:hint="eastAsia"/>
          <w:sz w:val="28"/>
          <w:szCs w:val="28"/>
        </w:rPr>
        <w:t>隐患整改回执表</w:t>
      </w:r>
      <w:r w:rsidRPr="00123108">
        <w:rPr>
          <w:rFonts w:ascii="宋体" w:hAnsi="宋体" w:hint="eastAsia"/>
          <w:sz w:val="28"/>
        </w:rPr>
        <w:t>。</w:t>
      </w:r>
    </w:p>
    <w:p w:rsidR="004F34D9" w:rsidRPr="00123108" w:rsidRDefault="004F34D9" w:rsidP="00D06780">
      <w:pPr>
        <w:pStyle w:val="2"/>
        <w:spacing w:line="500" w:lineRule="exact"/>
        <w:jc w:val="both"/>
        <w:rPr>
          <w:rFonts w:ascii="宋体" w:eastAsia="宋体" w:cs="宋体" w:hint="eastAsia"/>
          <w:sz w:val="28"/>
          <w:szCs w:val="28"/>
        </w:rPr>
      </w:pPr>
      <w:bookmarkStart w:id="1238" w:name="_Toc27771"/>
      <w:bookmarkStart w:id="1239" w:name="_Toc3809078"/>
      <w:bookmarkStart w:id="1240" w:name="_Toc27250"/>
      <w:bookmarkStart w:id="1241" w:name="_Toc18440"/>
      <w:bookmarkStart w:id="1242" w:name="_Toc17080"/>
      <w:bookmarkStart w:id="1243" w:name="_Toc13189"/>
      <w:bookmarkStart w:id="1244" w:name="_Toc16123"/>
      <w:bookmarkStart w:id="1245" w:name="_Toc190935836"/>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r w:rsidRPr="00123108">
        <w:rPr>
          <w:rFonts w:ascii="宋体" w:eastAsia="宋体" w:cs="宋体" w:hint="eastAsia"/>
          <w:sz w:val="28"/>
          <w:szCs w:val="28"/>
        </w:rPr>
        <w:t>8.2  建议</w:t>
      </w:r>
      <w:bookmarkEnd w:id="1238"/>
      <w:bookmarkEnd w:id="1239"/>
      <w:bookmarkEnd w:id="1240"/>
      <w:bookmarkEnd w:id="1241"/>
      <w:bookmarkEnd w:id="1242"/>
      <w:bookmarkEnd w:id="1243"/>
      <w:bookmarkEnd w:id="1244"/>
      <w:bookmarkEnd w:id="1245"/>
    </w:p>
    <w:p w:rsidR="004F34D9" w:rsidRPr="00123108" w:rsidRDefault="004F34D9" w:rsidP="00D06780">
      <w:pPr>
        <w:numPr>
          <w:ilvl w:val="0"/>
          <w:numId w:val="51"/>
        </w:numPr>
        <w:tabs>
          <w:tab w:val="left" w:pos="1050"/>
        </w:tabs>
        <w:spacing w:line="500" w:lineRule="exact"/>
        <w:ind w:left="0" w:firstLineChars="200" w:firstLine="560"/>
        <w:rPr>
          <w:rFonts w:hint="eastAsia"/>
          <w:sz w:val="28"/>
          <w:szCs w:val="28"/>
        </w:rPr>
      </w:pPr>
      <w:r w:rsidRPr="00123108">
        <w:rPr>
          <w:rFonts w:hint="eastAsia"/>
          <w:sz w:val="28"/>
          <w:szCs w:val="28"/>
        </w:rPr>
        <w:t>企业运行时间已超过</w:t>
      </w:r>
      <w:r w:rsidRPr="00123108">
        <w:rPr>
          <w:rFonts w:hint="eastAsia"/>
          <w:sz w:val="28"/>
          <w:szCs w:val="28"/>
        </w:rPr>
        <w:t>20</w:t>
      </w:r>
      <w:r w:rsidRPr="00123108">
        <w:rPr>
          <w:rFonts w:hint="eastAsia"/>
          <w:sz w:val="28"/>
          <w:szCs w:val="28"/>
        </w:rPr>
        <w:t>年，应对老旧装置、设备重点关注，除法定检验检测外，应加强巡检及日常维护及保养频次，保障安全运行。</w:t>
      </w:r>
    </w:p>
    <w:p w:rsidR="004F34D9" w:rsidRPr="00123108" w:rsidRDefault="004F34D9" w:rsidP="00D06780">
      <w:pPr>
        <w:numPr>
          <w:ilvl w:val="0"/>
          <w:numId w:val="51"/>
        </w:numPr>
        <w:tabs>
          <w:tab w:val="left" w:pos="1050"/>
        </w:tabs>
        <w:spacing w:line="500" w:lineRule="exact"/>
        <w:ind w:left="0" w:firstLineChars="200" w:firstLine="560"/>
        <w:rPr>
          <w:rFonts w:hint="eastAsia"/>
          <w:sz w:val="28"/>
          <w:szCs w:val="28"/>
        </w:rPr>
      </w:pPr>
      <w:r w:rsidRPr="00123108">
        <w:rPr>
          <w:rFonts w:hint="eastAsia"/>
          <w:sz w:val="28"/>
          <w:szCs w:val="28"/>
        </w:rPr>
        <w:t>企业危险化学品运输车辆作业频繁，尤其是苯乙烯来料、产品出厂等，应加强进厂危险化学品车辆管理及人员管理，车辆及人员应按指定线路行驶，企业加强现场监督管理。</w:t>
      </w:r>
    </w:p>
    <w:p w:rsidR="004F34D9" w:rsidRPr="00123108" w:rsidRDefault="004F34D9" w:rsidP="00D06780">
      <w:pPr>
        <w:numPr>
          <w:ilvl w:val="0"/>
          <w:numId w:val="51"/>
        </w:numPr>
        <w:tabs>
          <w:tab w:val="left" w:pos="1050"/>
        </w:tabs>
        <w:spacing w:line="500" w:lineRule="exact"/>
        <w:ind w:left="0" w:firstLineChars="200" w:firstLine="560"/>
        <w:rPr>
          <w:rFonts w:hint="eastAsia"/>
          <w:sz w:val="28"/>
          <w:szCs w:val="28"/>
        </w:rPr>
      </w:pPr>
      <w:r w:rsidRPr="00123108">
        <w:rPr>
          <w:rFonts w:hint="eastAsia"/>
          <w:sz w:val="28"/>
          <w:szCs w:val="28"/>
        </w:rPr>
        <w:t>加强承包商作业过程的管理工作。加强承包商作业前的安全教育、安全防护措施培训。同时企业应加强检查力度，要核查检修前参加培训教育人员和实际作业人员是否一致。</w:t>
      </w:r>
    </w:p>
    <w:p w:rsidR="004F34D9" w:rsidRPr="00123108" w:rsidRDefault="004F34D9" w:rsidP="00D06780">
      <w:pPr>
        <w:numPr>
          <w:ilvl w:val="0"/>
          <w:numId w:val="51"/>
        </w:numPr>
        <w:tabs>
          <w:tab w:val="left" w:pos="1050"/>
        </w:tabs>
        <w:spacing w:line="500" w:lineRule="exact"/>
        <w:ind w:left="0" w:firstLineChars="200" w:firstLine="560"/>
        <w:rPr>
          <w:rFonts w:hint="eastAsia"/>
          <w:sz w:val="28"/>
          <w:szCs w:val="28"/>
        </w:rPr>
      </w:pPr>
      <w:r w:rsidRPr="00123108">
        <w:rPr>
          <w:rFonts w:hint="eastAsia"/>
          <w:sz w:val="28"/>
          <w:szCs w:val="28"/>
        </w:rPr>
        <w:t>本项目使用盐酸、液碱等物料，通杀所在地区雨量充沛、湿度大，设备腐蚀速度快，需加强相应设备特别是室外设备、管道、法兰、阀门、仪表等防腐、保养工作。</w:t>
      </w:r>
    </w:p>
    <w:p w:rsidR="004F34D9" w:rsidRPr="00123108" w:rsidRDefault="004F34D9" w:rsidP="00D06780">
      <w:pPr>
        <w:numPr>
          <w:ilvl w:val="0"/>
          <w:numId w:val="51"/>
        </w:numPr>
        <w:tabs>
          <w:tab w:val="left" w:pos="1050"/>
        </w:tabs>
        <w:spacing w:line="500" w:lineRule="exact"/>
        <w:ind w:left="0" w:firstLineChars="200" w:firstLine="560"/>
        <w:rPr>
          <w:rFonts w:hint="eastAsia"/>
          <w:sz w:val="28"/>
          <w:szCs w:val="28"/>
        </w:rPr>
      </w:pPr>
      <w:r w:rsidRPr="00123108">
        <w:rPr>
          <w:rFonts w:hint="eastAsia"/>
          <w:sz w:val="28"/>
          <w:szCs w:val="28"/>
        </w:rPr>
        <w:t>建议持续开展安全生产标准化管理，加强对安全管理制度、岗位安全操作规程进行定期修订。</w:t>
      </w:r>
    </w:p>
    <w:p w:rsidR="004F34D9" w:rsidRPr="00123108" w:rsidRDefault="004F34D9" w:rsidP="00D06780">
      <w:pPr>
        <w:numPr>
          <w:ilvl w:val="0"/>
          <w:numId w:val="51"/>
        </w:numPr>
        <w:tabs>
          <w:tab w:val="left" w:pos="1050"/>
        </w:tabs>
        <w:spacing w:line="500" w:lineRule="exact"/>
        <w:ind w:left="0" w:firstLineChars="200" w:firstLine="560"/>
        <w:rPr>
          <w:rFonts w:hint="eastAsia"/>
          <w:sz w:val="28"/>
          <w:szCs w:val="28"/>
        </w:rPr>
      </w:pPr>
      <w:r w:rsidRPr="00123108">
        <w:rPr>
          <w:rFonts w:hint="eastAsia"/>
          <w:sz w:val="28"/>
          <w:szCs w:val="28"/>
        </w:rPr>
        <w:t>加强对员工开展异常工况的处置能力培训和考核。</w:t>
      </w:r>
    </w:p>
    <w:p w:rsidR="004F34D9" w:rsidRPr="00123108" w:rsidRDefault="004F34D9" w:rsidP="00D06780">
      <w:pPr>
        <w:numPr>
          <w:ilvl w:val="0"/>
          <w:numId w:val="51"/>
        </w:numPr>
        <w:tabs>
          <w:tab w:val="left" w:pos="1050"/>
        </w:tabs>
        <w:spacing w:line="500" w:lineRule="exact"/>
        <w:ind w:left="0" w:firstLineChars="200" w:firstLine="560"/>
        <w:rPr>
          <w:rFonts w:hint="eastAsia"/>
          <w:sz w:val="28"/>
          <w:szCs w:val="28"/>
        </w:rPr>
      </w:pPr>
      <w:r w:rsidRPr="00123108">
        <w:rPr>
          <w:rFonts w:hint="eastAsia"/>
          <w:sz w:val="28"/>
          <w:szCs w:val="28"/>
        </w:rPr>
        <w:t>应对装置的工艺报警、可燃有毒气体报警进行分级、分类管理，</w:t>
      </w:r>
      <w:r w:rsidRPr="00123108">
        <w:rPr>
          <w:rFonts w:hint="eastAsia"/>
          <w:sz w:val="28"/>
          <w:szCs w:val="28"/>
        </w:rPr>
        <w:t xml:space="preserve"> </w:t>
      </w:r>
      <w:r w:rsidRPr="00123108">
        <w:rPr>
          <w:rFonts w:hint="eastAsia"/>
          <w:sz w:val="28"/>
          <w:szCs w:val="28"/>
        </w:rPr>
        <w:t>优化报警设置。</w:t>
      </w:r>
    </w:p>
    <w:p w:rsidR="004F34D9" w:rsidRPr="00123108" w:rsidRDefault="004F34D9" w:rsidP="00D06780">
      <w:pPr>
        <w:numPr>
          <w:ilvl w:val="0"/>
          <w:numId w:val="51"/>
        </w:numPr>
        <w:tabs>
          <w:tab w:val="left" w:pos="1050"/>
        </w:tabs>
        <w:spacing w:line="500" w:lineRule="exact"/>
        <w:ind w:left="0" w:firstLineChars="200" w:firstLine="560"/>
        <w:rPr>
          <w:rFonts w:hint="eastAsia"/>
          <w:sz w:val="28"/>
          <w:szCs w:val="28"/>
        </w:rPr>
        <w:sectPr w:rsidR="004F34D9" w:rsidRPr="00123108" w:rsidSect="00D06780">
          <w:pgSz w:w="11907" w:h="16840"/>
          <w:pgMar w:top="1418" w:right="1134" w:bottom="1134" w:left="1588" w:header="851" w:footer="992" w:gutter="0"/>
          <w:paperSrc w:first="7" w:other="7"/>
          <w:cols w:space="720"/>
          <w:docGrid w:linePitch="435" w:charSpace="2564"/>
        </w:sectPr>
      </w:pPr>
      <w:r w:rsidRPr="00123108">
        <w:rPr>
          <w:rFonts w:hint="eastAsia"/>
          <w:sz w:val="28"/>
          <w:szCs w:val="28"/>
        </w:rPr>
        <w:t>五号产品仓库，靠近东面应尽量存放阻燃类产品。</w:t>
      </w:r>
    </w:p>
    <w:p w:rsidR="004F34D9" w:rsidRPr="00123108" w:rsidRDefault="004F34D9" w:rsidP="00D06780">
      <w:pPr>
        <w:pStyle w:val="1"/>
        <w:spacing w:beforeLines="0" w:before="0" w:afterLines="0" w:after="0" w:line="500" w:lineRule="exact"/>
        <w:rPr>
          <w:rFonts w:ascii="宋体" w:eastAsia="宋体" w:cs="宋体" w:hint="eastAsia"/>
          <w:spacing w:val="-4"/>
        </w:rPr>
      </w:pPr>
      <w:bookmarkStart w:id="1246" w:name="_Toc224442430"/>
      <w:bookmarkStart w:id="1247" w:name="_Toc218914706"/>
      <w:bookmarkStart w:id="1248" w:name="_Toc3809079"/>
      <w:bookmarkStart w:id="1249" w:name="_Toc156189999"/>
      <w:bookmarkStart w:id="1250" w:name="_Toc156189148"/>
      <w:bookmarkStart w:id="1251" w:name="_Toc155236256"/>
      <w:bookmarkStart w:id="1252" w:name="_Toc156189311"/>
      <w:bookmarkStart w:id="1253" w:name="_Toc15893"/>
      <w:bookmarkStart w:id="1254" w:name="_Toc156189810"/>
      <w:bookmarkStart w:id="1255" w:name="_Toc21317"/>
      <w:bookmarkStart w:id="1256" w:name="_Toc13869"/>
      <w:bookmarkStart w:id="1257" w:name="_Toc156200350"/>
      <w:bookmarkStart w:id="1258" w:name="_Toc225056921"/>
      <w:bookmarkStart w:id="1259" w:name="_Toc236122676"/>
      <w:bookmarkStart w:id="1260" w:name="_Toc156189574"/>
      <w:bookmarkStart w:id="1261" w:name="_Toc238867547"/>
      <w:bookmarkStart w:id="1262" w:name="_Toc252533301"/>
      <w:bookmarkStart w:id="1263" w:name="_Toc156199773"/>
      <w:bookmarkStart w:id="1264" w:name="_Toc29439"/>
      <w:bookmarkStart w:id="1265" w:name="_Toc154996459"/>
      <w:bookmarkStart w:id="1266" w:name="_Toc14282"/>
      <w:bookmarkStart w:id="1267" w:name="_Toc3530"/>
      <w:bookmarkStart w:id="1268" w:name="_Toc190935837"/>
      <w:r w:rsidRPr="00123108">
        <w:rPr>
          <w:rFonts w:ascii="宋体" w:eastAsia="宋体" w:cs="宋体" w:hint="eastAsia"/>
          <w:spacing w:val="-4"/>
        </w:rPr>
        <w:lastRenderedPageBreak/>
        <w:t xml:space="preserve">9  </w:t>
      </w:r>
      <w:bookmarkStart w:id="1269" w:name="_Hlk522224817"/>
      <w:r w:rsidRPr="00123108">
        <w:rPr>
          <w:rFonts w:ascii="宋体" w:eastAsia="宋体" w:cs="宋体" w:hint="eastAsia"/>
          <w:spacing w:val="-4"/>
        </w:rPr>
        <w:t>评价结论</w:t>
      </w:r>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p>
    <w:bookmarkEnd w:id="1269"/>
    <w:p w:rsidR="004F34D9" w:rsidRPr="00123108" w:rsidRDefault="004F34D9" w:rsidP="00D06780">
      <w:pPr>
        <w:autoSpaceDE w:val="0"/>
        <w:autoSpaceDN w:val="0"/>
        <w:adjustRightInd w:val="0"/>
        <w:spacing w:line="500" w:lineRule="exact"/>
        <w:ind w:firstLineChars="200" w:firstLine="560"/>
        <w:rPr>
          <w:rFonts w:ascii="宋体" w:hAnsi="宋体" w:hint="eastAsia"/>
          <w:sz w:val="28"/>
        </w:rPr>
      </w:pPr>
      <w:r w:rsidRPr="00123108">
        <w:rPr>
          <w:rFonts w:ascii="宋体" w:hAnsi="宋体" w:hint="eastAsia"/>
          <w:bCs/>
          <w:sz w:val="28"/>
          <w:szCs w:val="28"/>
        </w:rPr>
        <w:t>通过对新桥化工安全现状评价，</w:t>
      </w:r>
      <w:r w:rsidRPr="00123108">
        <w:rPr>
          <w:rFonts w:ascii="宋体" w:hAnsi="宋体" w:hint="eastAsia"/>
          <w:sz w:val="28"/>
        </w:rPr>
        <w:t>得出以下结论：</w:t>
      </w:r>
    </w:p>
    <w:p w:rsidR="004F34D9" w:rsidRPr="00123108" w:rsidRDefault="004F34D9" w:rsidP="00D06780">
      <w:pPr>
        <w:numPr>
          <w:ilvl w:val="0"/>
          <w:numId w:val="52"/>
        </w:numPr>
        <w:autoSpaceDE w:val="0"/>
        <w:autoSpaceDN w:val="0"/>
        <w:adjustRightInd w:val="0"/>
        <w:spacing w:line="500" w:lineRule="exact"/>
        <w:ind w:firstLineChars="200" w:firstLine="560"/>
        <w:rPr>
          <w:rFonts w:ascii="宋体" w:hAnsi="宋体" w:cs="宋体" w:hint="eastAsia"/>
          <w:sz w:val="28"/>
          <w:szCs w:val="28"/>
        </w:rPr>
      </w:pPr>
      <w:r w:rsidRPr="00123108">
        <w:rPr>
          <w:rFonts w:ascii="宋体" w:hAnsi="宋体" w:hint="eastAsia"/>
          <w:sz w:val="28"/>
        </w:rPr>
        <w:t>本项目为危险化学品生产项目，</w:t>
      </w:r>
      <w:r w:rsidRPr="00123108">
        <w:rPr>
          <w:rFonts w:ascii="宋体" w:hAnsi="宋体" w:cs="宋体" w:hint="eastAsia"/>
          <w:sz w:val="28"/>
        </w:rPr>
        <w:t>在生产、储存等过程中存在的</w:t>
      </w:r>
      <w:r w:rsidRPr="00123108">
        <w:rPr>
          <w:rFonts w:ascii="宋体" w:hAnsi="宋体" w:cs="宋体" w:hint="eastAsia"/>
          <w:sz w:val="28"/>
          <w:szCs w:val="28"/>
        </w:rPr>
        <w:t>主要危险、有害因素是火灾、爆炸、其他爆炸等。次要危险为、中毒和窒息、</w:t>
      </w:r>
      <w:r w:rsidRPr="00123108">
        <w:rPr>
          <w:rFonts w:ascii="宋体" w:hAnsi="宋体" w:cs="宋体" w:hint="eastAsia"/>
          <w:kern w:val="20"/>
          <w:sz w:val="28"/>
        </w:rPr>
        <w:t>电气伤害、机械伤害、车辆伤害、高处坠落、物体打击、灼烫、起重伤害、淹溺、</w:t>
      </w:r>
      <w:r w:rsidRPr="00123108">
        <w:rPr>
          <w:rFonts w:ascii="宋体" w:hAnsi="宋体" w:cs="宋体" w:hint="eastAsia"/>
          <w:sz w:val="28"/>
          <w:szCs w:val="28"/>
        </w:rPr>
        <w:t>坍塌、</w:t>
      </w:r>
      <w:r w:rsidRPr="00123108">
        <w:rPr>
          <w:rFonts w:ascii="宋体" w:hAnsi="宋体" w:cs="宋体" w:hint="eastAsia"/>
          <w:kern w:val="20"/>
          <w:sz w:val="28"/>
        </w:rPr>
        <w:t>粉尘危害、噪音等</w:t>
      </w:r>
      <w:r w:rsidRPr="00123108">
        <w:rPr>
          <w:rFonts w:ascii="宋体" w:hAnsi="宋体" w:cs="宋体" w:hint="eastAsia"/>
          <w:sz w:val="28"/>
          <w:szCs w:val="28"/>
        </w:rPr>
        <w:t>。</w:t>
      </w:r>
    </w:p>
    <w:p w:rsidR="004F34D9" w:rsidRPr="00123108" w:rsidRDefault="004F34D9" w:rsidP="00D06780">
      <w:pPr>
        <w:numPr>
          <w:ilvl w:val="0"/>
          <w:numId w:val="52"/>
        </w:numPr>
        <w:autoSpaceDE w:val="0"/>
        <w:autoSpaceDN w:val="0"/>
        <w:adjustRightInd w:val="0"/>
        <w:spacing w:line="500" w:lineRule="exact"/>
        <w:ind w:firstLine="560"/>
        <w:rPr>
          <w:rFonts w:ascii="宋体" w:hAnsi="宋体" w:hint="eastAsia"/>
          <w:sz w:val="28"/>
          <w:szCs w:val="28"/>
        </w:rPr>
      </w:pPr>
      <w:r w:rsidRPr="00123108">
        <w:rPr>
          <w:rFonts w:ascii="宋体" w:hAnsi="宋体" w:hint="eastAsia"/>
          <w:sz w:val="28"/>
          <w:szCs w:val="28"/>
        </w:rPr>
        <w:t>本项目涉及的物料中苯乙烯、过氧化苯甲酰和过氧化苯甲酸叔丁酯列入</w:t>
      </w:r>
      <w:r w:rsidRPr="00123108">
        <w:rPr>
          <w:rFonts w:ascii="宋体" w:hAnsi="宋体" w:cs="宋体" w:hint="eastAsia"/>
          <w:sz w:val="28"/>
          <w:szCs w:val="28"/>
        </w:rPr>
        <w:t>首批重点监管的危险化学品名录》（原安监总管三〔2011〕95号）</w:t>
      </w:r>
      <w:r w:rsidRPr="00123108">
        <w:rPr>
          <w:rFonts w:ascii="宋体" w:hAnsi="宋体" w:hint="eastAsia"/>
          <w:sz w:val="28"/>
        </w:rPr>
        <w:t>、</w:t>
      </w:r>
      <w:r w:rsidRPr="00123108">
        <w:rPr>
          <w:rFonts w:ascii="宋体" w:hAnsi="宋体" w:cs="宋体" w:hint="eastAsia"/>
          <w:sz w:val="28"/>
          <w:szCs w:val="28"/>
        </w:rPr>
        <w:t>《国家安全监管总局关于公布第二批重点监管危险化学品名录的通知》（原安监总管三〔2013〕12号）</w:t>
      </w:r>
      <w:r w:rsidRPr="00123108">
        <w:rPr>
          <w:rFonts w:ascii="宋体" w:hAnsi="宋体" w:hint="eastAsia"/>
          <w:sz w:val="28"/>
          <w:szCs w:val="28"/>
        </w:rPr>
        <w:t>，属于重点监管的危险化学品。</w:t>
      </w:r>
    </w:p>
    <w:p w:rsidR="004F34D9" w:rsidRPr="00123108" w:rsidRDefault="004F34D9" w:rsidP="00D06780">
      <w:pPr>
        <w:numPr>
          <w:ilvl w:val="0"/>
          <w:numId w:val="52"/>
        </w:numPr>
        <w:autoSpaceDE w:val="0"/>
        <w:autoSpaceDN w:val="0"/>
        <w:adjustRightInd w:val="0"/>
        <w:spacing w:line="500" w:lineRule="exact"/>
        <w:ind w:firstLine="560"/>
        <w:rPr>
          <w:rFonts w:ascii="宋体" w:hAnsi="宋体" w:cs="宋体" w:hint="eastAsia"/>
          <w:sz w:val="28"/>
          <w:szCs w:val="28"/>
        </w:rPr>
      </w:pPr>
      <w:r w:rsidRPr="00123108">
        <w:rPr>
          <w:rFonts w:ascii="宋体" w:hAnsi="宋体" w:cs="宋体" w:hint="eastAsia"/>
          <w:sz w:val="28"/>
          <w:szCs w:val="28"/>
        </w:rPr>
        <w:t>根据《危险化学品重大危险源辨识》GB 18218-2018行辨识，本项目苯乙烯罐区、5#成品库分别构成三级危险化学品重大危险源。</w:t>
      </w:r>
    </w:p>
    <w:p w:rsidR="004F34D9" w:rsidRPr="00123108" w:rsidRDefault="004F34D9" w:rsidP="00D06780">
      <w:pPr>
        <w:pStyle w:val="af"/>
        <w:spacing w:line="500" w:lineRule="exact"/>
        <w:ind w:firstLine="560"/>
        <w:jc w:val="both"/>
        <w:rPr>
          <w:sz w:val="28"/>
          <w:szCs w:val="28"/>
        </w:rPr>
      </w:pPr>
      <w:r w:rsidRPr="00123108">
        <w:rPr>
          <w:rFonts w:ascii="宋体" w:hint="eastAsia"/>
          <w:sz w:val="28"/>
          <w:szCs w:val="28"/>
        </w:rPr>
        <w:t>（4）</w:t>
      </w:r>
      <w:r w:rsidRPr="00123108">
        <w:rPr>
          <w:rFonts w:cs="宋体" w:hint="eastAsia"/>
          <w:sz w:val="28"/>
        </w:rPr>
        <w:t>根据《国家安全监管总局关于公布首批重点监管的危险化工工艺目录的通知》原安监总管三</w:t>
      </w:r>
      <w:r w:rsidRPr="00123108">
        <w:rPr>
          <w:rFonts w:cs="宋体" w:hint="eastAsia"/>
          <w:sz w:val="28"/>
        </w:rPr>
        <w:t>[2009]116</w:t>
      </w:r>
      <w:r w:rsidRPr="00123108">
        <w:rPr>
          <w:rFonts w:cs="宋体" w:hint="eastAsia"/>
          <w:sz w:val="28"/>
        </w:rPr>
        <w:t>号及《国家安全监管总局关于公布第二批重点监管危险化工工艺目录和调整首批重点监管危险化工工艺中部分典型工艺的通知》原安监总管三</w:t>
      </w:r>
      <w:r w:rsidRPr="00123108">
        <w:rPr>
          <w:rFonts w:cs="宋体" w:hint="eastAsia"/>
          <w:sz w:val="28"/>
        </w:rPr>
        <w:t>[2013]3</w:t>
      </w:r>
      <w:r w:rsidRPr="00123108">
        <w:rPr>
          <w:rFonts w:cs="宋体" w:hint="eastAsia"/>
          <w:sz w:val="28"/>
        </w:rPr>
        <w:t>号，本项目涉及重点监管的危险化工工艺为聚合工艺。</w:t>
      </w:r>
      <w:r w:rsidRPr="00123108">
        <w:rPr>
          <w:rFonts w:hint="eastAsia"/>
          <w:sz w:val="28"/>
          <w:szCs w:val="28"/>
        </w:rPr>
        <w:t>本项目聚合反应为水相反应，反应温度控制</w:t>
      </w:r>
      <w:r w:rsidRPr="00123108">
        <w:rPr>
          <w:rFonts w:ascii="宋体" w:hAnsi="宋体" w:cs="Arial" w:hint="eastAsia"/>
          <w:kern w:val="0"/>
          <w:sz w:val="28"/>
          <w:szCs w:val="28"/>
        </w:rPr>
        <w:t>88～9</w:t>
      </w:r>
      <w:r w:rsidRPr="00123108">
        <w:rPr>
          <w:rFonts w:ascii="宋体" w:hAnsi="宋体" w:cs="Arial"/>
          <w:kern w:val="0"/>
          <w:sz w:val="28"/>
          <w:szCs w:val="28"/>
        </w:rPr>
        <w:t>2</w:t>
      </w:r>
      <w:r w:rsidRPr="00123108">
        <w:rPr>
          <w:rFonts w:ascii="宋体" w:hAnsi="宋体" w:cs="Arial" w:hint="eastAsia"/>
          <w:kern w:val="0"/>
          <w:sz w:val="28"/>
          <w:szCs w:val="28"/>
        </w:rPr>
        <w:t>℃，小于100℃，且为常压反应，聚合反应乳化液中水含量大于50%%，该聚合工艺工艺风险相对较低。</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int="eastAsia"/>
          <w:sz w:val="28"/>
          <w:szCs w:val="28"/>
        </w:rPr>
        <w:t>（5）</w:t>
      </w:r>
      <w:r w:rsidRPr="00123108">
        <w:rPr>
          <w:rFonts w:ascii="宋体" w:hAnsi="宋体" w:cs="宋体" w:hint="eastAsia"/>
          <w:sz w:val="28"/>
          <w:szCs w:val="28"/>
        </w:rPr>
        <w:t>利用南京安元科技有限公司研制的定量风险评价软件对本项目整个厂区进行个人风险值和社会风险值计算分析，</w:t>
      </w:r>
      <w:r w:rsidRPr="00123108">
        <w:rPr>
          <w:rFonts w:ascii="宋体" w:hAnsi="宋体" w:cs="宋体" w:hint="eastAsia"/>
          <w:sz w:val="28"/>
        </w:rPr>
        <w:t>在3×10</w:t>
      </w:r>
      <w:r w:rsidRPr="00123108">
        <w:rPr>
          <w:rFonts w:ascii="宋体" w:hAnsi="宋体" w:cs="宋体" w:hint="eastAsia"/>
          <w:sz w:val="28"/>
          <w:vertAlign w:val="superscript"/>
        </w:rPr>
        <w:t>-5</w:t>
      </w:r>
      <w:r w:rsidRPr="00123108">
        <w:rPr>
          <w:rFonts w:ascii="宋体" w:hAnsi="宋体" w:cs="宋体" w:hint="eastAsia"/>
          <w:sz w:val="28"/>
        </w:rPr>
        <w:t>范围内不存在一般防护目标中的三类防护目标；在1×10</w:t>
      </w:r>
      <w:r w:rsidRPr="00123108">
        <w:rPr>
          <w:rFonts w:ascii="宋体" w:hAnsi="宋体" w:cs="宋体" w:hint="eastAsia"/>
          <w:sz w:val="28"/>
          <w:vertAlign w:val="superscript"/>
        </w:rPr>
        <w:t>-5</w:t>
      </w:r>
      <w:r w:rsidRPr="00123108">
        <w:rPr>
          <w:rFonts w:ascii="宋体" w:hAnsi="宋体" w:cs="宋体" w:hint="eastAsia"/>
          <w:sz w:val="28"/>
        </w:rPr>
        <w:t>范围内不存在一般防护目标中的二类防护目标；在3×10</w:t>
      </w:r>
      <w:r w:rsidRPr="00123108">
        <w:rPr>
          <w:rFonts w:ascii="宋体" w:hAnsi="宋体" w:cs="宋体" w:hint="eastAsia"/>
          <w:sz w:val="28"/>
          <w:vertAlign w:val="superscript"/>
        </w:rPr>
        <w:t>-6</w:t>
      </w:r>
      <w:r w:rsidRPr="00123108">
        <w:rPr>
          <w:rFonts w:ascii="宋体" w:hAnsi="宋体" w:cs="宋体" w:hint="eastAsia"/>
          <w:sz w:val="28"/>
        </w:rPr>
        <w:t>范围内不存在高敏感防护目标、重要防护目标、一般防护目标中的一类防护目标。因此个人风险满足</w:t>
      </w:r>
      <w:r w:rsidRPr="00123108">
        <w:rPr>
          <w:rFonts w:ascii="宋体" w:hAnsi="宋体" w:cs="宋体" w:hint="eastAsia"/>
          <w:sz w:val="28"/>
          <w:szCs w:val="28"/>
        </w:rPr>
        <w:t>《危险化学品生产装置和储存设施风险基准》GB 36894-2018的规定。</w:t>
      </w:r>
      <w:r w:rsidRPr="00123108">
        <w:rPr>
          <w:rFonts w:ascii="宋体" w:hAnsi="宋体" w:cs="宋体" w:hint="eastAsia"/>
          <w:sz w:val="28"/>
        </w:rPr>
        <w:t>企业的社会风险在可接受区，因此社会风险满足</w:t>
      </w:r>
      <w:r w:rsidRPr="00123108">
        <w:rPr>
          <w:rFonts w:ascii="宋体" w:hAnsi="宋体" w:cs="宋体" w:hint="eastAsia"/>
          <w:sz w:val="28"/>
          <w:szCs w:val="28"/>
        </w:rPr>
        <w:t>《危险化学品生产装置和储存设施风险基准》GB 36894-2018的规定。</w:t>
      </w:r>
    </w:p>
    <w:p w:rsidR="004F34D9" w:rsidRPr="00123108" w:rsidRDefault="004F34D9" w:rsidP="00D06780">
      <w:pPr>
        <w:spacing w:line="500" w:lineRule="exact"/>
        <w:ind w:firstLineChars="200" w:firstLine="560"/>
        <w:rPr>
          <w:rFonts w:ascii="宋体" w:hAnsi="宋体" w:hint="eastAsia"/>
          <w:sz w:val="28"/>
          <w:szCs w:val="28"/>
        </w:rPr>
      </w:pPr>
      <w:r w:rsidRPr="00123108">
        <w:rPr>
          <w:rFonts w:ascii="宋体" w:hAnsi="宋体" w:cs="宋体" w:hint="eastAsia"/>
          <w:sz w:val="28"/>
          <w:szCs w:val="28"/>
        </w:rPr>
        <w:t>（6）</w:t>
      </w:r>
      <w:r w:rsidRPr="00123108">
        <w:rPr>
          <w:rFonts w:ascii="宋体" w:hAnsi="宋体" w:cs="宋体" w:hint="eastAsia"/>
          <w:sz w:val="28"/>
        </w:rPr>
        <w:t>依据《石油化工企业设计防火规范》国家标准管理组2015年1月</w:t>
      </w:r>
      <w:r w:rsidRPr="00123108">
        <w:rPr>
          <w:rFonts w:ascii="宋体" w:hAnsi="宋体" w:cs="宋体" w:hint="eastAsia"/>
          <w:sz w:val="28"/>
        </w:rPr>
        <w:lastRenderedPageBreak/>
        <w:t>21日函复：“新桥化工生产工艺、原料及产品均属于石油化工的范畴，但该项目生产工艺简单、工艺过程为间歇反应，工艺操作条件缓和、产品为可发性聚苯乙烯固体，工艺设备以厂房布置为主，且其已安全生产二十余年。若该项目不再改扩建，且其消防设施配置满足《建规》GB50016-2006的规定，同时，企业在安全、检维修等方面采取加强措施，建议其仍按《建规》执行”。因此，本项目企业内建构物见防火间距检查依据现行《建筑设计防火规范》GB50016-2014(2018版)，存在问题：“</w:t>
      </w:r>
      <w:r w:rsidRPr="00123108">
        <w:rPr>
          <w:rFonts w:ascii="宋体" w:hAnsi="宋体"/>
          <w:sz w:val="28"/>
          <w:szCs w:val="28"/>
        </w:rPr>
        <w:t>二甲苯</w:t>
      </w:r>
      <w:r w:rsidR="0026546B" w:rsidRPr="00123108">
        <w:rPr>
          <w:rFonts w:ascii="宋体" w:hAnsi="宋体" w:hint="eastAsia"/>
          <w:sz w:val="28"/>
          <w:szCs w:val="28"/>
        </w:rPr>
        <w:t>储罐</w:t>
      </w:r>
      <w:r w:rsidRPr="00123108">
        <w:rPr>
          <w:rFonts w:ascii="宋体" w:hAnsi="宋体" w:hint="eastAsia"/>
          <w:sz w:val="28"/>
          <w:szCs w:val="28"/>
        </w:rPr>
        <w:t>与主要道路及与冷库防火间距不足；B筛析部与四号仓库防火间距不足”，企业已完成整改。</w:t>
      </w:r>
    </w:p>
    <w:p w:rsidR="004F34D9" w:rsidRPr="00123108" w:rsidRDefault="004F34D9" w:rsidP="00D06780">
      <w:pPr>
        <w:pStyle w:val="aff4"/>
        <w:shd w:val="clear" w:color="auto" w:fill="FFFFFF"/>
        <w:spacing w:before="0" w:beforeAutospacing="0" w:after="0" w:afterAutospacing="0" w:line="500" w:lineRule="exact"/>
        <w:ind w:firstLineChars="200" w:firstLine="560"/>
        <w:jc w:val="both"/>
        <w:rPr>
          <w:rFonts w:cs="宋体" w:hint="eastAsia"/>
          <w:sz w:val="28"/>
          <w:szCs w:val="28"/>
          <w:shd w:val="clear" w:color="auto" w:fill="FFFFFF"/>
        </w:rPr>
      </w:pPr>
      <w:r w:rsidRPr="00123108">
        <w:rPr>
          <w:rFonts w:hint="eastAsia"/>
          <w:sz w:val="28"/>
          <w:szCs w:val="28"/>
        </w:rPr>
        <w:t>（7）</w:t>
      </w:r>
      <w:r w:rsidRPr="00123108">
        <w:rPr>
          <w:rFonts w:cs="宋体" w:hint="eastAsia"/>
          <w:sz w:val="28"/>
          <w:szCs w:val="28"/>
          <w:shd w:val="clear" w:color="auto" w:fill="FFFFFF"/>
        </w:rPr>
        <w:t>新桥化工一期</w:t>
      </w:r>
      <w:r w:rsidR="00960EBE" w:rsidRPr="00123108">
        <w:rPr>
          <w:rFonts w:cs="宋体" w:hint="eastAsia"/>
          <w:sz w:val="28"/>
          <w:szCs w:val="28"/>
          <w:shd w:val="clear" w:color="auto" w:fill="FFFFFF"/>
          <w:lang w:eastAsia="zh-CN"/>
        </w:rPr>
        <w:t>始建</w:t>
      </w:r>
      <w:r w:rsidRPr="00123108">
        <w:rPr>
          <w:rFonts w:cs="宋体" w:hint="eastAsia"/>
          <w:sz w:val="28"/>
          <w:szCs w:val="28"/>
          <w:shd w:val="clear" w:color="auto" w:fill="FFFFFF"/>
        </w:rPr>
        <w:t>于</w:t>
      </w:r>
      <w:r w:rsidRPr="00123108">
        <w:rPr>
          <w:rFonts w:hint="eastAsia"/>
          <w:sz w:val="28"/>
          <w:szCs w:val="28"/>
        </w:rPr>
        <w:t>1</w:t>
      </w:r>
      <w:r w:rsidRPr="00123108">
        <w:rPr>
          <w:sz w:val="28"/>
          <w:szCs w:val="28"/>
        </w:rPr>
        <w:t>990</w:t>
      </w:r>
      <w:r w:rsidRPr="00123108">
        <w:rPr>
          <w:rFonts w:hint="eastAsia"/>
          <w:sz w:val="28"/>
          <w:szCs w:val="28"/>
        </w:rPr>
        <w:t>年投入使用，二期于1998年</w:t>
      </w:r>
      <w:r w:rsidR="00960EBE" w:rsidRPr="00123108">
        <w:rPr>
          <w:rFonts w:hint="eastAsia"/>
          <w:sz w:val="28"/>
          <w:szCs w:val="28"/>
          <w:lang w:eastAsia="zh-CN"/>
        </w:rPr>
        <w:t>开始</w:t>
      </w:r>
      <w:r w:rsidRPr="00123108">
        <w:rPr>
          <w:rFonts w:hint="eastAsia"/>
          <w:sz w:val="28"/>
          <w:szCs w:val="28"/>
        </w:rPr>
        <w:t>建设，运行时间均已超过20年，为Ⅲ</w:t>
      </w:r>
      <w:r w:rsidRPr="00123108">
        <w:rPr>
          <w:sz w:val="28"/>
          <w:szCs w:val="28"/>
        </w:rPr>
        <w:t>类老旧装置</w:t>
      </w:r>
      <w:r w:rsidRPr="00123108">
        <w:rPr>
          <w:rFonts w:hint="eastAsia"/>
          <w:sz w:val="28"/>
          <w:szCs w:val="28"/>
        </w:rPr>
        <w:t>，已于2022年8月由浙江省应急厅组织的专家  进行检查，并出具</w:t>
      </w:r>
      <w:r w:rsidRPr="00123108">
        <w:rPr>
          <w:rFonts w:cs="宋体" w:hint="eastAsia"/>
          <w:sz w:val="28"/>
          <w:szCs w:val="28"/>
          <w:shd w:val="clear" w:color="auto" w:fill="FFFFFF"/>
        </w:rPr>
        <w:t>老旧装置（一装置一策）评估报告，企业已对该评估报告提出的问题全部完成整改。</w:t>
      </w:r>
    </w:p>
    <w:p w:rsidR="004F34D9" w:rsidRPr="00123108" w:rsidRDefault="004F34D9" w:rsidP="00D06780">
      <w:pPr>
        <w:spacing w:line="500" w:lineRule="exact"/>
        <w:ind w:firstLineChars="200" w:firstLine="560"/>
        <w:rPr>
          <w:rFonts w:ascii="宋体" w:hAnsi="宋体" w:cs="宋体" w:hint="eastAsia"/>
          <w:bCs/>
          <w:kern w:val="44"/>
          <w:sz w:val="28"/>
        </w:rPr>
      </w:pPr>
      <w:r w:rsidRPr="00123108">
        <w:rPr>
          <w:rFonts w:ascii="宋体" w:hAnsi="宋体" w:cs="宋体" w:hint="eastAsia"/>
          <w:bCs/>
          <w:kern w:val="44"/>
          <w:sz w:val="28"/>
        </w:rPr>
        <w:t>（11）该企业对于评价报告要求的整改措施，均已整改完毕，符合危险化学品安全生产许可证换证审查条件。</w:t>
      </w:r>
    </w:p>
    <w:p w:rsidR="004F34D9" w:rsidRPr="00123108" w:rsidRDefault="004F34D9">
      <w:pPr>
        <w:spacing w:line="360" w:lineRule="auto"/>
        <w:ind w:firstLineChars="200" w:firstLine="560"/>
        <w:rPr>
          <w:rFonts w:ascii="宋体" w:hAnsi="宋体" w:cs="宋体" w:hint="eastAsia"/>
          <w:bCs/>
          <w:kern w:val="44"/>
          <w:sz w:val="28"/>
        </w:rPr>
      </w:pPr>
    </w:p>
    <w:p w:rsidR="004F34D9" w:rsidRPr="00123108" w:rsidRDefault="004F34D9">
      <w:pPr>
        <w:spacing w:line="360" w:lineRule="auto"/>
        <w:ind w:firstLineChars="200" w:firstLine="560"/>
        <w:rPr>
          <w:rFonts w:ascii="宋体" w:hAnsi="宋体" w:cs="宋体"/>
          <w:bCs/>
          <w:kern w:val="44"/>
          <w:sz w:val="28"/>
        </w:rPr>
        <w:sectPr w:rsidR="004F34D9" w:rsidRPr="00123108">
          <w:type w:val="nextColumn"/>
          <w:pgSz w:w="11907" w:h="16840"/>
          <w:pgMar w:top="1418" w:right="1134" w:bottom="1134" w:left="1588" w:header="851" w:footer="992" w:gutter="0"/>
          <w:paperSrc w:first="7" w:other="7"/>
          <w:cols w:space="720"/>
          <w:docGrid w:linePitch="437" w:charSpace="4301"/>
        </w:sectPr>
      </w:pPr>
    </w:p>
    <w:p w:rsidR="004F34D9" w:rsidRPr="00123108" w:rsidRDefault="004F34D9" w:rsidP="00A23D55">
      <w:pPr>
        <w:pStyle w:val="1"/>
        <w:spacing w:beforeLines="0" w:before="0" w:afterLines="0" w:after="0" w:line="500" w:lineRule="exact"/>
        <w:rPr>
          <w:rFonts w:ascii="宋体" w:eastAsia="宋体" w:cs="宋体" w:hint="eastAsia"/>
          <w:spacing w:val="-4"/>
        </w:rPr>
      </w:pPr>
      <w:bookmarkStart w:id="1270" w:name="_Toc190935838"/>
      <w:r w:rsidRPr="00123108">
        <w:rPr>
          <w:rFonts w:ascii="宋体" w:eastAsia="宋体" w:cs="宋体" w:hint="eastAsia"/>
          <w:spacing w:val="-4"/>
        </w:rPr>
        <w:lastRenderedPageBreak/>
        <w:t>10  评价单位与建设单位交换意见</w:t>
      </w:r>
      <w:bookmarkEnd w:id="1270"/>
    </w:p>
    <w:p w:rsidR="004F34D9" w:rsidRPr="00123108" w:rsidRDefault="004F34D9">
      <w:pPr>
        <w:spacing w:line="360" w:lineRule="auto"/>
        <w:ind w:firstLine="435"/>
        <w:jc w:val="center"/>
        <w:rPr>
          <w:rFonts w:ascii="黑体" w:eastAsia="黑体" w:hAnsi="黑体" w:cs="宋体" w:hint="eastAsia"/>
          <w:b/>
          <w:sz w:val="28"/>
          <w:szCs w:val="28"/>
          <w:lang w:val="zh-CN"/>
        </w:rPr>
      </w:pPr>
      <w:r w:rsidRPr="00123108">
        <w:rPr>
          <w:rFonts w:ascii="黑体" w:eastAsia="黑体" w:hAnsi="黑体" w:cs="宋体" w:hint="eastAsia"/>
          <w:b/>
          <w:sz w:val="28"/>
          <w:szCs w:val="28"/>
          <w:lang w:val="zh-CN"/>
        </w:rPr>
        <w:t>表</w:t>
      </w:r>
      <w:r w:rsidRPr="00123108">
        <w:rPr>
          <w:rFonts w:ascii="黑体" w:eastAsia="黑体" w:hAnsi="黑体" w:cs="宋体" w:hint="eastAsia"/>
          <w:b/>
          <w:sz w:val="28"/>
          <w:szCs w:val="28"/>
        </w:rPr>
        <w:t>10</w:t>
      </w:r>
      <w:r w:rsidRPr="00123108">
        <w:rPr>
          <w:rFonts w:ascii="黑体" w:eastAsia="黑体" w:hAnsi="黑体" w:cs="宋体" w:hint="eastAsia"/>
          <w:b/>
          <w:sz w:val="28"/>
          <w:szCs w:val="28"/>
          <w:lang w:val="zh-CN"/>
        </w:rPr>
        <w:t xml:space="preserve">.1-1 </w:t>
      </w:r>
      <w:r w:rsidRPr="00123108">
        <w:rPr>
          <w:rFonts w:ascii="黑体" w:eastAsia="黑体" w:hAnsi="黑体" w:cs="宋体" w:hint="eastAsia"/>
          <w:b/>
          <w:sz w:val="28"/>
          <w:szCs w:val="28"/>
        </w:rPr>
        <w:t xml:space="preserve"> </w:t>
      </w:r>
      <w:r w:rsidRPr="00123108">
        <w:rPr>
          <w:rFonts w:ascii="黑体" w:eastAsia="黑体" w:hAnsi="黑体" w:cs="宋体" w:hint="eastAsia"/>
          <w:b/>
          <w:sz w:val="28"/>
          <w:szCs w:val="28"/>
          <w:lang w:val="zh-CN"/>
        </w:rPr>
        <w:t>评价单位与建设单位交换意见表</w:t>
      </w:r>
    </w:p>
    <w:p w:rsidR="004F34D9" w:rsidRPr="00123108" w:rsidRDefault="004F34D9">
      <w:pPr>
        <w:spacing w:line="360" w:lineRule="auto"/>
        <w:ind w:firstLine="435"/>
        <w:jc w:val="center"/>
        <w:rPr>
          <w:rFonts w:ascii="宋体" w:hAnsi="宋体" w:cs="宋体"/>
          <w:b/>
          <w:sz w:val="28"/>
          <w:szCs w:val="28"/>
          <w:lang w:val="zh-CN"/>
        </w:rPr>
        <w:sectPr w:rsidR="004F34D9" w:rsidRPr="00123108">
          <w:pgSz w:w="11906" w:h="16838"/>
          <w:pgMar w:top="1417" w:right="1134" w:bottom="1134" w:left="1587" w:header="851" w:footer="992" w:gutter="0"/>
          <w:cols w:space="720"/>
          <w:docGrid w:type="lines" w:linePitch="312"/>
        </w:sectPr>
      </w:pPr>
    </w:p>
    <w:p w:rsidR="004F34D9" w:rsidRPr="00123108" w:rsidRDefault="004F34D9">
      <w:pPr>
        <w:pStyle w:val="1"/>
        <w:spacing w:beforeLines="0" w:before="0" w:afterLines="0" w:after="0" w:line="500" w:lineRule="exact"/>
        <w:rPr>
          <w:rFonts w:ascii="宋体" w:eastAsia="宋体" w:cs="宋体" w:hint="eastAsia"/>
          <w:spacing w:val="-4"/>
        </w:rPr>
      </w:pPr>
      <w:bookmarkStart w:id="1271" w:name="_Toc26012"/>
      <w:bookmarkStart w:id="1272" w:name="_Toc376"/>
      <w:bookmarkStart w:id="1273" w:name="_Toc6718"/>
      <w:bookmarkStart w:id="1274" w:name="_Toc30012"/>
      <w:bookmarkStart w:id="1275" w:name="_Toc3809080"/>
      <w:bookmarkStart w:id="1276" w:name="_Toc27511"/>
      <w:bookmarkStart w:id="1277" w:name="_Toc252533304"/>
      <w:bookmarkStart w:id="1278" w:name="_Toc25150"/>
      <w:bookmarkStart w:id="1279" w:name="_Toc245793531"/>
      <w:bookmarkStart w:id="1280" w:name="_Toc190935839"/>
      <w:r w:rsidRPr="00123108">
        <w:rPr>
          <w:rFonts w:ascii="宋体" w:eastAsia="宋体" w:cs="宋体" w:hint="eastAsia"/>
          <w:spacing w:val="-4"/>
        </w:rPr>
        <w:lastRenderedPageBreak/>
        <w:t>附件1  危险、有害因素分析过程</w:t>
      </w:r>
      <w:bookmarkEnd w:id="1271"/>
      <w:bookmarkEnd w:id="1272"/>
      <w:bookmarkEnd w:id="1273"/>
      <w:bookmarkEnd w:id="1274"/>
      <w:bookmarkEnd w:id="1275"/>
      <w:bookmarkEnd w:id="1276"/>
      <w:bookmarkEnd w:id="1277"/>
      <w:bookmarkEnd w:id="1278"/>
      <w:bookmarkEnd w:id="1279"/>
      <w:bookmarkEnd w:id="1280"/>
    </w:p>
    <w:bookmarkEnd w:id="688"/>
    <w:p w:rsidR="004F34D9" w:rsidRPr="00123108" w:rsidRDefault="004F34D9">
      <w:pPr>
        <w:spacing w:line="500" w:lineRule="exact"/>
        <w:ind w:firstLineChars="200" w:firstLine="560"/>
        <w:rPr>
          <w:rFonts w:ascii="宋体" w:hAnsi="宋体" w:cs="宋体" w:hint="eastAsia"/>
          <w:sz w:val="28"/>
        </w:rPr>
      </w:pPr>
      <w:r w:rsidRPr="00123108">
        <w:rPr>
          <w:rFonts w:ascii="宋体" w:hAnsi="宋体" w:cs="宋体" w:hint="eastAsia"/>
          <w:sz w:val="28"/>
        </w:rPr>
        <w:t>进行危险、有害因素分析的目的是通过对评价对象所处周围的环境，如地质、水文、气候、周边相邻单位等的影响，结合评价对象的具体工艺、设备、操作或作业的特点，使用和生产的原料、中间产品、最终产品、公用工程的供给方式，结合安全设施、安全管理等进行分析，找出那些可能对人造成意外伤害或对物造成突发性或慢性损害的原因，从而采取针对性的安全措施，以使这些危险、有害因素对人或物的风险降至可以接受的水平。</w:t>
      </w:r>
    </w:p>
    <w:p w:rsidR="004F34D9" w:rsidRPr="00123108" w:rsidRDefault="004F34D9" w:rsidP="00E36E64">
      <w:pPr>
        <w:pStyle w:val="2"/>
        <w:spacing w:line="500" w:lineRule="exact"/>
        <w:jc w:val="both"/>
        <w:rPr>
          <w:rFonts w:ascii="宋体" w:eastAsia="宋体" w:cs="宋体" w:hint="eastAsia"/>
          <w:sz w:val="28"/>
          <w:szCs w:val="28"/>
        </w:rPr>
      </w:pPr>
      <w:bookmarkStart w:id="1281" w:name="_Toc23532"/>
      <w:bookmarkStart w:id="1282" w:name="_Toc370"/>
      <w:bookmarkStart w:id="1283" w:name="_Toc9576"/>
      <w:bookmarkStart w:id="1284" w:name="_Toc434501625"/>
      <w:bookmarkStart w:id="1285" w:name="_Toc30160"/>
      <w:bookmarkStart w:id="1286" w:name="_Toc26726"/>
      <w:bookmarkStart w:id="1287" w:name="_Toc3809081"/>
      <w:bookmarkStart w:id="1288" w:name="_Toc15129"/>
      <w:bookmarkStart w:id="1289" w:name="_Toc190935840"/>
      <w:r w:rsidRPr="00123108">
        <w:rPr>
          <w:rFonts w:ascii="宋体" w:eastAsia="宋体" w:cs="宋体" w:hint="eastAsia"/>
          <w:sz w:val="28"/>
          <w:szCs w:val="28"/>
        </w:rPr>
        <w:t>附件1.1  物料固有的危险、有害因素分析</w:t>
      </w:r>
      <w:bookmarkEnd w:id="1281"/>
      <w:bookmarkEnd w:id="1282"/>
      <w:bookmarkEnd w:id="1283"/>
      <w:bookmarkEnd w:id="1284"/>
      <w:bookmarkEnd w:id="1285"/>
      <w:bookmarkEnd w:id="1286"/>
      <w:bookmarkEnd w:id="1287"/>
      <w:bookmarkEnd w:id="1288"/>
      <w:bookmarkEnd w:id="1289"/>
    </w:p>
    <w:p w:rsidR="004F34D9" w:rsidRPr="00123108" w:rsidRDefault="004F34D9">
      <w:pPr>
        <w:spacing w:line="500" w:lineRule="exact"/>
        <w:ind w:firstLineChars="200" w:firstLine="560"/>
        <w:rPr>
          <w:rFonts w:ascii="宋体" w:hAnsi="宋体" w:cs="宋体" w:hint="eastAsia"/>
          <w:sz w:val="28"/>
        </w:rPr>
      </w:pPr>
      <w:r w:rsidRPr="00123108">
        <w:rPr>
          <w:rFonts w:ascii="宋体" w:hAnsi="宋体" w:cs="宋体" w:hint="eastAsia"/>
          <w:sz w:val="28"/>
        </w:rPr>
        <w:t>本项目生产过程中涉及的产品及原辅料见2.4章节。</w:t>
      </w:r>
    </w:p>
    <w:p w:rsidR="004C686A" w:rsidRDefault="004F34D9" w:rsidP="004C686A">
      <w:pPr>
        <w:spacing w:line="500" w:lineRule="exact"/>
        <w:jc w:val="center"/>
        <w:rPr>
          <w:rFonts w:ascii="宋体" w:hAnsi="宋体"/>
          <w:b/>
          <w:bCs/>
          <w:sz w:val="28"/>
          <w:szCs w:val="28"/>
        </w:rPr>
      </w:pPr>
      <w:r w:rsidRPr="00123108">
        <w:rPr>
          <w:rFonts w:ascii="宋体" w:hAnsi="宋体" w:hint="eastAsia"/>
          <w:sz w:val="28"/>
        </w:rPr>
        <w:t>本项目涉及的物料</w:t>
      </w:r>
      <w:r w:rsidR="004C686A">
        <w:rPr>
          <w:rFonts w:ascii="宋体" w:hAnsi="宋体" w:hint="eastAsia"/>
          <w:b/>
          <w:sz w:val="28"/>
          <w:szCs w:val="28"/>
        </w:rPr>
        <w:t>涉及企业机密，不予公开。</w:t>
      </w:r>
    </w:p>
    <w:p w:rsidR="004F34D9" w:rsidRPr="00123108" w:rsidRDefault="004F34D9">
      <w:pPr>
        <w:spacing w:line="500" w:lineRule="exact"/>
        <w:ind w:firstLine="561"/>
        <w:rPr>
          <w:rFonts w:ascii="宋体" w:hAnsi="宋体" w:hint="eastAsia"/>
          <w:sz w:val="28"/>
        </w:rPr>
      </w:pPr>
      <w:r w:rsidRPr="00123108">
        <w:rPr>
          <w:rFonts w:ascii="宋体" w:hAnsi="宋体" w:hint="eastAsia"/>
          <w:sz w:val="28"/>
        </w:rPr>
        <w:t>根据</w:t>
      </w:r>
      <w:r w:rsidRPr="00123108">
        <w:rPr>
          <w:rFonts w:ascii="宋体" w:hAnsi="宋体" w:cs="宋体" w:hint="eastAsia"/>
          <w:sz w:val="28"/>
          <w:szCs w:val="28"/>
        </w:rPr>
        <w:t>《首批重点监管的危险化学品名录》（原安监总管三〔2011〕95号）</w:t>
      </w:r>
      <w:r w:rsidRPr="00123108">
        <w:rPr>
          <w:rFonts w:ascii="宋体" w:hAnsi="宋体" w:hint="eastAsia"/>
          <w:sz w:val="28"/>
        </w:rPr>
        <w:t>、</w:t>
      </w:r>
      <w:r w:rsidRPr="00123108">
        <w:rPr>
          <w:rFonts w:ascii="宋体" w:hAnsi="宋体" w:cs="宋体" w:hint="eastAsia"/>
          <w:sz w:val="28"/>
          <w:szCs w:val="28"/>
        </w:rPr>
        <w:t>《国家安全监管总局关于公布第二批重点监管危险化学品名录的通知》（原安监总管三〔2013〕12号），苯乙烯、</w:t>
      </w:r>
      <w:r w:rsidRPr="00123108">
        <w:rPr>
          <w:rFonts w:ascii="宋体" w:hAnsi="宋体" w:hint="eastAsia"/>
          <w:sz w:val="28"/>
          <w:szCs w:val="28"/>
        </w:rPr>
        <w:t>过氧化苯甲酰和过氧化苯甲酸叔丁酯为</w:t>
      </w:r>
      <w:r w:rsidRPr="00123108">
        <w:rPr>
          <w:rFonts w:ascii="宋体" w:hAnsi="宋体" w:cs="宋体" w:hint="eastAsia"/>
          <w:sz w:val="28"/>
          <w:szCs w:val="28"/>
        </w:rPr>
        <w:t>重点监管危险化学品。</w:t>
      </w:r>
    </w:p>
    <w:p w:rsidR="004F34D9" w:rsidRPr="00123108" w:rsidRDefault="004F34D9">
      <w:pPr>
        <w:spacing w:line="500" w:lineRule="exact"/>
        <w:ind w:firstLine="561"/>
        <w:rPr>
          <w:rFonts w:ascii="宋体" w:hAnsi="宋体" w:hint="eastAsia"/>
          <w:sz w:val="28"/>
        </w:rPr>
      </w:pPr>
      <w:r w:rsidRPr="00123108">
        <w:rPr>
          <w:rFonts w:ascii="宋体" w:hAnsi="宋体" w:cs="宋体" w:hint="eastAsia"/>
          <w:sz w:val="28"/>
          <w:szCs w:val="28"/>
        </w:rPr>
        <w:t>根据</w:t>
      </w:r>
      <w:r w:rsidRPr="00123108">
        <w:rPr>
          <w:rFonts w:ascii="宋体" w:hAnsi="宋体" w:hint="eastAsia"/>
          <w:sz w:val="28"/>
        </w:rPr>
        <w:t>《易制毒化学品的分类和品种目录》</w:t>
      </w:r>
      <w:r w:rsidRPr="00123108">
        <w:rPr>
          <w:rFonts w:ascii="宋体" w:hAnsi="宋体" w:cs="宋体" w:hint="eastAsia"/>
          <w:sz w:val="28"/>
          <w:szCs w:val="28"/>
        </w:rPr>
        <w:t>，</w:t>
      </w:r>
      <w:r w:rsidRPr="00123108">
        <w:rPr>
          <w:rFonts w:ascii="宋体" w:hAnsi="宋体" w:hint="eastAsia"/>
          <w:sz w:val="28"/>
        </w:rPr>
        <w:t>盐酸属于第三类易制毒化学品。</w:t>
      </w:r>
    </w:p>
    <w:p w:rsidR="004F34D9" w:rsidRPr="00123108" w:rsidRDefault="004F34D9">
      <w:pPr>
        <w:spacing w:line="500" w:lineRule="exact"/>
        <w:ind w:firstLine="561"/>
        <w:rPr>
          <w:rFonts w:ascii="宋体" w:hAnsi="宋体" w:hint="eastAsia"/>
          <w:sz w:val="28"/>
        </w:rPr>
      </w:pPr>
      <w:r w:rsidRPr="00123108">
        <w:rPr>
          <w:rFonts w:ascii="宋体" w:hAnsi="宋体" w:cs="宋体" w:hint="eastAsia"/>
          <w:sz w:val="28"/>
        </w:rPr>
        <w:t>根据《易制爆危险化学品名录》（2017年版），</w:t>
      </w:r>
      <w:r w:rsidRPr="00123108">
        <w:rPr>
          <w:rFonts w:ascii="宋体" w:hAnsi="宋体" w:hint="eastAsia"/>
          <w:sz w:val="28"/>
          <w:szCs w:val="28"/>
        </w:rPr>
        <w:t>过氧化二异丙苯为易制爆危险化学品。</w:t>
      </w:r>
    </w:p>
    <w:p w:rsidR="004F34D9" w:rsidRPr="00123108" w:rsidRDefault="004F34D9">
      <w:pPr>
        <w:spacing w:line="500" w:lineRule="exact"/>
        <w:ind w:firstLine="561"/>
        <w:rPr>
          <w:rFonts w:ascii="宋体" w:hAnsi="宋体" w:hint="eastAsia"/>
          <w:sz w:val="28"/>
        </w:rPr>
      </w:pPr>
      <w:r w:rsidRPr="00123108">
        <w:rPr>
          <w:rFonts w:ascii="宋体" w:hAnsi="宋体" w:hint="eastAsia"/>
          <w:sz w:val="28"/>
        </w:rPr>
        <w:t>根据</w:t>
      </w:r>
      <w:r w:rsidRPr="00123108">
        <w:rPr>
          <w:rFonts w:ascii="宋体" w:hAnsi="宋体" w:hint="eastAsia"/>
          <w:sz w:val="28"/>
          <w:lang w:val="zh-CN"/>
        </w:rPr>
        <w:t>《高毒物品目录》卫法监发[2003]142号</w:t>
      </w:r>
      <w:r w:rsidRPr="00123108">
        <w:rPr>
          <w:rFonts w:ascii="宋体" w:hAnsi="宋体" w:hint="eastAsia"/>
          <w:sz w:val="28"/>
        </w:rPr>
        <w:t>，本项目不涉及</w:t>
      </w:r>
      <w:r w:rsidRPr="00123108">
        <w:rPr>
          <w:rFonts w:ascii="宋体" w:hAnsi="宋体" w:hint="eastAsia"/>
          <w:sz w:val="28"/>
          <w:lang w:val="zh-CN"/>
        </w:rPr>
        <w:t>高毒物品</w:t>
      </w:r>
      <w:r w:rsidRPr="00123108">
        <w:rPr>
          <w:rFonts w:ascii="宋体" w:hAnsi="宋体" w:hint="eastAsia"/>
          <w:sz w:val="28"/>
        </w:rPr>
        <w:t>。</w:t>
      </w:r>
    </w:p>
    <w:p w:rsidR="004F34D9" w:rsidRPr="00123108" w:rsidRDefault="004F34D9">
      <w:pPr>
        <w:spacing w:line="500" w:lineRule="exact"/>
        <w:ind w:firstLine="561"/>
        <w:rPr>
          <w:rFonts w:hAnsi="宋体" w:cs="宋体" w:hint="eastAsia"/>
          <w:sz w:val="28"/>
        </w:rPr>
      </w:pPr>
      <w:r w:rsidRPr="00123108">
        <w:rPr>
          <w:rFonts w:ascii="宋体" w:hAnsi="宋体" w:cs="宋体" w:hint="eastAsia"/>
          <w:sz w:val="28"/>
        </w:rPr>
        <w:t>根据《危险化学品目录》</w:t>
      </w:r>
      <w:r w:rsidRPr="00123108">
        <w:rPr>
          <w:rFonts w:ascii="宋体" w:hAnsi="宋体" w:hint="eastAsia"/>
          <w:sz w:val="28"/>
        </w:rPr>
        <w:t>（2015版）原</w:t>
      </w:r>
      <w:r w:rsidRPr="00123108">
        <w:rPr>
          <w:rFonts w:ascii="宋体" w:hAnsi="宋体" w:hint="eastAsia"/>
          <w:sz w:val="28"/>
          <w:lang w:val="zh-CN"/>
        </w:rPr>
        <w:t>国家安全生产监督管理总局</w:t>
      </w:r>
      <w:r w:rsidRPr="00123108">
        <w:rPr>
          <w:rFonts w:ascii="宋体" w:hAnsi="宋体" w:hint="eastAsia"/>
          <w:sz w:val="28"/>
        </w:rPr>
        <w:t>等部局公告2015年第5号（2022年第8号修改），本项目不涉及</w:t>
      </w:r>
      <w:r w:rsidRPr="00123108">
        <w:rPr>
          <w:rFonts w:ascii="宋体" w:hAnsi="宋体" w:cs="宋体" w:hint="eastAsia"/>
          <w:sz w:val="28"/>
        </w:rPr>
        <w:t>剧毒品</w:t>
      </w:r>
      <w:r w:rsidRPr="00123108">
        <w:rPr>
          <w:rFonts w:hAnsi="宋体" w:cs="宋体" w:hint="eastAsia"/>
          <w:sz w:val="28"/>
        </w:rPr>
        <w:t>。</w:t>
      </w:r>
    </w:p>
    <w:p w:rsidR="004F34D9" w:rsidRPr="00123108" w:rsidRDefault="004F34D9">
      <w:pPr>
        <w:spacing w:line="500" w:lineRule="exact"/>
        <w:ind w:firstLine="561"/>
        <w:rPr>
          <w:rFonts w:ascii="宋体" w:hAnsi="宋体" w:cs="宋体" w:hint="eastAsia"/>
          <w:sz w:val="28"/>
        </w:rPr>
      </w:pPr>
      <w:r w:rsidRPr="00123108">
        <w:rPr>
          <w:rFonts w:hAnsi="宋体" w:cs="宋体" w:hint="eastAsia"/>
          <w:sz w:val="28"/>
        </w:rPr>
        <w:t>根据</w:t>
      </w:r>
      <w:r w:rsidRPr="00123108">
        <w:rPr>
          <w:rFonts w:ascii="宋体" w:hAnsi="宋体" w:cs="宋体" w:hint="eastAsia"/>
          <w:sz w:val="28"/>
        </w:rPr>
        <w:t>《各类监控化学品名录》，本项目不涉及监控化学品。</w:t>
      </w:r>
    </w:p>
    <w:p w:rsidR="004F34D9" w:rsidRPr="00123108" w:rsidRDefault="004F34D9">
      <w:pPr>
        <w:spacing w:line="500" w:lineRule="exact"/>
        <w:ind w:firstLineChars="200" w:firstLine="560"/>
        <w:rPr>
          <w:rFonts w:ascii="宋体" w:hAnsi="宋体" w:hint="eastAsia"/>
          <w:sz w:val="28"/>
        </w:rPr>
      </w:pPr>
      <w:r w:rsidRPr="00123108">
        <w:rPr>
          <w:rFonts w:ascii="宋体" w:hAnsi="宋体" w:hint="eastAsia"/>
          <w:sz w:val="28"/>
        </w:rPr>
        <w:t>根据《特别管控危险化学品目录》（第一版），本项目不涉及特别管控危险化学品。</w:t>
      </w:r>
    </w:p>
    <w:p w:rsidR="004F34D9" w:rsidRPr="00123108" w:rsidRDefault="004F34D9">
      <w:pPr>
        <w:spacing w:line="360" w:lineRule="auto"/>
        <w:ind w:firstLine="561"/>
        <w:rPr>
          <w:rFonts w:ascii="宋体" w:hAnsi="宋体" w:hint="eastAsia"/>
          <w:sz w:val="28"/>
        </w:rPr>
      </w:pPr>
      <w:r w:rsidRPr="00123108">
        <w:rPr>
          <w:rFonts w:ascii="宋体" w:hAnsi="宋体" w:hint="eastAsia"/>
          <w:sz w:val="28"/>
        </w:rPr>
        <w:t>根据企业提供的证明，表2.4-1中序号9-16</w:t>
      </w:r>
      <w:r w:rsidR="002932FE" w:rsidRPr="00123108">
        <w:rPr>
          <w:rFonts w:ascii="宋体" w:hAnsi="宋体" w:hint="eastAsia"/>
          <w:sz w:val="28"/>
        </w:rPr>
        <w:t>及17中的其他8种</w:t>
      </w:r>
      <w:r w:rsidRPr="00123108">
        <w:rPr>
          <w:rFonts w:ascii="宋体" w:hAnsi="宋体" w:hint="eastAsia"/>
          <w:sz w:val="28"/>
        </w:rPr>
        <w:t>辅料为非危险化学品。</w:t>
      </w:r>
    </w:p>
    <w:p w:rsidR="004F34D9" w:rsidRPr="00123108" w:rsidRDefault="004F34D9">
      <w:pPr>
        <w:spacing w:line="360" w:lineRule="auto"/>
        <w:ind w:firstLineChars="200" w:firstLine="560"/>
        <w:rPr>
          <w:rFonts w:ascii="宋体" w:hAnsi="宋体" w:cs="宋体" w:hint="eastAsia"/>
          <w:kern w:val="20"/>
          <w:sz w:val="28"/>
        </w:rPr>
      </w:pPr>
    </w:p>
    <w:p w:rsidR="004F34D9" w:rsidRPr="00123108" w:rsidRDefault="004F34D9">
      <w:pPr>
        <w:jc w:val="center"/>
        <w:rPr>
          <w:rFonts w:ascii="宋体" w:hAnsi="宋体" w:cs="宋体" w:hint="eastAsia"/>
          <w:b/>
          <w:sz w:val="28"/>
        </w:rPr>
        <w:sectPr w:rsidR="004F34D9" w:rsidRPr="00123108">
          <w:pgSz w:w="11906" w:h="16838"/>
          <w:pgMar w:top="1417" w:right="1134" w:bottom="1134" w:left="1587" w:header="851" w:footer="992" w:gutter="0"/>
          <w:cols w:space="720"/>
          <w:docGrid w:type="lines" w:linePitch="312"/>
        </w:sectPr>
      </w:pPr>
    </w:p>
    <w:p w:rsidR="004F34D9" w:rsidRDefault="004F34D9">
      <w:pPr>
        <w:jc w:val="center"/>
        <w:rPr>
          <w:rFonts w:ascii="宋体" w:hAnsi="宋体" w:cs="宋体" w:hint="eastAsia"/>
          <w:b/>
          <w:sz w:val="28"/>
        </w:rPr>
      </w:pPr>
      <w:r w:rsidRPr="00123108">
        <w:rPr>
          <w:rFonts w:ascii="宋体" w:hAnsi="宋体" w:cs="宋体" w:hint="eastAsia"/>
          <w:b/>
          <w:sz w:val="28"/>
        </w:rPr>
        <w:lastRenderedPageBreak/>
        <w:t>附表1.1-1  危险化学品及其危险性类别一览表</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C686A" w:rsidRDefault="004C686A">
      <w:pPr>
        <w:jc w:val="center"/>
        <w:rPr>
          <w:rFonts w:ascii="宋体" w:hAnsi="宋体" w:cs="宋体" w:hint="eastAsia"/>
          <w:b/>
          <w:sz w:val="28"/>
        </w:rPr>
      </w:pPr>
    </w:p>
    <w:p w:rsidR="004F34D9" w:rsidRPr="00123108" w:rsidRDefault="004F34D9">
      <w:pPr>
        <w:spacing w:line="360" w:lineRule="auto"/>
        <w:ind w:firstLineChars="200" w:firstLine="480"/>
        <w:rPr>
          <w:rFonts w:ascii="宋体" w:hAnsi="宋体" w:cs="宋体" w:hint="eastAsia"/>
          <w:sz w:val="24"/>
        </w:rPr>
      </w:pPr>
    </w:p>
    <w:p w:rsidR="004F34D9" w:rsidRPr="00123108" w:rsidRDefault="004F34D9">
      <w:pPr>
        <w:keepLines/>
        <w:spacing w:line="360" w:lineRule="auto"/>
        <w:outlineLvl w:val="2"/>
        <w:rPr>
          <w:rFonts w:ascii="宋体" w:hAnsi="宋体" w:cs="宋体" w:hint="eastAsia"/>
          <w:bCs/>
          <w:sz w:val="24"/>
        </w:rPr>
        <w:sectPr w:rsidR="004F34D9" w:rsidRPr="00123108">
          <w:pgSz w:w="16838" w:h="11906" w:orient="landscape"/>
          <w:pgMar w:top="1440" w:right="1247" w:bottom="1440" w:left="1701" w:header="851" w:footer="992" w:gutter="0"/>
          <w:cols w:space="720"/>
          <w:docGrid w:type="lines" w:linePitch="312"/>
        </w:sectPr>
      </w:pPr>
    </w:p>
    <w:p w:rsidR="004F34D9" w:rsidRPr="00123108" w:rsidRDefault="004F34D9">
      <w:pPr>
        <w:spacing w:line="360" w:lineRule="auto"/>
        <w:ind w:firstLineChars="200" w:firstLine="560"/>
        <w:rPr>
          <w:rFonts w:ascii="宋体" w:hAnsi="宋体" w:hint="eastAsia"/>
          <w:sz w:val="28"/>
        </w:rPr>
      </w:pPr>
      <w:bookmarkStart w:id="1290" w:name="_Toc3809082"/>
      <w:r w:rsidRPr="00123108">
        <w:rPr>
          <w:rFonts w:ascii="宋体" w:hAnsi="宋体" w:hint="eastAsia"/>
          <w:sz w:val="28"/>
        </w:rPr>
        <w:lastRenderedPageBreak/>
        <w:t>（1）火灾、爆炸</w:t>
      </w:r>
      <w:bookmarkEnd w:id="1290"/>
    </w:p>
    <w:p w:rsidR="004F34D9" w:rsidRPr="00123108" w:rsidRDefault="004F34D9">
      <w:pPr>
        <w:spacing w:line="360" w:lineRule="auto"/>
        <w:ind w:firstLineChars="200" w:firstLine="560"/>
        <w:rPr>
          <w:rFonts w:ascii="宋体" w:hAnsi="宋体" w:hint="eastAsia"/>
          <w:sz w:val="28"/>
        </w:rPr>
      </w:pPr>
      <w:r w:rsidRPr="00123108">
        <w:rPr>
          <w:rFonts w:ascii="宋体" w:hAnsi="宋体" w:hint="eastAsia"/>
          <w:sz w:val="28"/>
        </w:rPr>
        <w:t>从附表1.1-1可知，本项目涉及的物料中戊烷、</w:t>
      </w:r>
      <w:r w:rsidRPr="00123108">
        <w:rPr>
          <w:rFonts w:ascii="宋体" w:hAnsi="宋体" w:hint="eastAsia"/>
          <w:sz w:val="28"/>
          <w:szCs w:val="28"/>
        </w:rPr>
        <w:t>过氧化苯甲酰、过氧化苯甲酸叔丁酯、过氧化二异丙苯</w:t>
      </w:r>
      <w:r w:rsidR="00814380" w:rsidRPr="00123108">
        <w:rPr>
          <w:rFonts w:ascii="宋体" w:hAnsi="宋体" w:hint="eastAsia"/>
          <w:sz w:val="28"/>
          <w:szCs w:val="28"/>
        </w:rPr>
        <w:t>、二甲苯</w:t>
      </w:r>
      <w:r w:rsidRPr="00123108">
        <w:rPr>
          <w:rFonts w:ascii="宋体" w:hAnsi="宋体" w:hint="eastAsia"/>
          <w:sz w:val="28"/>
        </w:rPr>
        <w:t>的火灾危险性类别为甲类；苯乙烯、</w:t>
      </w:r>
      <w:r w:rsidRPr="00123108">
        <w:rPr>
          <w:rFonts w:ascii="宋体" w:hAnsi="宋体"/>
          <w:sz w:val="28"/>
          <w:szCs w:val="28"/>
        </w:rPr>
        <w:t>D</w:t>
      </w:r>
      <w:r w:rsidRPr="00123108">
        <w:rPr>
          <w:rFonts w:ascii="宋体" w:hAnsi="宋体" w:hint="eastAsia"/>
          <w:sz w:val="28"/>
          <w:szCs w:val="28"/>
        </w:rPr>
        <w:t>-柠檬烯以及产品EPS</w:t>
      </w:r>
      <w:r w:rsidRPr="00123108">
        <w:rPr>
          <w:rFonts w:ascii="宋体" w:hAnsi="宋体" w:hint="eastAsia"/>
          <w:sz w:val="28"/>
        </w:rPr>
        <w:t>等的火灾危险性类别为乙类；柴油、以及辅料等的火灾危险性类别为丙类，易发生火灾、爆炸事故。</w:t>
      </w:r>
    </w:p>
    <w:p w:rsidR="004F34D9" w:rsidRPr="00123108" w:rsidRDefault="004F34D9">
      <w:pPr>
        <w:spacing w:line="360" w:lineRule="auto"/>
        <w:ind w:firstLineChars="200" w:firstLine="560"/>
        <w:jc w:val="left"/>
        <w:rPr>
          <w:rFonts w:ascii="宋体" w:hAnsi="宋体" w:hint="eastAsia"/>
          <w:sz w:val="28"/>
          <w:szCs w:val="28"/>
        </w:rPr>
      </w:pPr>
      <w:r w:rsidRPr="00123108">
        <w:rPr>
          <w:rFonts w:ascii="宋体" w:hAnsi="宋体" w:hint="eastAsia"/>
          <w:sz w:val="28"/>
          <w:szCs w:val="28"/>
        </w:rPr>
        <w:t>戊烷极易燃，其蒸气与空气可形成爆炸性混合物，遇明火、高热极易燃烧爆炸。与氧化剂接触发生强烈反应，甚至引起燃烧。液体比水轻，不溶于水，可随水漂流扩散到远处，遇明火即引起燃烧。在火场中，受热的容器有爆炸危险。其蒸气比空气重，能在较低处扩散到相当远的地方，遇火源会着火回燃。</w:t>
      </w:r>
    </w:p>
    <w:p w:rsidR="004F34D9" w:rsidRPr="00123108" w:rsidRDefault="004F34D9">
      <w:pPr>
        <w:spacing w:line="360" w:lineRule="auto"/>
        <w:ind w:firstLineChars="200" w:firstLine="560"/>
        <w:jc w:val="left"/>
        <w:rPr>
          <w:rFonts w:ascii="宋体" w:hAnsi="宋体" w:hint="eastAsia"/>
          <w:sz w:val="28"/>
          <w:szCs w:val="28"/>
        </w:rPr>
      </w:pPr>
      <w:r w:rsidRPr="00123108">
        <w:rPr>
          <w:rFonts w:ascii="宋体" w:hAnsi="宋体" w:hint="eastAsia"/>
          <w:sz w:val="28"/>
          <w:szCs w:val="28"/>
        </w:rPr>
        <w:t>苯乙烯蒸气与空气可形成爆炸性混合物，遇明火、高热或与氧化剂接触，有引起燃烧爆炸的危险。遇酸性催化剂如路易斯催化剂、齐格勒催化剂、硫酸、氯化铁、氯化铝等都能产生猛烈聚合，放出大量热量。其蒸气比空气重，能在较低处扩散到相当远的地方，遇火源会着火回燃。</w:t>
      </w:r>
    </w:p>
    <w:p w:rsidR="004F34D9" w:rsidRPr="00123108" w:rsidRDefault="004F34D9">
      <w:pPr>
        <w:spacing w:line="360" w:lineRule="auto"/>
        <w:ind w:firstLineChars="200" w:firstLine="560"/>
        <w:jc w:val="left"/>
        <w:rPr>
          <w:rFonts w:ascii="宋体" w:hAnsi="宋体" w:hint="eastAsia"/>
          <w:sz w:val="28"/>
          <w:szCs w:val="28"/>
        </w:rPr>
      </w:pPr>
      <w:r w:rsidRPr="00123108">
        <w:rPr>
          <w:rFonts w:ascii="宋体" w:hAnsi="宋体" w:hint="eastAsia"/>
          <w:sz w:val="28"/>
          <w:szCs w:val="28"/>
        </w:rPr>
        <w:t>过氧化苯甲酰</w:t>
      </w:r>
      <w:r w:rsidRPr="00123108">
        <w:rPr>
          <w:rFonts w:ascii="宋体" w:hAnsi="宋体"/>
          <w:sz w:val="28"/>
          <w:szCs w:val="28"/>
        </w:rPr>
        <w:t>干燥状态下非常易燃，遇热、摩擦、震动或杂质污染均能引起爆炸性分解。急剧加热时可发生爆炸。与强酸、强碱、硫化物、还原剂、聚合用助催化剂和促进剂如二甲基苯胺、胺类或金属环烷酸盐接触会发生剧烈反应。燃烧生成有害的一氧化碳</w:t>
      </w:r>
    </w:p>
    <w:p w:rsidR="004F34D9" w:rsidRPr="00123108" w:rsidRDefault="004F34D9">
      <w:pPr>
        <w:spacing w:line="360" w:lineRule="auto"/>
        <w:ind w:firstLineChars="200" w:firstLine="560"/>
        <w:jc w:val="left"/>
        <w:rPr>
          <w:rFonts w:ascii="宋体" w:hAnsi="宋体" w:hint="eastAsia"/>
          <w:sz w:val="28"/>
          <w:szCs w:val="28"/>
        </w:rPr>
      </w:pPr>
      <w:r w:rsidRPr="00123108">
        <w:rPr>
          <w:rFonts w:ascii="宋体" w:hAnsi="宋体"/>
          <w:sz w:val="28"/>
          <w:szCs w:val="28"/>
        </w:rPr>
        <w:t>过氧化苯甲酸叔丁酯易燃，其蒸气与空气可形成爆炸性混合物。干燥时经震动、撞击会引起爆炸。与还原剂、促进剂、有机物、易燃物、酸类或胺类物品接触会发生剧烈反应，有燃烧爆炸的危险。</w:t>
      </w:r>
    </w:p>
    <w:p w:rsidR="004F34D9" w:rsidRPr="00123108" w:rsidRDefault="004F34D9">
      <w:pPr>
        <w:spacing w:line="360" w:lineRule="auto"/>
        <w:ind w:firstLineChars="200" w:firstLine="560"/>
        <w:jc w:val="left"/>
        <w:rPr>
          <w:rFonts w:ascii="宋体" w:hAnsi="宋体" w:hint="eastAsia"/>
          <w:sz w:val="28"/>
          <w:szCs w:val="28"/>
        </w:rPr>
      </w:pPr>
      <w:r w:rsidRPr="00123108">
        <w:rPr>
          <w:rFonts w:hint="eastAsia"/>
          <w:sz w:val="28"/>
          <w:szCs w:val="28"/>
        </w:rPr>
        <w:t>过氧化二异丙苯遇禁配物和高温能迅速分解，如在狭窄空间会产生压力、分解产物易燃。</w:t>
      </w:r>
    </w:p>
    <w:p w:rsidR="004F34D9" w:rsidRPr="00123108" w:rsidRDefault="004F34D9">
      <w:pPr>
        <w:spacing w:line="360" w:lineRule="auto"/>
        <w:ind w:firstLineChars="200" w:firstLine="560"/>
        <w:jc w:val="left"/>
        <w:rPr>
          <w:rFonts w:ascii="宋体" w:hAnsi="宋体" w:hint="eastAsia"/>
          <w:sz w:val="28"/>
          <w:szCs w:val="28"/>
        </w:rPr>
      </w:pPr>
      <w:r w:rsidRPr="00123108">
        <w:rPr>
          <w:rFonts w:ascii="宋体" w:hAnsi="宋体" w:hint="eastAsia"/>
          <w:sz w:val="28"/>
          <w:szCs w:val="28"/>
        </w:rPr>
        <w:t>二甲苯易燃，其蒸气可与空气形成爆炸性混合物。遇明火、高热能引</w:t>
      </w:r>
      <w:r w:rsidRPr="00123108">
        <w:rPr>
          <w:rFonts w:ascii="宋体" w:hAnsi="宋体" w:hint="eastAsia"/>
          <w:sz w:val="28"/>
          <w:szCs w:val="28"/>
        </w:rPr>
        <w:lastRenderedPageBreak/>
        <w:t>起燃烧爆炸。与氧化剂能发生强烈反应。流速过快，容易产生和积聚静电。其蒸气比空气重，能在较低处扩散到相当远的地方，遇明火会引着回燃。</w:t>
      </w:r>
    </w:p>
    <w:p w:rsidR="004F34D9" w:rsidRPr="00123108" w:rsidRDefault="004F34D9">
      <w:pPr>
        <w:spacing w:line="360" w:lineRule="auto"/>
        <w:ind w:firstLineChars="200" w:firstLine="560"/>
        <w:jc w:val="left"/>
        <w:rPr>
          <w:rFonts w:ascii="宋体" w:hAnsi="宋体" w:hint="eastAsia"/>
          <w:sz w:val="28"/>
          <w:szCs w:val="28"/>
        </w:rPr>
      </w:pPr>
      <w:r w:rsidRPr="00123108">
        <w:rPr>
          <w:rFonts w:ascii="宋体" w:hAnsi="宋体" w:hint="eastAsia"/>
          <w:sz w:val="28"/>
          <w:szCs w:val="28"/>
        </w:rPr>
        <w:t>EPS颗粒中含有戊烷气体，</w:t>
      </w:r>
      <w:r w:rsidR="003D6E32" w:rsidRPr="00123108">
        <w:rPr>
          <w:rFonts w:ascii="宋体" w:hAnsi="宋体" w:hint="eastAsia"/>
          <w:sz w:val="28"/>
          <w:szCs w:val="28"/>
        </w:rPr>
        <w:t>若储存过程接触高温颗粒膨胀，这些戊烷气体逸失到空气中</w:t>
      </w:r>
      <w:r w:rsidRPr="00123108">
        <w:rPr>
          <w:rFonts w:ascii="宋体" w:hAnsi="宋体" w:hint="eastAsia"/>
          <w:sz w:val="28"/>
          <w:szCs w:val="28"/>
        </w:rPr>
        <w:t>，与空气能形成可燃爆性混合气体；EPS颗粒本身也属于可燃固体，遇明火会发生燃烧。</w:t>
      </w:r>
    </w:p>
    <w:p w:rsidR="004F34D9" w:rsidRPr="00123108" w:rsidRDefault="004F34D9">
      <w:pPr>
        <w:spacing w:line="500" w:lineRule="exact"/>
        <w:ind w:firstLineChars="200" w:firstLine="560"/>
        <w:rPr>
          <w:rFonts w:ascii="宋体" w:hAnsi="宋体"/>
          <w:sz w:val="28"/>
          <w:szCs w:val="28"/>
        </w:rPr>
      </w:pPr>
      <w:r w:rsidRPr="00123108">
        <w:rPr>
          <w:rFonts w:ascii="宋体" w:hAnsi="宋体" w:hint="eastAsia"/>
          <w:sz w:val="28"/>
          <w:szCs w:val="28"/>
        </w:rPr>
        <w:t>一种辅料</w:t>
      </w:r>
      <w:r w:rsidRPr="00123108">
        <w:rPr>
          <w:rFonts w:ascii="宋体" w:hAnsi="宋体" w:hint="eastAsia"/>
          <w:bCs/>
          <w:sz w:val="28"/>
          <w:szCs w:val="28"/>
        </w:rPr>
        <w:t>粉尘与空气混合可形成爆炸性混合物。燃烧可能产生溴化氢</w:t>
      </w:r>
      <w:r w:rsidRPr="00123108">
        <w:rPr>
          <w:rFonts w:ascii="宋体" w:hAnsi="宋体" w:cs="Arial"/>
          <w:bCs/>
          <w:sz w:val="28"/>
          <w:szCs w:val="28"/>
        </w:rPr>
        <w:t>(HBr)</w:t>
      </w:r>
      <w:r w:rsidRPr="00123108">
        <w:rPr>
          <w:rFonts w:ascii="宋体" w:hAnsi="宋体" w:hint="eastAsia"/>
          <w:bCs/>
          <w:sz w:val="28"/>
          <w:szCs w:val="28"/>
        </w:rPr>
        <w:t>、一氧化碳和二氧化碳。</w:t>
      </w:r>
    </w:p>
    <w:p w:rsidR="004F34D9" w:rsidRPr="00123108" w:rsidRDefault="004F34D9">
      <w:pPr>
        <w:spacing w:line="360" w:lineRule="auto"/>
        <w:ind w:firstLineChars="200" w:firstLine="560"/>
        <w:jc w:val="left"/>
        <w:rPr>
          <w:rFonts w:ascii="宋体" w:hAnsi="宋体" w:cs="宋体" w:hint="eastAsia"/>
          <w:sz w:val="28"/>
          <w:lang w:val="zh-CN"/>
        </w:rPr>
      </w:pPr>
      <w:r w:rsidRPr="00123108">
        <w:rPr>
          <w:rFonts w:ascii="宋体" w:hAnsi="宋体" w:hint="eastAsia"/>
          <w:sz w:val="28"/>
          <w:szCs w:val="28"/>
        </w:rPr>
        <w:t>柴油及其他</w:t>
      </w:r>
      <w:r w:rsidRPr="00123108">
        <w:rPr>
          <w:rFonts w:ascii="宋体" w:hAnsi="宋体" w:cs="宋体" w:hint="eastAsia"/>
          <w:sz w:val="28"/>
          <w:lang w:val="zh-CN"/>
        </w:rPr>
        <w:t>其他物料非危险化学品，也具有一定的可燃性。</w:t>
      </w:r>
    </w:p>
    <w:p w:rsidR="004F34D9" w:rsidRPr="00123108" w:rsidRDefault="004F34D9">
      <w:pPr>
        <w:spacing w:line="360" w:lineRule="auto"/>
        <w:ind w:firstLineChars="200" w:firstLine="560"/>
        <w:rPr>
          <w:rFonts w:ascii="宋体" w:hAnsi="宋体" w:hint="eastAsia"/>
          <w:sz w:val="28"/>
        </w:rPr>
      </w:pPr>
      <w:r w:rsidRPr="00123108">
        <w:rPr>
          <w:rFonts w:ascii="宋体" w:hAnsi="宋体" w:hint="eastAsia"/>
          <w:sz w:val="28"/>
        </w:rPr>
        <w:t>另外，压缩空气具有助燃性。</w:t>
      </w:r>
    </w:p>
    <w:p w:rsidR="004F34D9" w:rsidRPr="00123108" w:rsidRDefault="004F34D9">
      <w:pPr>
        <w:spacing w:line="360" w:lineRule="auto"/>
        <w:ind w:firstLineChars="200" w:firstLine="560"/>
        <w:rPr>
          <w:rFonts w:ascii="宋体" w:hAnsi="宋体" w:hint="eastAsia"/>
          <w:sz w:val="28"/>
        </w:rPr>
      </w:pPr>
      <w:r w:rsidRPr="00123108">
        <w:rPr>
          <w:rFonts w:ascii="宋体" w:hAnsi="宋体" w:hint="eastAsia"/>
          <w:sz w:val="28"/>
        </w:rPr>
        <w:t>（2）中毒、窒息</w:t>
      </w:r>
    </w:p>
    <w:p w:rsidR="004F34D9" w:rsidRPr="00123108" w:rsidRDefault="004F34D9">
      <w:pPr>
        <w:spacing w:line="360" w:lineRule="auto"/>
        <w:ind w:firstLineChars="200" w:firstLine="560"/>
        <w:rPr>
          <w:rFonts w:ascii="宋体" w:hAnsi="宋体" w:hint="eastAsia"/>
          <w:sz w:val="28"/>
        </w:rPr>
      </w:pPr>
      <w:r w:rsidRPr="00123108">
        <w:rPr>
          <w:rFonts w:ascii="宋体" w:hAnsi="宋体" w:hint="eastAsia"/>
          <w:sz w:val="28"/>
        </w:rPr>
        <w:t>由附表1.1-1可知道，本项目涉及的物料中苯乙烯、戊烷、二甲苯为Ⅲ级中度危害。其他为IV级轻度危害。</w:t>
      </w:r>
    </w:p>
    <w:p w:rsidR="004F34D9" w:rsidRPr="00123108" w:rsidRDefault="004F34D9">
      <w:pPr>
        <w:spacing w:line="500" w:lineRule="exact"/>
        <w:ind w:firstLineChars="200" w:firstLine="560"/>
        <w:rPr>
          <w:rFonts w:ascii="Arial" w:hAnsi="Arial" w:cs="Arial"/>
          <w:sz w:val="28"/>
          <w:szCs w:val="28"/>
          <w:shd w:val="clear" w:color="auto" w:fill="FFFFFF"/>
        </w:rPr>
      </w:pPr>
      <w:r w:rsidRPr="00123108">
        <w:rPr>
          <w:rFonts w:ascii="宋体" w:hAnsi="宋体" w:hint="eastAsia"/>
          <w:sz w:val="28"/>
          <w:szCs w:val="28"/>
        </w:rPr>
        <w:t>一种辅料</w:t>
      </w:r>
      <w:r w:rsidRPr="00123108">
        <w:rPr>
          <w:rFonts w:ascii="ˎ̥" w:hAnsi="ˎ̥" w:cs="宋体"/>
          <w:sz w:val="28"/>
          <w:szCs w:val="28"/>
        </w:rPr>
        <w:t>受高热分解产生有毒的硫化物烟气</w:t>
      </w:r>
      <w:r w:rsidRPr="00123108">
        <w:rPr>
          <w:rFonts w:ascii="Arial" w:hAnsi="Arial" w:cs="Arial"/>
          <w:sz w:val="28"/>
          <w:szCs w:val="28"/>
          <w:shd w:val="clear" w:color="auto" w:fill="FFFFFF"/>
        </w:rPr>
        <w:t>。</w:t>
      </w:r>
    </w:p>
    <w:p w:rsidR="004F34D9" w:rsidRPr="00123108" w:rsidRDefault="004F34D9">
      <w:pPr>
        <w:spacing w:line="500" w:lineRule="exact"/>
        <w:ind w:firstLineChars="200" w:firstLine="560"/>
        <w:jc w:val="left"/>
        <w:rPr>
          <w:rFonts w:ascii="宋体" w:hAnsi="宋体" w:hint="eastAsia"/>
          <w:sz w:val="28"/>
          <w:szCs w:val="28"/>
        </w:rPr>
      </w:pPr>
      <w:r w:rsidRPr="00123108">
        <w:rPr>
          <w:rFonts w:ascii="宋体" w:hAnsi="宋体" w:hint="eastAsia"/>
          <w:sz w:val="28"/>
          <w:szCs w:val="28"/>
        </w:rPr>
        <w:t>另外，若空气中氮气等含量过高，吸入气氧分压下降，易引起缺氧窒息。其他物料虽然不是危险化学品，但部分也具有一定的毒害性。</w:t>
      </w:r>
    </w:p>
    <w:p w:rsidR="004F34D9" w:rsidRPr="00123108" w:rsidRDefault="004F34D9">
      <w:pPr>
        <w:spacing w:line="500" w:lineRule="exact"/>
        <w:ind w:firstLineChars="200" w:firstLine="560"/>
        <w:rPr>
          <w:rFonts w:ascii="宋体" w:hAnsi="宋体" w:cs="宋体" w:hint="eastAsia"/>
          <w:sz w:val="28"/>
        </w:rPr>
      </w:pPr>
      <w:bookmarkStart w:id="1291" w:name="_Toc3809084"/>
      <w:r w:rsidRPr="00123108">
        <w:rPr>
          <w:rFonts w:ascii="宋体" w:hAnsi="宋体" w:hint="eastAsia"/>
          <w:sz w:val="28"/>
        </w:rPr>
        <w:t>（3）</w:t>
      </w:r>
      <w:r w:rsidRPr="00123108">
        <w:rPr>
          <w:rFonts w:ascii="宋体" w:hAnsi="宋体" w:cs="宋体" w:hint="eastAsia"/>
          <w:sz w:val="28"/>
        </w:rPr>
        <w:t>腐蚀性</w:t>
      </w:r>
      <w:bookmarkEnd w:id="1291"/>
    </w:p>
    <w:p w:rsidR="004F34D9" w:rsidRPr="00123108" w:rsidRDefault="004F34D9">
      <w:pPr>
        <w:spacing w:line="500" w:lineRule="exact"/>
        <w:ind w:firstLineChars="200" w:firstLine="560"/>
        <w:rPr>
          <w:rFonts w:ascii="宋体" w:hAnsi="宋体" w:cs="宋体" w:hint="eastAsia"/>
          <w:sz w:val="28"/>
        </w:rPr>
      </w:pPr>
      <w:r w:rsidRPr="00123108">
        <w:rPr>
          <w:rFonts w:ascii="宋体" w:hAnsi="宋体" w:cs="宋体" w:hint="eastAsia"/>
          <w:sz w:val="28"/>
        </w:rPr>
        <w:t>本项目涉及腐蚀性物质盐酸、液碱等，如人体接触到，极易引起化学灼伤事故，另会对设备、管道、建构筑物等腐蚀，可能导致其他事故。</w:t>
      </w:r>
    </w:p>
    <w:p w:rsidR="004F34D9" w:rsidRPr="00123108" w:rsidRDefault="004F34D9">
      <w:pPr>
        <w:spacing w:line="500" w:lineRule="exact"/>
        <w:ind w:firstLineChars="200" w:firstLine="560"/>
        <w:rPr>
          <w:rFonts w:ascii="宋体" w:hAnsi="宋体" w:hint="eastAsia"/>
          <w:sz w:val="28"/>
          <w:szCs w:val="28"/>
        </w:rPr>
      </w:pPr>
      <w:r w:rsidRPr="00123108">
        <w:rPr>
          <w:rFonts w:ascii="宋体" w:hAnsi="宋体" w:hint="eastAsia"/>
          <w:sz w:val="28"/>
        </w:rPr>
        <w:t>（4）</w:t>
      </w:r>
      <w:r w:rsidRPr="00123108">
        <w:rPr>
          <w:rFonts w:ascii="宋体" w:hAnsi="宋体" w:hint="eastAsia"/>
          <w:sz w:val="28"/>
          <w:szCs w:val="28"/>
        </w:rPr>
        <w:t>气体易积聚性</w:t>
      </w:r>
    </w:p>
    <w:p w:rsidR="004F34D9" w:rsidRPr="00123108" w:rsidRDefault="004F34D9">
      <w:pPr>
        <w:spacing w:line="500" w:lineRule="exact"/>
        <w:ind w:firstLineChars="200" w:firstLine="560"/>
        <w:rPr>
          <w:rFonts w:ascii="宋体" w:hAnsi="宋体" w:cs="宋体" w:hint="eastAsia"/>
          <w:sz w:val="28"/>
        </w:rPr>
      </w:pPr>
      <w:r w:rsidRPr="00123108">
        <w:rPr>
          <w:rFonts w:ascii="宋体" w:hAnsi="宋体" w:cs="宋体" w:hint="eastAsia"/>
          <w:sz w:val="28"/>
        </w:rPr>
        <w:t>本项目涉及的易燃易爆物料等比空气重的（如苯乙烯、二甲苯、戊烷等），易在低洼处积聚，在火星、火花等引火源的作用下会发生燃烧、爆炸等事故。</w:t>
      </w:r>
    </w:p>
    <w:p w:rsidR="004F34D9" w:rsidRPr="00123108" w:rsidRDefault="004F34D9">
      <w:pPr>
        <w:spacing w:line="500" w:lineRule="exact"/>
        <w:ind w:firstLineChars="200" w:firstLine="560"/>
        <w:rPr>
          <w:rFonts w:ascii="宋体" w:hAnsi="宋体" w:cs="宋体" w:hint="eastAsia"/>
          <w:sz w:val="28"/>
        </w:rPr>
      </w:pPr>
      <w:r w:rsidRPr="00123108">
        <w:rPr>
          <w:rFonts w:ascii="宋体" w:hAnsi="宋体" w:hint="eastAsia"/>
          <w:sz w:val="28"/>
        </w:rPr>
        <w:t>（5）</w:t>
      </w:r>
      <w:r w:rsidRPr="00123108">
        <w:rPr>
          <w:rFonts w:ascii="宋体" w:hAnsi="宋体" w:cs="宋体" w:hint="eastAsia"/>
          <w:sz w:val="28"/>
        </w:rPr>
        <w:t>热膨胀性</w:t>
      </w:r>
    </w:p>
    <w:p w:rsidR="004F34D9" w:rsidRPr="00123108" w:rsidRDefault="004F34D9">
      <w:pPr>
        <w:spacing w:line="500" w:lineRule="exact"/>
        <w:ind w:firstLineChars="200" w:firstLine="560"/>
        <w:rPr>
          <w:rFonts w:ascii="宋体" w:hAnsi="宋体" w:cs="宋体" w:hint="eastAsia"/>
          <w:sz w:val="28"/>
        </w:rPr>
      </w:pPr>
      <w:r w:rsidRPr="00123108">
        <w:rPr>
          <w:rFonts w:ascii="宋体" w:hAnsi="宋体" w:cs="宋体" w:hint="eastAsia"/>
          <w:sz w:val="28"/>
        </w:rPr>
        <w:t>本项目涉及的易燃易爆物料等在受热后会产生膨胀，造成容积内压力上升，从而易泄漏、扩散性导致火灾、爆炸等事故。</w:t>
      </w:r>
    </w:p>
    <w:p w:rsidR="004F34D9" w:rsidRPr="00123108" w:rsidRDefault="004F34D9">
      <w:pPr>
        <w:spacing w:line="500" w:lineRule="exact"/>
        <w:ind w:firstLineChars="200" w:firstLine="560"/>
        <w:rPr>
          <w:rFonts w:ascii="宋体" w:hAnsi="宋体" w:cs="宋体" w:hint="eastAsia"/>
          <w:sz w:val="28"/>
        </w:rPr>
      </w:pPr>
      <w:r w:rsidRPr="00123108">
        <w:rPr>
          <w:rFonts w:ascii="宋体" w:hAnsi="宋体" w:hint="eastAsia"/>
          <w:sz w:val="28"/>
        </w:rPr>
        <w:t>（6）</w:t>
      </w:r>
      <w:r w:rsidRPr="00123108">
        <w:rPr>
          <w:rFonts w:ascii="宋体" w:hAnsi="宋体" w:cs="宋体" w:hint="eastAsia"/>
          <w:sz w:val="28"/>
        </w:rPr>
        <w:t>易泄漏、扩散性</w:t>
      </w:r>
    </w:p>
    <w:p w:rsidR="004F34D9" w:rsidRPr="00123108" w:rsidRDefault="004F34D9">
      <w:pPr>
        <w:spacing w:line="500" w:lineRule="exact"/>
        <w:ind w:firstLineChars="200" w:firstLine="560"/>
        <w:rPr>
          <w:rFonts w:ascii="宋体" w:hAnsi="宋体" w:hint="eastAsia"/>
          <w:sz w:val="28"/>
          <w:szCs w:val="28"/>
        </w:rPr>
      </w:pPr>
      <w:r w:rsidRPr="00123108">
        <w:rPr>
          <w:rFonts w:ascii="宋体" w:hAnsi="宋体" w:cs="宋体" w:hint="eastAsia"/>
          <w:sz w:val="28"/>
        </w:rPr>
        <w:lastRenderedPageBreak/>
        <w:t>本项目涉及的易燃易爆物料等</w:t>
      </w:r>
      <w:r w:rsidRPr="00123108">
        <w:rPr>
          <w:rFonts w:ascii="宋体" w:hAnsi="宋体" w:hint="eastAsia"/>
          <w:sz w:val="28"/>
          <w:szCs w:val="28"/>
        </w:rPr>
        <w:t>易泄漏，泄漏时容易扩散，遇火源造成火灾、爆炸等事故。</w:t>
      </w:r>
    </w:p>
    <w:p w:rsidR="004F34D9" w:rsidRPr="00123108" w:rsidRDefault="004F34D9">
      <w:pPr>
        <w:spacing w:line="500" w:lineRule="exact"/>
        <w:ind w:firstLineChars="200" w:firstLine="560"/>
        <w:rPr>
          <w:rFonts w:ascii="宋体" w:hAnsi="宋体" w:cs="宋体" w:hint="eastAsia"/>
          <w:sz w:val="28"/>
        </w:rPr>
      </w:pPr>
      <w:r w:rsidRPr="00123108">
        <w:rPr>
          <w:rFonts w:ascii="宋体" w:hAnsi="宋体" w:hint="eastAsia"/>
          <w:sz w:val="28"/>
        </w:rPr>
        <w:t>（7）</w:t>
      </w:r>
      <w:r w:rsidRPr="00123108">
        <w:rPr>
          <w:rFonts w:ascii="宋体" w:hAnsi="宋体" w:cs="宋体" w:hint="eastAsia"/>
          <w:sz w:val="28"/>
        </w:rPr>
        <w:t>易产生静电性</w:t>
      </w:r>
    </w:p>
    <w:p w:rsidR="004F34D9" w:rsidRPr="00123108" w:rsidRDefault="004F34D9">
      <w:pPr>
        <w:spacing w:line="500" w:lineRule="exact"/>
        <w:ind w:firstLineChars="200" w:firstLine="560"/>
        <w:rPr>
          <w:rFonts w:ascii="宋体" w:hAnsi="宋体" w:hint="eastAsia"/>
          <w:sz w:val="28"/>
          <w:szCs w:val="28"/>
        </w:rPr>
      </w:pPr>
      <w:r w:rsidRPr="00123108">
        <w:rPr>
          <w:rFonts w:ascii="宋体" w:hAnsi="宋体" w:cs="宋体" w:hint="eastAsia"/>
          <w:sz w:val="28"/>
        </w:rPr>
        <w:t>本项目涉及的易燃易爆物料</w:t>
      </w:r>
      <w:r w:rsidRPr="00123108">
        <w:rPr>
          <w:rFonts w:ascii="宋体" w:hAnsi="宋体" w:hint="eastAsia"/>
          <w:sz w:val="28"/>
        </w:rPr>
        <w:t>等在管道输送或流动状态下易产生静电，若静电不导除，</w:t>
      </w:r>
      <w:r w:rsidRPr="00123108">
        <w:rPr>
          <w:rFonts w:ascii="宋体" w:hAnsi="宋体" w:hint="eastAsia"/>
          <w:sz w:val="28"/>
          <w:szCs w:val="28"/>
        </w:rPr>
        <w:t>则易发生火灾、爆炸等事故。</w:t>
      </w:r>
    </w:p>
    <w:p w:rsidR="004F34D9" w:rsidRPr="00123108" w:rsidRDefault="004F34D9">
      <w:pPr>
        <w:spacing w:line="500" w:lineRule="exact"/>
        <w:ind w:firstLineChars="200" w:firstLine="560"/>
        <w:rPr>
          <w:rFonts w:ascii="宋体" w:hAnsi="宋体" w:hint="eastAsia"/>
          <w:sz w:val="28"/>
          <w:szCs w:val="28"/>
        </w:rPr>
      </w:pPr>
      <w:r w:rsidRPr="00123108">
        <w:rPr>
          <w:rFonts w:ascii="宋体" w:hAnsi="宋体" w:hint="eastAsia"/>
          <w:sz w:val="28"/>
        </w:rPr>
        <w:t>（8）</w:t>
      </w:r>
      <w:r w:rsidRPr="00123108">
        <w:rPr>
          <w:rFonts w:ascii="宋体" w:hAnsi="宋体" w:hint="eastAsia"/>
          <w:sz w:val="28"/>
          <w:szCs w:val="28"/>
        </w:rPr>
        <w:t>易挥发性</w:t>
      </w:r>
    </w:p>
    <w:p w:rsidR="004F34D9" w:rsidRPr="00123108" w:rsidRDefault="004F34D9">
      <w:pPr>
        <w:spacing w:line="500" w:lineRule="exact"/>
        <w:ind w:firstLineChars="200" w:firstLine="560"/>
        <w:rPr>
          <w:rFonts w:ascii="宋体" w:hAnsi="宋体" w:hint="eastAsia"/>
          <w:sz w:val="28"/>
          <w:szCs w:val="28"/>
        </w:rPr>
      </w:pPr>
      <w:r w:rsidRPr="00123108">
        <w:rPr>
          <w:rFonts w:ascii="宋体" w:hAnsi="宋体" w:cs="宋体" w:hint="eastAsia"/>
          <w:sz w:val="28"/>
        </w:rPr>
        <w:t>本项目涉及的易燃易爆物料</w:t>
      </w:r>
      <w:r w:rsidRPr="00123108">
        <w:rPr>
          <w:rFonts w:ascii="宋体" w:hAnsi="宋体" w:hint="eastAsia"/>
          <w:sz w:val="28"/>
        </w:rPr>
        <w:t>等易挥发，挥发的气体与空气形成爆炸性气体，会在静电</w:t>
      </w:r>
      <w:r w:rsidRPr="00123108">
        <w:rPr>
          <w:rFonts w:ascii="宋体" w:hAnsi="宋体" w:hint="eastAsia"/>
          <w:sz w:val="28"/>
          <w:szCs w:val="28"/>
        </w:rPr>
        <w:t>等引火源作用下产生火灾、爆炸等事故。</w:t>
      </w:r>
    </w:p>
    <w:p w:rsidR="004F34D9" w:rsidRPr="00123108" w:rsidRDefault="004F34D9">
      <w:pPr>
        <w:spacing w:line="500" w:lineRule="exact"/>
        <w:ind w:firstLineChars="200" w:firstLine="560"/>
        <w:rPr>
          <w:rFonts w:ascii="宋体" w:hAnsi="宋体" w:hint="eastAsia"/>
          <w:sz w:val="28"/>
        </w:rPr>
      </w:pPr>
      <w:r w:rsidRPr="00123108">
        <w:rPr>
          <w:rFonts w:ascii="宋体" w:hAnsi="宋体" w:hint="eastAsia"/>
          <w:sz w:val="28"/>
        </w:rPr>
        <w:t>（9）</w:t>
      </w:r>
      <w:r w:rsidRPr="00123108">
        <w:rPr>
          <w:rFonts w:ascii="宋体" w:hAnsi="宋体" w:hint="eastAsia"/>
          <w:sz w:val="28"/>
          <w:szCs w:val="28"/>
        </w:rPr>
        <w:t>自</w:t>
      </w:r>
      <w:r w:rsidRPr="00123108">
        <w:rPr>
          <w:rFonts w:ascii="宋体" w:hAnsi="宋体" w:hint="eastAsia"/>
          <w:sz w:val="28"/>
        </w:rPr>
        <w:t>聚性</w:t>
      </w:r>
    </w:p>
    <w:p w:rsidR="004F34D9" w:rsidRPr="00123108" w:rsidRDefault="004F34D9">
      <w:pPr>
        <w:spacing w:line="500" w:lineRule="exact"/>
        <w:ind w:firstLineChars="200" w:firstLine="560"/>
        <w:rPr>
          <w:rFonts w:ascii="宋体" w:hAnsi="宋体" w:hint="eastAsia"/>
          <w:sz w:val="28"/>
          <w:szCs w:val="28"/>
        </w:rPr>
      </w:pPr>
      <w:r w:rsidRPr="00123108">
        <w:rPr>
          <w:rFonts w:ascii="宋体" w:hAnsi="宋体" w:hint="eastAsia"/>
          <w:sz w:val="28"/>
          <w:szCs w:val="28"/>
        </w:rPr>
        <w:t>本项目涉及的物料苯乙烯单体在光、热等条件下会自聚，虽然正常来料情况以及会定期加阻聚剂，但若阻聚剂的加入量大小、储存条件、储存时间等若互相不协调，则会在储存时发生自聚或在生产时发生质量事故，另外在自聚时会产生热量，又会加剧自聚反应，从而发生爆炸、火灾等</w:t>
      </w:r>
    </w:p>
    <w:p w:rsidR="004F34D9" w:rsidRPr="00123108" w:rsidRDefault="004F34D9">
      <w:pPr>
        <w:spacing w:line="500" w:lineRule="exact"/>
        <w:ind w:firstLineChars="200" w:firstLine="562"/>
        <w:rPr>
          <w:rFonts w:ascii="宋体" w:hAnsi="宋体"/>
          <w:b/>
          <w:sz w:val="28"/>
          <w:szCs w:val="28"/>
        </w:rPr>
      </w:pPr>
      <w:r w:rsidRPr="00123108">
        <w:rPr>
          <w:rFonts w:ascii="宋体" w:hAnsi="宋体" w:hint="eastAsia"/>
          <w:b/>
          <w:sz w:val="28"/>
          <w:szCs w:val="28"/>
        </w:rPr>
        <w:t>（10）易制毒、易制爆</w:t>
      </w:r>
    </w:p>
    <w:p w:rsidR="004F34D9" w:rsidRPr="00123108" w:rsidRDefault="004F34D9">
      <w:pPr>
        <w:spacing w:line="500" w:lineRule="exact"/>
        <w:ind w:firstLineChars="200" w:firstLine="560"/>
        <w:rPr>
          <w:rFonts w:ascii="宋体" w:hAnsi="宋体"/>
          <w:sz w:val="28"/>
          <w:szCs w:val="28"/>
        </w:rPr>
      </w:pPr>
      <w:r w:rsidRPr="00123108">
        <w:rPr>
          <w:rFonts w:ascii="宋体" w:hAnsi="宋体" w:hint="eastAsia"/>
          <w:sz w:val="28"/>
          <w:szCs w:val="28"/>
        </w:rPr>
        <w:t>企业所使用的盐酸属于第三类易制毒品，过氧化二异丙苯为易制爆危险化学品，一旦流入社会，可能会造成极大危害，企业应按照相关管理条例来进行储存、生产和运输管理。</w:t>
      </w:r>
    </w:p>
    <w:p w:rsidR="004F34D9" w:rsidRPr="00123108" w:rsidRDefault="004F34D9">
      <w:pPr>
        <w:spacing w:line="500" w:lineRule="exact"/>
        <w:ind w:firstLineChars="200" w:firstLine="560"/>
        <w:rPr>
          <w:rFonts w:ascii="宋体" w:hAnsi="宋体" w:hint="eastAsia"/>
          <w:sz w:val="28"/>
          <w:szCs w:val="28"/>
        </w:rPr>
      </w:pPr>
      <w:r w:rsidRPr="00123108">
        <w:rPr>
          <w:rFonts w:ascii="宋体" w:hAnsi="宋体" w:hint="eastAsia"/>
          <w:sz w:val="28"/>
          <w:szCs w:val="28"/>
        </w:rPr>
        <w:t>（11）禁忌性</w:t>
      </w:r>
    </w:p>
    <w:p w:rsidR="004F34D9" w:rsidRPr="00123108" w:rsidRDefault="004F34D9">
      <w:pPr>
        <w:spacing w:line="500" w:lineRule="exact"/>
        <w:ind w:firstLineChars="200" w:firstLine="560"/>
        <w:rPr>
          <w:rFonts w:ascii="宋体" w:hAnsi="宋体" w:hint="eastAsia"/>
          <w:sz w:val="28"/>
          <w:szCs w:val="28"/>
        </w:rPr>
      </w:pPr>
      <w:r w:rsidRPr="00123108">
        <w:rPr>
          <w:rFonts w:ascii="宋体" w:hAnsi="宋体" w:hint="eastAsia"/>
          <w:sz w:val="28"/>
          <w:szCs w:val="28"/>
        </w:rPr>
        <w:t>企业生产需要的原辅料储存在储罐及仓库内，若生产及储存过程中接触禁忌物，会引发事故。本项目涉及物料禁忌性见附表1.1-2.</w:t>
      </w:r>
    </w:p>
    <w:p w:rsidR="004F34D9" w:rsidRPr="00123108" w:rsidRDefault="004F34D9">
      <w:pPr>
        <w:spacing w:line="500" w:lineRule="exact"/>
        <w:ind w:firstLineChars="200" w:firstLine="560"/>
        <w:jc w:val="center"/>
        <w:rPr>
          <w:rFonts w:ascii="黑体" w:eastAsia="黑体" w:hAnsi="黑体" w:hint="eastAsia"/>
          <w:sz w:val="28"/>
          <w:szCs w:val="28"/>
        </w:rPr>
      </w:pPr>
      <w:r w:rsidRPr="00123108">
        <w:rPr>
          <w:rFonts w:ascii="黑体" w:eastAsia="黑体" w:hAnsi="黑体" w:hint="eastAsia"/>
          <w:sz w:val="28"/>
          <w:szCs w:val="28"/>
        </w:rPr>
        <w:t>附表1.1-2 物料禁忌性一览表</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2310"/>
        <w:gridCol w:w="2100"/>
        <w:gridCol w:w="4252"/>
      </w:tblGrid>
      <w:tr w:rsidR="004F34D9" w:rsidRPr="00123108">
        <w:trPr>
          <w:trHeight w:val="340"/>
          <w:tblHeader/>
          <w:jc w:val="center"/>
        </w:trPr>
        <w:tc>
          <w:tcPr>
            <w:tcW w:w="739" w:type="dxa"/>
            <w:vAlign w:val="center"/>
          </w:tcPr>
          <w:p w:rsidR="004F34D9" w:rsidRPr="00123108" w:rsidRDefault="004F34D9">
            <w:pPr>
              <w:jc w:val="center"/>
              <w:rPr>
                <w:rFonts w:hint="eastAsia"/>
                <w:b/>
                <w:szCs w:val="21"/>
              </w:rPr>
            </w:pPr>
            <w:r w:rsidRPr="00123108">
              <w:rPr>
                <w:rFonts w:hint="eastAsia"/>
                <w:b/>
                <w:szCs w:val="21"/>
              </w:rPr>
              <w:t>序号</w:t>
            </w:r>
          </w:p>
        </w:tc>
        <w:tc>
          <w:tcPr>
            <w:tcW w:w="2310" w:type="dxa"/>
            <w:vAlign w:val="center"/>
          </w:tcPr>
          <w:p w:rsidR="004F34D9" w:rsidRPr="00123108" w:rsidRDefault="004F34D9">
            <w:pPr>
              <w:jc w:val="center"/>
              <w:rPr>
                <w:rFonts w:hint="eastAsia"/>
                <w:b/>
                <w:szCs w:val="21"/>
              </w:rPr>
            </w:pPr>
            <w:r w:rsidRPr="00123108">
              <w:rPr>
                <w:rFonts w:hint="eastAsia"/>
                <w:b/>
                <w:szCs w:val="21"/>
              </w:rPr>
              <w:t>物料名称</w:t>
            </w:r>
          </w:p>
        </w:tc>
        <w:tc>
          <w:tcPr>
            <w:tcW w:w="2100" w:type="dxa"/>
            <w:vAlign w:val="center"/>
          </w:tcPr>
          <w:p w:rsidR="004F34D9" w:rsidRPr="00123108" w:rsidRDefault="004F34D9">
            <w:pPr>
              <w:jc w:val="center"/>
              <w:rPr>
                <w:rFonts w:hint="eastAsia"/>
                <w:b/>
                <w:szCs w:val="21"/>
              </w:rPr>
            </w:pPr>
            <w:r w:rsidRPr="00123108">
              <w:rPr>
                <w:rFonts w:hint="eastAsia"/>
                <w:b/>
                <w:szCs w:val="21"/>
              </w:rPr>
              <w:t>危化品目录序号</w:t>
            </w:r>
          </w:p>
        </w:tc>
        <w:tc>
          <w:tcPr>
            <w:tcW w:w="4252" w:type="dxa"/>
          </w:tcPr>
          <w:p w:rsidR="004F34D9" w:rsidRPr="00123108" w:rsidRDefault="004F34D9">
            <w:pPr>
              <w:jc w:val="center"/>
              <w:rPr>
                <w:rFonts w:hint="eastAsia"/>
                <w:b/>
                <w:szCs w:val="21"/>
              </w:rPr>
            </w:pPr>
            <w:r w:rsidRPr="00123108">
              <w:rPr>
                <w:rFonts w:hint="eastAsia"/>
                <w:b/>
                <w:szCs w:val="21"/>
              </w:rPr>
              <w:t>禁忌物</w:t>
            </w:r>
          </w:p>
        </w:tc>
      </w:tr>
      <w:tr w:rsidR="004F34D9" w:rsidRPr="00123108">
        <w:trPr>
          <w:trHeight w:val="340"/>
          <w:jc w:val="center"/>
        </w:trPr>
        <w:tc>
          <w:tcPr>
            <w:tcW w:w="739" w:type="dxa"/>
            <w:vAlign w:val="center"/>
          </w:tcPr>
          <w:p w:rsidR="004F34D9" w:rsidRPr="00123108" w:rsidRDefault="004F34D9">
            <w:pPr>
              <w:jc w:val="center"/>
              <w:rPr>
                <w:rFonts w:hint="eastAsia"/>
                <w:szCs w:val="21"/>
              </w:rPr>
            </w:pPr>
            <w:r w:rsidRPr="00123108">
              <w:rPr>
                <w:rFonts w:hint="eastAsia"/>
                <w:szCs w:val="21"/>
              </w:rPr>
              <w:t>1</w:t>
            </w:r>
          </w:p>
        </w:tc>
        <w:tc>
          <w:tcPr>
            <w:tcW w:w="2310" w:type="dxa"/>
            <w:vAlign w:val="center"/>
          </w:tcPr>
          <w:p w:rsidR="004F34D9" w:rsidRPr="00123108" w:rsidRDefault="004F34D9">
            <w:pPr>
              <w:rPr>
                <w:rFonts w:ascii="宋体" w:hAnsi="宋体"/>
                <w:bCs/>
                <w:szCs w:val="21"/>
              </w:rPr>
            </w:pPr>
            <w:r w:rsidRPr="00123108">
              <w:rPr>
                <w:rFonts w:ascii="宋体" w:hAnsi="宋体" w:hint="eastAsia"/>
                <w:szCs w:val="21"/>
              </w:rPr>
              <w:t>苯乙烯</w:t>
            </w:r>
          </w:p>
        </w:tc>
        <w:tc>
          <w:tcPr>
            <w:tcW w:w="2100" w:type="dxa"/>
            <w:vAlign w:val="center"/>
          </w:tcPr>
          <w:p w:rsidR="004F34D9" w:rsidRPr="00123108" w:rsidRDefault="004F34D9">
            <w:pPr>
              <w:rPr>
                <w:rFonts w:ascii="宋体" w:hAnsi="宋体"/>
                <w:szCs w:val="21"/>
              </w:rPr>
            </w:pPr>
            <w:r w:rsidRPr="00123108">
              <w:rPr>
                <w:rFonts w:ascii="宋体" w:hAnsi="宋体" w:hint="eastAsia"/>
                <w:szCs w:val="21"/>
              </w:rPr>
              <w:t>96</w:t>
            </w:r>
          </w:p>
        </w:tc>
        <w:tc>
          <w:tcPr>
            <w:tcW w:w="4252" w:type="dxa"/>
          </w:tcPr>
          <w:p w:rsidR="004F34D9" w:rsidRPr="00123108" w:rsidRDefault="004F34D9">
            <w:pPr>
              <w:rPr>
                <w:rFonts w:ascii="宋体" w:hAnsi="宋体" w:hint="eastAsia"/>
                <w:szCs w:val="21"/>
              </w:rPr>
            </w:pPr>
            <w:r w:rsidRPr="00123108">
              <w:rPr>
                <w:rFonts w:hint="eastAsia"/>
              </w:rPr>
              <w:t>强氧化剂、酸类</w:t>
            </w:r>
          </w:p>
        </w:tc>
      </w:tr>
      <w:tr w:rsidR="004F34D9" w:rsidRPr="00123108">
        <w:trPr>
          <w:trHeight w:val="340"/>
          <w:jc w:val="center"/>
        </w:trPr>
        <w:tc>
          <w:tcPr>
            <w:tcW w:w="739" w:type="dxa"/>
            <w:vAlign w:val="center"/>
          </w:tcPr>
          <w:p w:rsidR="004F34D9" w:rsidRPr="00123108" w:rsidRDefault="004F34D9">
            <w:pPr>
              <w:jc w:val="center"/>
              <w:rPr>
                <w:rFonts w:hint="eastAsia"/>
                <w:szCs w:val="21"/>
              </w:rPr>
            </w:pPr>
            <w:r w:rsidRPr="00123108">
              <w:rPr>
                <w:rFonts w:hint="eastAsia"/>
                <w:szCs w:val="21"/>
              </w:rPr>
              <w:t>2</w:t>
            </w:r>
          </w:p>
        </w:tc>
        <w:tc>
          <w:tcPr>
            <w:tcW w:w="2310" w:type="dxa"/>
            <w:vAlign w:val="center"/>
          </w:tcPr>
          <w:p w:rsidR="004F34D9" w:rsidRPr="00123108" w:rsidRDefault="004F34D9">
            <w:pPr>
              <w:rPr>
                <w:rFonts w:ascii="宋体" w:hAnsi="宋体"/>
                <w:bCs/>
                <w:szCs w:val="21"/>
              </w:rPr>
            </w:pPr>
            <w:r w:rsidRPr="00123108">
              <w:rPr>
                <w:rFonts w:ascii="宋体" w:hAnsi="宋体" w:hint="eastAsia"/>
                <w:szCs w:val="21"/>
              </w:rPr>
              <w:t>戊烷</w:t>
            </w:r>
          </w:p>
        </w:tc>
        <w:tc>
          <w:tcPr>
            <w:tcW w:w="2100" w:type="dxa"/>
            <w:vAlign w:val="center"/>
          </w:tcPr>
          <w:p w:rsidR="004F34D9" w:rsidRPr="00123108" w:rsidRDefault="004F34D9">
            <w:pPr>
              <w:rPr>
                <w:rFonts w:ascii="宋体" w:hAnsi="宋体"/>
                <w:szCs w:val="21"/>
              </w:rPr>
            </w:pPr>
            <w:r w:rsidRPr="00123108">
              <w:rPr>
                <w:rFonts w:ascii="宋体" w:hAnsi="宋体" w:hint="eastAsia"/>
                <w:szCs w:val="21"/>
              </w:rPr>
              <w:t>2796</w:t>
            </w:r>
          </w:p>
        </w:tc>
        <w:tc>
          <w:tcPr>
            <w:tcW w:w="4252" w:type="dxa"/>
          </w:tcPr>
          <w:p w:rsidR="004F34D9" w:rsidRPr="00123108" w:rsidRDefault="004F34D9">
            <w:pPr>
              <w:rPr>
                <w:rFonts w:ascii="宋体" w:hAnsi="宋体" w:hint="eastAsia"/>
                <w:szCs w:val="21"/>
              </w:rPr>
            </w:pPr>
            <w:r w:rsidRPr="00123108">
              <w:rPr>
                <w:rFonts w:ascii="宋体" w:hAnsi="宋体" w:hint="eastAsia"/>
              </w:rPr>
              <w:t>强氧化剂。</w:t>
            </w:r>
          </w:p>
        </w:tc>
      </w:tr>
      <w:tr w:rsidR="004F34D9" w:rsidRPr="00123108">
        <w:trPr>
          <w:trHeight w:val="340"/>
          <w:jc w:val="center"/>
        </w:trPr>
        <w:tc>
          <w:tcPr>
            <w:tcW w:w="739" w:type="dxa"/>
            <w:vAlign w:val="center"/>
          </w:tcPr>
          <w:p w:rsidR="004F34D9" w:rsidRPr="00123108" w:rsidRDefault="004F34D9">
            <w:pPr>
              <w:jc w:val="center"/>
              <w:rPr>
                <w:rFonts w:hint="eastAsia"/>
                <w:szCs w:val="21"/>
              </w:rPr>
            </w:pPr>
            <w:r w:rsidRPr="00123108">
              <w:rPr>
                <w:rFonts w:hint="eastAsia"/>
                <w:szCs w:val="21"/>
              </w:rPr>
              <w:t>3</w:t>
            </w:r>
          </w:p>
        </w:tc>
        <w:tc>
          <w:tcPr>
            <w:tcW w:w="2310" w:type="dxa"/>
            <w:vAlign w:val="center"/>
          </w:tcPr>
          <w:p w:rsidR="004F34D9" w:rsidRPr="00123108" w:rsidRDefault="004F34D9">
            <w:pPr>
              <w:rPr>
                <w:rFonts w:ascii="宋体" w:hAnsi="宋体"/>
                <w:szCs w:val="21"/>
              </w:rPr>
            </w:pPr>
            <w:r w:rsidRPr="00123108">
              <w:rPr>
                <w:rFonts w:ascii="宋体" w:hAnsi="宋体" w:hint="eastAsia"/>
                <w:szCs w:val="21"/>
              </w:rPr>
              <w:t>二甲苯</w:t>
            </w:r>
          </w:p>
        </w:tc>
        <w:tc>
          <w:tcPr>
            <w:tcW w:w="2100" w:type="dxa"/>
            <w:vAlign w:val="center"/>
          </w:tcPr>
          <w:p w:rsidR="004F34D9" w:rsidRPr="00123108" w:rsidRDefault="004F34D9">
            <w:pPr>
              <w:rPr>
                <w:rFonts w:ascii="宋体" w:hAnsi="宋体"/>
                <w:szCs w:val="21"/>
              </w:rPr>
            </w:pPr>
            <w:r w:rsidRPr="00123108">
              <w:rPr>
                <w:rFonts w:ascii="宋体" w:hAnsi="宋体" w:hint="eastAsia"/>
                <w:szCs w:val="21"/>
              </w:rPr>
              <w:t>355</w:t>
            </w:r>
          </w:p>
        </w:tc>
        <w:tc>
          <w:tcPr>
            <w:tcW w:w="4252" w:type="dxa"/>
          </w:tcPr>
          <w:p w:rsidR="004F34D9" w:rsidRPr="00123108" w:rsidRDefault="004F34D9">
            <w:pPr>
              <w:rPr>
                <w:rFonts w:ascii="宋体" w:hAnsi="宋体" w:hint="eastAsia"/>
                <w:szCs w:val="21"/>
              </w:rPr>
            </w:pPr>
            <w:r w:rsidRPr="00123108">
              <w:rPr>
                <w:rFonts w:ascii="宋体" w:hAnsi="宋体"/>
                <w:szCs w:val="21"/>
              </w:rPr>
              <w:t>强氧化剂</w:t>
            </w:r>
          </w:p>
        </w:tc>
      </w:tr>
      <w:tr w:rsidR="004F34D9" w:rsidRPr="00123108">
        <w:trPr>
          <w:trHeight w:val="340"/>
          <w:jc w:val="center"/>
        </w:trPr>
        <w:tc>
          <w:tcPr>
            <w:tcW w:w="739" w:type="dxa"/>
            <w:vAlign w:val="center"/>
          </w:tcPr>
          <w:p w:rsidR="004F34D9" w:rsidRPr="00123108" w:rsidRDefault="004F34D9">
            <w:pPr>
              <w:jc w:val="center"/>
              <w:rPr>
                <w:rFonts w:hint="eastAsia"/>
                <w:szCs w:val="21"/>
              </w:rPr>
            </w:pPr>
            <w:r w:rsidRPr="00123108">
              <w:rPr>
                <w:rFonts w:hint="eastAsia"/>
                <w:szCs w:val="21"/>
              </w:rPr>
              <w:t>4</w:t>
            </w:r>
          </w:p>
        </w:tc>
        <w:tc>
          <w:tcPr>
            <w:tcW w:w="2310" w:type="dxa"/>
            <w:vAlign w:val="center"/>
          </w:tcPr>
          <w:p w:rsidR="004F34D9" w:rsidRPr="00123108" w:rsidRDefault="004F34D9">
            <w:pPr>
              <w:rPr>
                <w:rFonts w:ascii="宋体" w:hAnsi="宋体"/>
                <w:szCs w:val="21"/>
              </w:rPr>
            </w:pPr>
            <w:r w:rsidRPr="00123108">
              <w:rPr>
                <w:rFonts w:ascii="宋体" w:hAnsi="宋体" w:hint="eastAsia"/>
                <w:szCs w:val="21"/>
              </w:rPr>
              <w:t>过氧化苯甲酰</w:t>
            </w:r>
          </w:p>
        </w:tc>
        <w:tc>
          <w:tcPr>
            <w:tcW w:w="2100" w:type="dxa"/>
            <w:vAlign w:val="center"/>
          </w:tcPr>
          <w:p w:rsidR="004F34D9" w:rsidRPr="00123108" w:rsidRDefault="004F34D9">
            <w:pPr>
              <w:rPr>
                <w:rFonts w:ascii="宋体" w:hAnsi="宋体"/>
                <w:szCs w:val="21"/>
              </w:rPr>
            </w:pPr>
            <w:r w:rsidRPr="00123108">
              <w:rPr>
                <w:rFonts w:ascii="宋体" w:hAnsi="宋体" w:hint="eastAsia"/>
                <w:szCs w:val="21"/>
              </w:rPr>
              <w:t>874</w:t>
            </w:r>
          </w:p>
        </w:tc>
        <w:tc>
          <w:tcPr>
            <w:tcW w:w="4252" w:type="dxa"/>
          </w:tcPr>
          <w:p w:rsidR="004F34D9" w:rsidRPr="00123108" w:rsidRDefault="004F34D9">
            <w:pPr>
              <w:rPr>
                <w:rFonts w:ascii="宋体" w:hAnsi="宋体" w:hint="eastAsia"/>
                <w:szCs w:val="21"/>
              </w:rPr>
            </w:pPr>
            <w:r w:rsidRPr="00123108">
              <w:rPr>
                <w:rFonts w:ascii="宋体" w:hAnsi="宋体" w:hint="eastAsia"/>
              </w:rPr>
              <w:t>强还原剂、酸类、碱、醇类</w:t>
            </w:r>
          </w:p>
        </w:tc>
      </w:tr>
      <w:tr w:rsidR="004F34D9" w:rsidRPr="00123108">
        <w:trPr>
          <w:trHeight w:val="340"/>
          <w:jc w:val="center"/>
        </w:trPr>
        <w:tc>
          <w:tcPr>
            <w:tcW w:w="739" w:type="dxa"/>
            <w:vAlign w:val="center"/>
          </w:tcPr>
          <w:p w:rsidR="004F34D9" w:rsidRPr="00123108" w:rsidRDefault="004F34D9">
            <w:pPr>
              <w:jc w:val="center"/>
              <w:rPr>
                <w:rFonts w:hint="eastAsia"/>
                <w:szCs w:val="21"/>
              </w:rPr>
            </w:pPr>
            <w:r w:rsidRPr="00123108">
              <w:rPr>
                <w:rFonts w:hint="eastAsia"/>
                <w:szCs w:val="21"/>
              </w:rPr>
              <w:t>5</w:t>
            </w:r>
          </w:p>
        </w:tc>
        <w:tc>
          <w:tcPr>
            <w:tcW w:w="2310" w:type="dxa"/>
            <w:vAlign w:val="center"/>
          </w:tcPr>
          <w:p w:rsidR="004F34D9" w:rsidRPr="00123108" w:rsidRDefault="004F34D9">
            <w:pPr>
              <w:spacing w:line="0" w:lineRule="atLeast"/>
              <w:rPr>
                <w:rFonts w:ascii="宋体" w:hAnsi="宋体"/>
                <w:szCs w:val="21"/>
              </w:rPr>
            </w:pPr>
            <w:r w:rsidRPr="00123108">
              <w:rPr>
                <w:rFonts w:ascii="宋体" w:hAnsi="宋体" w:hint="eastAsia"/>
                <w:szCs w:val="21"/>
              </w:rPr>
              <w:t>过氧化苯甲酸叔丁酯</w:t>
            </w:r>
          </w:p>
        </w:tc>
        <w:tc>
          <w:tcPr>
            <w:tcW w:w="2100" w:type="dxa"/>
            <w:vAlign w:val="center"/>
          </w:tcPr>
          <w:p w:rsidR="004F34D9" w:rsidRPr="00123108" w:rsidRDefault="004F34D9">
            <w:pPr>
              <w:spacing w:line="0" w:lineRule="atLeast"/>
              <w:rPr>
                <w:rFonts w:ascii="宋体" w:hAnsi="宋体"/>
                <w:szCs w:val="21"/>
              </w:rPr>
            </w:pPr>
            <w:r w:rsidRPr="00123108">
              <w:rPr>
                <w:rFonts w:ascii="宋体" w:hAnsi="宋体" w:hint="eastAsia"/>
                <w:szCs w:val="21"/>
              </w:rPr>
              <w:t>865</w:t>
            </w:r>
          </w:p>
        </w:tc>
        <w:tc>
          <w:tcPr>
            <w:tcW w:w="4252" w:type="dxa"/>
          </w:tcPr>
          <w:p w:rsidR="004F34D9" w:rsidRPr="00123108" w:rsidRDefault="004F34D9">
            <w:pPr>
              <w:spacing w:line="0" w:lineRule="atLeast"/>
              <w:rPr>
                <w:rFonts w:ascii="宋体" w:hAnsi="宋体" w:hint="eastAsia"/>
                <w:szCs w:val="21"/>
              </w:rPr>
            </w:pPr>
            <w:r w:rsidRPr="00123108">
              <w:rPr>
                <w:rFonts w:ascii="宋体" w:hAnsi="宋体" w:hint="eastAsia"/>
              </w:rPr>
              <w:t>酸类、碱类、还原剂、重金属</w:t>
            </w:r>
          </w:p>
        </w:tc>
      </w:tr>
      <w:tr w:rsidR="004F34D9" w:rsidRPr="00123108">
        <w:trPr>
          <w:trHeight w:val="340"/>
          <w:jc w:val="center"/>
        </w:trPr>
        <w:tc>
          <w:tcPr>
            <w:tcW w:w="739" w:type="dxa"/>
            <w:vAlign w:val="center"/>
          </w:tcPr>
          <w:p w:rsidR="004F34D9" w:rsidRPr="00123108" w:rsidRDefault="004F34D9">
            <w:pPr>
              <w:jc w:val="center"/>
              <w:rPr>
                <w:rFonts w:hint="eastAsia"/>
                <w:szCs w:val="21"/>
              </w:rPr>
            </w:pPr>
            <w:r w:rsidRPr="00123108">
              <w:rPr>
                <w:rFonts w:hint="eastAsia"/>
                <w:szCs w:val="21"/>
              </w:rPr>
              <w:t>6</w:t>
            </w:r>
          </w:p>
        </w:tc>
        <w:tc>
          <w:tcPr>
            <w:tcW w:w="2310" w:type="dxa"/>
            <w:vAlign w:val="center"/>
          </w:tcPr>
          <w:p w:rsidR="004F34D9" w:rsidRPr="00123108" w:rsidRDefault="004F34D9">
            <w:pPr>
              <w:spacing w:line="0" w:lineRule="atLeast"/>
              <w:rPr>
                <w:rFonts w:ascii="宋体" w:hAnsi="宋体"/>
                <w:szCs w:val="21"/>
              </w:rPr>
            </w:pPr>
            <w:r w:rsidRPr="00123108">
              <w:rPr>
                <w:rFonts w:ascii="宋体" w:hAnsi="宋体" w:hint="eastAsia"/>
                <w:szCs w:val="21"/>
              </w:rPr>
              <w:t>过氧化二异丙苯</w:t>
            </w:r>
          </w:p>
        </w:tc>
        <w:tc>
          <w:tcPr>
            <w:tcW w:w="2100" w:type="dxa"/>
            <w:vAlign w:val="center"/>
          </w:tcPr>
          <w:p w:rsidR="004F34D9" w:rsidRPr="00123108" w:rsidRDefault="004F34D9">
            <w:pPr>
              <w:spacing w:line="0" w:lineRule="atLeast"/>
              <w:rPr>
                <w:rFonts w:ascii="宋体" w:hAnsi="宋体"/>
                <w:szCs w:val="21"/>
              </w:rPr>
            </w:pPr>
            <w:r w:rsidRPr="00123108">
              <w:rPr>
                <w:rFonts w:ascii="宋体" w:hAnsi="宋体" w:hint="eastAsia"/>
                <w:szCs w:val="21"/>
              </w:rPr>
              <w:t>883</w:t>
            </w:r>
          </w:p>
        </w:tc>
        <w:tc>
          <w:tcPr>
            <w:tcW w:w="4252" w:type="dxa"/>
          </w:tcPr>
          <w:p w:rsidR="004F34D9" w:rsidRPr="00123108" w:rsidRDefault="004F34D9">
            <w:pPr>
              <w:spacing w:line="0" w:lineRule="atLeast"/>
              <w:rPr>
                <w:rFonts w:ascii="宋体" w:hAnsi="宋体" w:hint="eastAsia"/>
                <w:szCs w:val="21"/>
              </w:rPr>
            </w:pPr>
            <w:r w:rsidRPr="00123108">
              <w:rPr>
                <w:rFonts w:ascii="宋体" w:hAnsi="宋体" w:hint="eastAsia"/>
                <w:szCs w:val="21"/>
              </w:rPr>
              <w:t>强酸和强氧化剂</w:t>
            </w:r>
          </w:p>
        </w:tc>
      </w:tr>
      <w:tr w:rsidR="004F34D9" w:rsidRPr="00123108">
        <w:trPr>
          <w:trHeight w:val="340"/>
          <w:jc w:val="center"/>
        </w:trPr>
        <w:tc>
          <w:tcPr>
            <w:tcW w:w="739" w:type="dxa"/>
            <w:vAlign w:val="center"/>
          </w:tcPr>
          <w:p w:rsidR="004F34D9" w:rsidRPr="00123108" w:rsidRDefault="004F34D9">
            <w:pPr>
              <w:jc w:val="center"/>
              <w:rPr>
                <w:rFonts w:hint="eastAsia"/>
                <w:szCs w:val="21"/>
              </w:rPr>
            </w:pPr>
            <w:r w:rsidRPr="00123108">
              <w:rPr>
                <w:rFonts w:hint="eastAsia"/>
                <w:szCs w:val="21"/>
              </w:rPr>
              <w:t>7</w:t>
            </w:r>
          </w:p>
        </w:tc>
        <w:tc>
          <w:tcPr>
            <w:tcW w:w="2310" w:type="dxa"/>
            <w:vAlign w:val="center"/>
          </w:tcPr>
          <w:p w:rsidR="004F34D9" w:rsidRPr="00123108" w:rsidRDefault="004F34D9">
            <w:pPr>
              <w:spacing w:line="0" w:lineRule="atLeast"/>
              <w:rPr>
                <w:rFonts w:ascii="宋体" w:hAnsi="宋体"/>
                <w:szCs w:val="21"/>
              </w:rPr>
            </w:pPr>
            <w:r w:rsidRPr="00123108">
              <w:rPr>
                <w:rFonts w:ascii="宋体" w:hAnsi="宋体"/>
                <w:szCs w:val="21"/>
              </w:rPr>
              <w:t xml:space="preserve">D </w:t>
            </w:r>
            <w:r w:rsidRPr="00123108">
              <w:rPr>
                <w:rFonts w:ascii="宋体" w:hAnsi="宋体" w:hint="eastAsia"/>
                <w:szCs w:val="21"/>
              </w:rPr>
              <w:t>-柠檬烯</w:t>
            </w:r>
          </w:p>
        </w:tc>
        <w:tc>
          <w:tcPr>
            <w:tcW w:w="2100" w:type="dxa"/>
            <w:vAlign w:val="center"/>
          </w:tcPr>
          <w:p w:rsidR="004F34D9" w:rsidRPr="00123108" w:rsidRDefault="004F34D9">
            <w:pPr>
              <w:spacing w:line="0" w:lineRule="atLeast"/>
              <w:rPr>
                <w:rFonts w:ascii="宋体" w:hAnsi="宋体"/>
                <w:szCs w:val="21"/>
              </w:rPr>
            </w:pPr>
            <w:r w:rsidRPr="00123108">
              <w:rPr>
                <w:rFonts w:ascii="宋体" w:hAnsi="宋体" w:hint="eastAsia"/>
                <w:szCs w:val="21"/>
              </w:rPr>
              <w:t>2828</w:t>
            </w:r>
          </w:p>
        </w:tc>
        <w:tc>
          <w:tcPr>
            <w:tcW w:w="4252" w:type="dxa"/>
          </w:tcPr>
          <w:p w:rsidR="004F34D9" w:rsidRPr="00123108" w:rsidRDefault="004F34D9">
            <w:pPr>
              <w:spacing w:line="0" w:lineRule="atLeast"/>
              <w:rPr>
                <w:rFonts w:ascii="宋体" w:hAnsi="宋体" w:hint="eastAsia"/>
                <w:szCs w:val="21"/>
              </w:rPr>
            </w:pPr>
            <w:r w:rsidRPr="00123108">
              <w:rPr>
                <w:rFonts w:ascii="宋体" w:hAnsi="宋体" w:hint="eastAsia"/>
                <w:szCs w:val="21"/>
              </w:rPr>
              <w:t>强氧化剂、强酸、包括酸性粘土、过氧化物、</w:t>
            </w:r>
            <w:r w:rsidRPr="00123108">
              <w:rPr>
                <w:rFonts w:ascii="宋体" w:hAnsi="宋体" w:hint="eastAsia"/>
              </w:rPr>
              <w:t>卤素、氯乙烯和五氟化碘</w:t>
            </w:r>
          </w:p>
        </w:tc>
      </w:tr>
      <w:tr w:rsidR="004F34D9" w:rsidRPr="00123108">
        <w:trPr>
          <w:trHeight w:val="340"/>
          <w:jc w:val="center"/>
        </w:trPr>
        <w:tc>
          <w:tcPr>
            <w:tcW w:w="739" w:type="dxa"/>
            <w:vAlign w:val="center"/>
          </w:tcPr>
          <w:p w:rsidR="004F34D9" w:rsidRPr="00123108" w:rsidRDefault="004F34D9">
            <w:pPr>
              <w:jc w:val="center"/>
              <w:rPr>
                <w:rFonts w:hint="eastAsia"/>
                <w:szCs w:val="21"/>
              </w:rPr>
            </w:pPr>
            <w:r w:rsidRPr="00123108">
              <w:rPr>
                <w:rFonts w:hint="eastAsia"/>
                <w:szCs w:val="21"/>
              </w:rPr>
              <w:lastRenderedPageBreak/>
              <w:t>8</w:t>
            </w:r>
          </w:p>
        </w:tc>
        <w:tc>
          <w:tcPr>
            <w:tcW w:w="2310" w:type="dxa"/>
            <w:vAlign w:val="center"/>
          </w:tcPr>
          <w:p w:rsidR="004F34D9" w:rsidRPr="00123108" w:rsidRDefault="004F34D9">
            <w:pPr>
              <w:spacing w:line="0" w:lineRule="atLeast"/>
              <w:rPr>
                <w:rFonts w:ascii="宋体" w:hAnsi="宋体"/>
                <w:szCs w:val="21"/>
              </w:rPr>
            </w:pPr>
            <w:r w:rsidRPr="00123108">
              <w:rPr>
                <w:rFonts w:ascii="宋体" w:hAnsi="宋体" w:hint="eastAsia"/>
                <w:szCs w:val="21"/>
              </w:rPr>
              <w:t>盐酸</w:t>
            </w:r>
          </w:p>
        </w:tc>
        <w:tc>
          <w:tcPr>
            <w:tcW w:w="2100" w:type="dxa"/>
            <w:vAlign w:val="center"/>
          </w:tcPr>
          <w:p w:rsidR="004F34D9" w:rsidRPr="00123108" w:rsidRDefault="004F34D9">
            <w:pPr>
              <w:spacing w:line="0" w:lineRule="atLeast"/>
              <w:rPr>
                <w:rFonts w:ascii="宋体" w:hAnsi="宋体"/>
                <w:szCs w:val="21"/>
              </w:rPr>
            </w:pPr>
            <w:r w:rsidRPr="00123108">
              <w:rPr>
                <w:rFonts w:ascii="宋体" w:hAnsi="宋体" w:hint="eastAsia"/>
                <w:szCs w:val="21"/>
              </w:rPr>
              <w:t>2507</w:t>
            </w:r>
          </w:p>
        </w:tc>
        <w:tc>
          <w:tcPr>
            <w:tcW w:w="4252" w:type="dxa"/>
          </w:tcPr>
          <w:p w:rsidR="004F34D9" w:rsidRPr="00123108" w:rsidRDefault="004F34D9">
            <w:pPr>
              <w:spacing w:line="0" w:lineRule="atLeast"/>
              <w:rPr>
                <w:rFonts w:ascii="宋体" w:hAnsi="宋体" w:hint="eastAsia"/>
                <w:szCs w:val="21"/>
              </w:rPr>
            </w:pPr>
            <w:r w:rsidRPr="00123108">
              <w:rPr>
                <w:rFonts w:ascii="宋体" w:hAnsi="宋体" w:hint="eastAsia"/>
              </w:rPr>
              <w:t>碱类、胺类、碱金属、易燃或可燃物</w:t>
            </w:r>
          </w:p>
        </w:tc>
      </w:tr>
      <w:tr w:rsidR="004F34D9" w:rsidRPr="00123108">
        <w:trPr>
          <w:trHeight w:val="340"/>
          <w:jc w:val="center"/>
        </w:trPr>
        <w:tc>
          <w:tcPr>
            <w:tcW w:w="739" w:type="dxa"/>
            <w:vAlign w:val="center"/>
          </w:tcPr>
          <w:p w:rsidR="004F34D9" w:rsidRPr="00123108" w:rsidRDefault="004F34D9">
            <w:pPr>
              <w:jc w:val="center"/>
              <w:rPr>
                <w:rFonts w:hint="eastAsia"/>
                <w:szCs w:val="21"/>
              </w:rPr>
            </w:pPr>
            <w:r w:rsidRPr="00123108">
              <w:rPr>
                <w:rFonts w:hint="eastAsia"/>
                <w:szCs w:val="21"/>
              </w:rPr>
              <w:t>9</w:t>
            </w:r>
          </w:p>
        </w:tc>
        <w:tc>
          <w:tcPr>
            <w:tcW w:w="2310" w:type="dxa"/>
            <w:vAlign w:val="center"/>
          </w:tcPr>
          <w:p w:rsidR="004F34D9" w:rsidRPr="00123108" w:rsidRDefault="004F34D9">
            <w:pPr>
              <w:spacing w:line="0" w:lineRule="atLeast"/>
              <w:rPr>
                <w:rFonts w:ascii="宋体" w:hAnsi="宋体"/>
                <w:szCs w:val="21"/>
              </w:rPr>
            </w:pPr>
            <w:r w:rsidRPr="00123108">
              <w:rPr>
                <w:rFonts w:ascii="宋体" w:hAnsi="宋体" w:hint="eastAsia"/>
                <w:szCs w:val="21"/>
              </w:rPr>
              <w:t>液碱</w:t>
            </w:r>
          </w:p>
        </w:tc>
        <w:tc>
          <w:tcPr>
            <w:tcW w:w="2100" w:type="dxa"/>
            <w:vAlign w:val="center"/>
          </w:tcPr>
          <w:p w:rsidR="004F34D9" w:rsidRPr="00123108" w:rsidRDefault="004F34D9">
            <w:pPr>
              <w:spacing w:line="0" w:lineRule="atLeast"/>
              <w:rPr>
                <w:rFonts w:ascii="宋体" w:hAnsi="宋体"/>
                <w:szCs w:val="21"/>
              </w:rPr>
            </w:pPr>
            <w:r w:rsidRPr="00123108">
              <w:rPr>
                <w:rFonts w:ascii="宋体" w:hAnsi="宋体" w:hint="eastAsia"/>
                <w:szCs w:val="21"/>
              </w:rPr>
              <w:t>1669</w:t>
            </w:r>
          </w:p>
        </w:tc>
        <w:tc>
          <w:tcPr>
            <w:tcW w:w="4252" w:type="dxa"/>
          </w:tcPr>
          <w:p w:rsidR="004F34D9" w:rsidRPr="00123108" w:rsidRDefault="004F34D9">
            <w:pPr>
              <w:spacing w:line="0" w:lineRule="atLeast"/>
              <w:rPr>
                <w:rFonts w:ascii="宋体" w:hAnsi="宋体" w:hint="eastAsia"/>
                <w:szCs w:val="21"/>
              </w:rPr>
            </w:pPr>
            <w:r w:rsidRPr="00123108">
              <w:rPr>
                <w:rFonts w:ascii="宋体" w:hAnsi="宋体" w:hint="eastAsia"/>
              </w:rPr>
              <w:t>强酸、易燃或可燃物、二氧化碳、过氧化物</w:t>
            </w:r>
          </w:p>
        </w:tc>
      </w:tr>
    </w:tbl>
    <w:p w:rsidR="004F34D9" w:rsidRPr="00123108" w:rsidRDefault="004F34D9" w:rsidP="00D06780">
      <w:pPr>
        <w:pStyle w:val="2"/>
        <w:spacing w:line="500" w:lineRule="exact"/>
        <w:jc w:val="both"/>
        <w:rPr>
          <w:rFonts w:ascii="宋体" w:eastAsia="宋体" w:cs="宋体" w:hint="eastAsia"/>
          <w:sz w:val="28"/>
          <w:szCs w:val="28"/>
        </w:rPr>
      </w:pPr>
      <w:bookmarkStart w:id="1292" w:name="_Toc26294"/>
      <w:bookmarkStart w:id="1293" w:name="_Toc16968"/>
      <w:bookmarkStart w:id="1294" w:name="_Toc3809086"/>
      <w:bookmarkStart w:id="1295" w:name="_Toc434501626"/>
      <w:bookmarkStart w:id="1296" w:name="_Toc7994"/>
      <w:bookmarkStart w:id="1297" w:name="_Toc1550"/>
      <w:bookmarkStart w:id="1298" w:name="_Toc14125"/>
      <w:bookmarkStart w:id="1299" w:name="_Toc11746"/>
      <w:bookmarkStart w:id="1300" w:name="_Toc190935841"/>
      <w:r w:rsidRPr="00123108">
        <w:rPr>
          <w:rFonts w:ascii="宋体" w:eastAsia="宋体" w:cs="宋体" w:hint="eastAsia"/>
          <w:sz w:val="28"/>
          <w:szCs w:val="28"/>
        </w:rPr>
        <w:t>附件1.2  工艺过程的危险、有害因素分析</w:t>
      </w:r>
      <w:bookmarkEnd w:id="1292"/>
      <w:bookmarkEnd w:id="1293"/>
      <w:bookmarkEnd w:id="1294"/>
      <w:bookmarkEnd w:id="1295"/>
      <w:bookmarkEnd w:id="1296"/>
      <w:bookmarkEnd w:id="1297"/>
      <w:bookmarkEnd w:id="1298"/>
      <w:bookmarkEnd w:id="1299"/>
      <w:bookmarkEnd w:id="1300"/>
    </w:p>
    <w:p w:rsidR="004F34D9" w:rsidRPr="00123108" w:rsidRDefault="004F34D9" w:rsidP="00D06780">
      <w:pPr>
        <w:spacing w:line="500" w:lineRule="exact"/>
        <w:ind w:firstLineChars="200" w:firstLine="560"/>
        <w:rPr>
          <w:rFonts w:ascii="宋体" w:hAnsi="宋体" w:hint="eastAsia"/>
          <w:sz w:val="28"/>
        </w:rPr>
      </w:pPr>
      <w:bookmarkStart w:id="1301" w:name="_Toc21892"/>
      <w:r w:rsidRPr="00123108">
        <w:rPr>
          <w:rFonts w:cs="宋体" w:hint="eastAsia"/>
          <w:sz w:val="28"/>
        </w:rPr>
        <w:t>根据《国家安全监管总局关于公布首批重点监管的危险化工工艺目录的通知》原安监总管三</w:t>
      </w:r>
      <w:r w:rsidRPr="00123108">
        <w:rPr>
          <w:rFonts w:cs="宋体" w:hint="eastAsia"/>
          <w:sz w:val="28"/>
        </w:rPr>
        <w:t>[2009]116</w:t>
      </w:r>
      <w:r w:rsidRPr="00123108">
        <w:rPr>
          <w:rFonts w:cs="宋体" w:hint="eastAsia"/>
          <w:sz w:val="28"/>
        </w:rPr>
        <w:t>号及《国家安全监管总局关于公布第二批重点监管危险化工工艺目录和调整首批重点监管危险化工工艺中部分典型工艺的通知》原安监总管三</w:t>
      </w:r>
      <w:r w:rsidRPr="00123108">
        <w:rPr>
          <w:rFonts w:cs="宋体" w:hint="eastAsia"/>
          <w:sz w:val="28"/>
        </w:rPr>
        <w:t>[2013]3</w:t>
      </w:r>
      <w:r w:rsidRPr="00123108">
        <w:rPr>
          <w:rFonts w:cs="宋体" w:hint="eastAsia"/>
          <w:sz w:val="28"/>
        </w:rPr>
        <w:t>号，本项目涉及重点监管的危险化工工艺为聚合工艺</w:t>
      </w:r>
      <w:r w:rsidRPr="00123108">
        <w:rPr>
          <w:rFonts w:hint="eastAsia"/>
          <w:sz w:val="28"/>
          <w:szCs w:val="28"/>
        </w:rPr>
        <w:t>，聚合</w:t>
      </w:r>
      <w:r w:rsidRPr="00123108">
        <w:rPr>
          <w:rFonts w:hint="eastAsia"/>
          <w:sz w:val="28"/>
        </w:rPr>
        <w:t>工艺的危险特点包括：</w:t>
      </w:r>
      <w:r w:rsidRPr="00123108">
        <w:rPr>
          <w:rFonts w:ascii="宋体" w:hAnsi="宋体" w:cs="宋体" w:hint="eastAsia"/>
          <w:kern w:val="0"/>
          <w:sz w:val="28"/>
          <w:szCs w:val="28"/>
        </w:rPr>
        <w:t>聚合原料具有自聚和燃爆危险性；</w:t>
      </w:r>
      <w:r w:rsidRPr="00123108">
        <w:rPr>
          <w:rFonts w:ascii="宋体" w:hAnsi="宋体" w:hint="eastAsia"/>
          <w:sz w:val="28"/>
          <w:szCs w:val="28"/>
        </w:rPr>
        <w:t>如果反应过程中热量不能及时移出，随物料温度上升，发生裂解和爆聚，所产生的热量使裂解和爆聚过程进一步加剧，进而引发反应器爆炸；部分聚合助剂危险性较大。</w:t>
      </w:r>
      <w:r w:rsidRPr="00123108">
        <w:rPr>
          <w:rFonts w:ascii="宋体" w:hAnsi="宋体" w:cs="Arial" w:hint="eastAsia"/>
          <w:kern w:val="0"/>
          <w:sz w:val="28"/>
          <w:szCs w:val="28"/>
        </w:rPr>
        <w:t>本项目生产工艺过程包括：生产准备、下料过程、加热过程、聚合反应、灌气过程、中和、脱水输送、筛分、涂层包装。主要原料苯乙烯、戊烷、二甲苯以及</w:t>
      </w:r>
      <w:r w:rsidRPr="00123108">
        <w:rPr>
          <w:rFonts w:ascii="宋体" w:hAnsi="宋体" w:hint="eastAsia"/>
          <w:sz w:val="28"/>
          <w:szCs w:val="28"/>
        </w:rPr>
        <w:t>过氧化苯甲酰、过氧化苯甲酸叔丁酯、过氧化二异丙苯等均具为易燃物，同时有不同的毒性，</w:t>
      </w:r>
      <w:r w:rsidRPr="00123108">
        <w:rPr>
          <w:rFonts w:ascii="宋体" w:hAnsi="宋体" w:hint="eastAsia"/>
          <w:sz w:val="28"/>
        </w:rPr>
        <w:t>若发生泄漏或氧浓度控制超标，遇有明火或静电，就会发生火灾、爆炸、中毒、窒息及烫伤等危险。其中火灾、爆炸是本项目最大的危险有害因素。</w:t>
      </w:r>
    </w:p>
    <w:p w:rsidR="004F34D9" w:rsidRPr="00123108" w:rsidRDefault="004F34D9" w:rsidP="00D06780">
      <w:pPr>
        <w:pStyle w:val="af"/>
        <w:spacing w:line="500" w:lineRule="exact"/>
        <w:ind w:firstLine="560"/>
        <w:jc w:val="both"/>
        <w:rPr>
          <w:sz w:val="28"/>
          <w:szCs w:val="28"/>
        </w:rPr>
      </w:pPr>
      <w:r w:rsidRPr="00123108">
        <w:rPr>
          <w:rFonts w:hint="eastAsia"/>
          <w:sz w:val="28"/>
          <w:szCs w:val="28"/>
        </w:rPr>
        <w:t>本项目聚合反应为水相反应，反应温度控制</w:t>
      </w:r>
      <w:r w:rsidRPr="00123108">
        <w:rPr>
          <w:rFonts w:ascii="宋体" w:hAnsi="宋体" w:cs="Arial" w:hint="eastAsia"/>
          <w:kern w:val="0"/>
          <w:sz w:val="28"/>
          <w:szCs w:val="28"/>
        </w:rPr>
        <w:t>88～9</w:t>
      </w:r>
      <w:r w:rsidRPr="00123108">
        <w:rPr>
          <w:rFonts w:ascii="宋体" w:hAnsi="宋体" w:cs="Arial"/>
          <w:kern w:val="0"/>
          <w:sz w:val="28"/>
          <w:szCs w:val="28"/>
        </w:rPr>
        <w:t>2</w:t>
      </w:r>
      <w:r w:rsidRPr="00123108">
        <w:rPr>
          <w:rFonts w:ascii="宋体" w:hAnsi="宋体" w:cs="Arial" w:hint="eastAsia"/>
          <w:kern w:val="0"/>
          <w:sz w:val="28"/>
          <w:szCs w:val="28"/>
        </w:rPr>
        <w:t>℃，小于100℃，且为常压反应，聚合反应乳化液中水含量大于50%，该聚合工艺工艺风险相对较低。</w:t>
      </w:r>
    </w:p>
    <w:p w:rsidR="004F34D9" w:rsidRPr="00123108" w:rsidRDefault="004F34D9" w:rsidP="00D06780">
      <w:pPr>
        <w:spacing w:line="500" w:lineRule="exact"/>
        <w:outlineLvl w:val="2"/>
        <w:rPr>
          <w:rFonts w:hint="eastAsia"/>
          <w:sz w:val="28"/>
        </w:rPr>
      </w:pPr>
      <w:bookmarkStart w:id="1302" w:name="_Toc5208"/>
      <w:bookmarkStart w:id="1303" w:name="_Toc28819"/>
      <w:bookmarkStart w:id="1304" w:name="_Toc24064"/>
      <w:bookmarkStart w:id="1305" w:name="_Toc423076356"/>
      <w:bookmarkStart w:id="1306" w:name="_Toc245793541"/>
      <w:bookmarkStart w:id="1307" w:name="_Toc252533324"/>
      <w:bookmarkStart w:id="1308" w:name="_Toc323131562"/>
      <w:bookmarkStart w:id="1309" w:name="_Toc423074293"/>
      <w:bookmarkStart w:id="1310" w:name="_Toc422337970"/>
      <w:bookmarkStart w:id="1311" w:name="_Toc349747211"/>
      <w:bookmarkStart w:id="1312" w:name="_Toc469519387"/>
      <w:bookmarkStart w:id="1313" w:name="_Toc219518735"/>
      <w:bookmarkStart w:id="1314" w:name="_Toc349206854"/>
      <w:bookmarkStart w:id="1315" w:name="_Toc29930"/>
      <w:bookmarkStart w:id="1316" w:name="_Toc423335677"/>
      <w:bookmarkStart w:id="1317" w:name="_Toc326751833"/>
      <w:bookmarkStart w:id="1318" w:name="_Toc423076362"/>
      <w:bookmarkStart w:id="1319" w:name="_Toc252533330"/>
      <w:bookmarkStart w:id="1320" w:name="_Toc422384490"/>
      <w:bookmarkStart w:id="1321" w:name="_Toc190935842"/>
      <w:bookmarkEnd w:id="1301"/>
      <w:r w:rsidRPr="00123108">
        <w:rPr>
          <w:rFonts w:ascii="宋体" w:hAnsi="宋体" w:cs="宋体" w:hint="eastAsia"/>
          <w:b/>
          <w:bCs/>
          <w:sz w:val="28"/>
          <w:szCs w:val="32"/>
        </w:rPr>
        <w:t>附件1.2</w:t>
      </w:r>
      <w:r w:rsidRPr="00123108">
        <w:rPr>
          <w:rFonts w:ascii="宋体" w:hAnsi="宋体" w:cs="宋体" w:hint="eastAsia"/>
          <w:b/>
          <w:bCs/>
          <w:sz w:val="28"/>
          <w:szCs w:val="28"/>
        </w:rPr>
        <w:t xml:space="preserve">.1 </w:t>
      </w:r>
      <w:r w:rsidRPr="00123108">
        <w:rPr>
          <w:rFonts w:hint="eastAsia"/>
          <w:sz w:val="28"/>
        </w:rPr>
        <w:t>生产过程的危险性分析</w:t>
      </w:r>
      <w:bookmarkEnd w:id="1302"/>
      <w:bookmarkEnd w:id="1321"/>
    </w:p>
    <w:p w:rsidR="004F34D9" w:rsidRPr="00123108" w:rsidRDefault="004F34D9" w:rsidP="00D06780">
      <w:pPr>
        <w:spacing w:line="500" w:lineRule="exact"/>
        <w:ind w:firstLineChars="200" w:firstLine="560"/>
        <w:rPr>
          <w:rFonts w:ascii="宋体" w:hAnsi="宋体" w:hint="eastAsia"/>
          <w:sz w:val="28"/>
        </w:rPr>
      </w:pPr>
      <w:r w:rsidRPr="00123108">
        <w:rPr>
          <w:rFonts w:ascii="宋体" w:hAnsi="宋体" w:hint="eastAsia"/>
          <w:sz w:val="28"/>
        </w:rPr>
        <w:t>（1）生产准备：</w:t>
      </w:r>
      <w:r w:rsidRPr="00123108">
        <w:rPr>
          <w:rFonts w:ascii="宋体" w:hAnsi="宋体" w:cs="Arial" w:hint="eastAsia"/>
          <w:kern w:val="0"/>
          <w:sz w:val="28"/>
          <w:szCs w:val="28"/>
        </w:rPr>
        <w:t>生产准备过程中二甲苯、戊烷要输送到车间计量槽，若称重设备或自控仪表异常，高液位为及时停泵，有可能引发物料溢流，遇点火源发生火灾、爆炸事故。</w:t>
      </w:r>
    </w:p>
    <w:p w:rsidR="004F34D9" w:rsidRPr="00123108" w:rsidRDefault="004F34D9" w:rsidP="00D06780">
      <w:pPr>
        <w:spacing w:line="500" w:lineRule="exact"/>
        <w:ind w:firstLineChars="200" w:firstLine="560"/>
        <w:rPr>
          <w:rFonts w:ascii="宋体" w:hAnsi="宋体" w:hint="eastAsia"/>
          <w:sz w:val="28"/>
          <w:szCs w:val="28"/>
        </w:rPr>
      </w:pPr>
      <w:r w:rsidRPr="00123108">
        <w:rPr>
          <w:rFonts w:ascii="宋体" w:hAnsi="宋体" w:cs="Arial" w:hint="eastAsia"/>
          <w:kern w:val="0"/>
          <w:sz w:val="28"/>
          <w:szCs w:val="28"/>
        </w:rPr>
        <w:t>（2）下料过程：在用输送泵把反应物料苯乙烯、二甲苯等加入聚合釜的过程中，若反应釜内空气与</w:t>
      </w:r>
      <w:r w:rsidRPr="00123108">
        <w:rPr>
          <w:rFonts w:ascii="宋体" w:hAnsi="宋体" w:hint="eastAsia"/>
          <w:sz w:val="28"/>
          <w:szCs w:val="28"/>
        </w:rPr>
        <w:t>易燃液体蒸气混合可形成爆炸性混合物浓度达到爆炸区间内，遇点火源可引发火灾，爆炸等事故。</w:t>
      </w:r>
    </w:p>
    <w:p w:rsidR="004F34D9" w:rsidRPr="00123108" w:rsidRDefault="004F34D9" w:rsidP="00D06780">
      <w:pPr>
        <w:spacing w:line="500" w:lineRule="exact"/>
        <w:ind w:firstLineChars="200" w:firstLine="560"/>
        <w:rPr>
          <w:rFonts w:ascii="宋体" w:hAnsi="宋体"/>
          <w:sz w:val="28"/>
          <w:szCs w:val="28"/>
        </w:rPr>
      </w:pPr>
      <w:r w:rsidRPr="00123108">
        <w:rPr>
          <w:rFonts w:ascii="宋体" w:hAnsi="宋体" w:hint="eastAsia"/>
          <w:sz w:val="28"/>
          <w:szCs w:val="28"/>
        </w:rPr>
        <w:t>（3）</w:t>
      </w:r>
      <w:r w:rsidRPr="00123108">
        <w:rPr>
          <w:rFonts w:ascii="宋体" w:hAnsi="宋体" w:cs="Arial" w:hint="eastAsia"/>
          <w:kern w:val="0"/>
          <w:sz w:val="28"/>
          <w:szCs w:val="28"/>
        </w:rPr>
        <w:t>聚合反应：</w:t>
      </w:r>
      <w:r w:rsidRPr="00123108">
        <w:rPr>
          <w:rFonts w:ascii="宋体" w:hAnsi="宋体" w:hint="eastAsia"/>
          <w:sz w:val="28"/>
          <w:szCs w:val="28"/>
        </w:rPr>
        <w:t>苯乙烯聚合为放热反应，反应过程涉及苯乙烯、二甲苯</w:t>
      </w:r>
      <w:r w:rsidRPr="00123108">
        <w:rPr>
          <w:rFonts w:ascii="宋体" w:hAnsi="宋体" w:hint="eastAsia"/>
          <w:sz w:val="28"/>
          <w:szCs w:val="28"/>
        </w:rPr>
        <w:lastRenderedPageBreak/>
        <w:t>等易燃易爆物质，还涉及到有机过氧化物过氧化二苯甲酰和过氧化苯甲酸叔丁酯等，反应过程是用冷却水进行夹套冷却移走反应热，如果冷却不够、搅拌不均匀或失效，将导致温度骤升，可引发冲料，存在火灾、爆炸、中毒及烫伤等危险性。</w:t>
      </w:r>
    </w:p>
    <w:p w:rsidR="004F34D9" w:rsidRPr="00123108" w:rsidRDefault="004F34D9" w:rsidP="00D06780">
      <w:pPr>
        <w:spacing w:line="500" w:lineRule="exact"/>
        <w:ind w:firstLineChars="200" w:firstLine="560"/>
        <w:rPr>
          <w:rFonts w:ascii="宋体" w:hAnsi="宋体" w:hint="eastAsia"/>
          <w:sz w:val="28"/>
        </w:rPr>
      </w:pPr>
      <w:r w:rsidRPr="00123108">
        <w:rPr>
          <w:rFonts w:ascii="宋体" w:hAnsi="宋体" w:hint="eastAsia"/>
          <w:sz w:val="28"/>
        </w:rPr>
        <w:t>（4）</w:t>
      </w:r>
      <w:r w:rsidRPr="00123108">
        <w:rPr>
          <w:rFonts w:ascii="宋体" w:hAnsi="宋体" w:cs="Arial" w:hint="eastAsia"/>
          <w:kern w:val="0"/>
          <w:sz w:val="28"/>
          <w:szCs w:val="28"/>
        </w:rPr>
        <w:t>灌气过程：灌气过程中若釜内存有空气，戊烷</w:t>
      </w:r>
      <w:r w:rsidRPr="00123108">
        <w:rPr>
          <w:rFonts w:ascii="宋体" w:hAnsi="宋体" w:hint="eastAsia"/>
          <w:sz w:val="28"/>
          <w:szCs w:val="28"/>
        </w:rPr>
        <w:t>蒸气浓度达到爆炸区间内，遇静电等点火源则可引发火灾，爆炸等事故。同时，若冷却失效，导致温度持续上升，有容器爆炸的可能性。</w:t>
      </w:r>
    </w:p>
    <w:p w:rsidR="004F34D9" w:rsidRPr="00123108" w:rsidRDefault="004F34D9" w:rsidP="00D06780">
      <w:pPr>
        <w:spacing w:line="500" w:lineRule="exact"/>
        <w:ind w:firstLineChars="200" w:firstLine="560"/>
        <w:rPr>
          <w:rFonts w:ascii="宋体" w:hAnsi="宋体" w:hint="eastAsia"/>
          <w:sz w:val="28"/>
        </w:rPr>
      </w:pPr>
      <w:r w:rsidRPr="00123108">
        <w:rPr>
          <w:rFonts w:ascii="宋体" w:hAnsi="宋体" w:hint="eastAsia"/>
          <w:sz w:val="28"/>
        </w:rPr>
        <w:t>（5）中和过程：若盐酸输送过程发生泄漏，人员未按要求穿戴劳动防护用品，可引发灼烫伤害。</w:t>
      </w:r>
    </w:p>
    <w:p w:rsidR="004F34D9" w:rsidRPr="00123108" w:rsidRDefault="004F34D9" w:rsidP="00D06780">
      <w:pPr>
        <w:spacing w:line="500" w:lineRule="exact"/>
        <w:outlineLvl w:val="2"/>
        <w:rPr>
          <w:rFonts w:ascii="宋体" w:hAnsi="宋体" w:hint="eastAsia"/>
          <w:sz w:val="28"/>
        </w:rPr>
      </w:pPr>
      <w:bookmarkStart w:id="1322" w:name="_Toc190935843"/>
      <w:r w:rsidRPr="00123108">
        <w:rPr>
          <w:rFonts w:ascii="宋体" w:hAnsi="宋体" w:cs="宋体" w:hint="eastAsia"/>
          <w:b/>
          <w:bCs/>
          <w:sz w:val="28"/>
          <w:szCs w:val="32"/>
        </w:rPr>
        <w:t>附件1.2</w:t>
      </w:r>
      <w:r w:rsidRPr="00123108">
        <w:rPr>
          <w:rFonts w:ascii="宋体" w:hAnsi="宋体" w:cs="宋体" w:hint="eastAsia"/>
          <w:b/>
          <w:bCs/>
          <w:sz w:val="28"/>
          <w:szCs w:val="28"/>
        </w:rPr>
        <w:t xml:space="preserve">.2 </w:t>
      </w:r>
      <w:r w:rsidRPr="00123108">
        <w:rPr>
          <w:rFonts w:ascii="宋体" w:hAnsi="宋体" w:hint="eastAsia"/>
          <w:sz w:val="28"/>
        </w:rPr>
        <w:t>其他</w:t>
      </w:r>
      <w:r w:rsidRPr="00123108">
        <w:rPr>
          <w:rFonts w:hint="eastAsia"/>
          <w:sz w:val="28"/>
        </w:rPr>
        <w:t>生产过程的危险性分析</w:t>
      </w:r>
      <w:bookmarkEnd w:id="1322"/>
    </w:p>
    <w:p w:rsidR="004F34D9" w:rsidRPr="00123108" w:rsidRDefault="004F34D9" w:rsidP="00D06780">
      <w:pPr>
        <w:spacing w:line="500" w:lineRule="exact"/>
        <w:ind w:firstLineChars="200" w:firstLine="560"/>
        <w:rPr>
          <w:rFonts w:ascii="宋体" w:hAnsi="宋体"/>
          <w:sz w:val="28"/>
          <w:szCs w:val="28"/>
        </w:rPr>
      </w:pPr>
      <w:r w:rsidRPr="00123108">
        <w:rPr>
          <w:rFonts w:ascii="宋体" w:hAnsi="宋体" w:hint="eastAsia"/>
          <w:sz w:val="28"/>
          <w:szCs w:val="28"/>
        </w:rPr>
        <w:t>（1）物料输送：输送易燃液体时，若操作不当或设备、管道泄漏，空气进入系统，会形成爆炸性混合物；如采用离心泵输送易燃液体，可能因撞击而产生火花；同时，若设备、管道没有良好的接地，法兰处没有金属导体跨接，物料流速超出安全要求的范围内，加料管没有插到距储罐、容器的底部200mm处，也易积聚静电引起火灾；若输送可燃液体、腐蚀性液体的设备、管道密封性不好，输送过程中管道（特别是胶管）受压易脱落漏料而引起火灾、中毒、灼伤等事故。</w:t>
      </w:r>
    </w:p>
    <w:p w:rsidR="004F34D9" w:rsidRPr="00123108" w:rsidRDefault="004F34D9" w:rsidP="00D06780">
      <w:pPr>
        <w:spacing w:line="500" w:lineRule="exact"/>
        <w:ind w:firstLineChars="200" w:firstLine="560"/>
        <w:rPr>
          <w:rFonts w:ascii="宋体" w:hAnsi="宋体"/>
          <w:sz w:val="28"/>
          <w:szCs w:val="28"/>
        </w:rPr>
      </w:pPr>
      <w:r w:rsidRPr="00123108">
        <w:rPr>
          <w:rFonts w:ascii="宋体" w:hAnsi="宋体" w:hint="eastAsia"/>
          <w:sz w:val="28"/>
          <w:szCs w:val="28"/>
        </w:rPr>
        <w:t>（2）混合：利用机械搅拌进行混合的操作过程，如桨叶的强度不能满足要求，搅拌器转速过快，可能造成电机超负荷、浆叶断裂以及物料飞溅；涉及易燃物料的，混合设备如密闭性不强、设备未安装静电导除装置等可能发生事故。</w:t>
      </w:r>
    </w:p>
    <w:p w:rsidR="004F34D9" w:rsidRPr="00123108" w:rsidRDefault="004F34D9" w:rsidP="00D06780">
      <w:pPr>
        <w:spacing w:line="500" w:lineRule="exact"/>
        <w:ind w:firstLineChars="200" w:firstLine="560"/>
        <w:rPr>
          <w:rFonts w:ascii="宋体" w:hAnsi="宋体"/>
          <w:sz w:val="28"/>
          <w:szCs w:val="28"/>
        </w:rPr>
      </w:pPr>
      <w:bookmarkStart w:id="1323" w:name="_Hlk70231808"/>
      <w:r w:rsidRPr="00123108">
        <w:rPr>
          <w:rFonts w:ascii="宋体" w:hAnsi="宋体" w:hint="eastAsia"/>
          <w:sz w:val="28"/>
          <w:szCs w:val="28"/>
        </w:rPr>
        <w:t>（3）过氧化物添加：引发剂用的是有机过氧化物，引发剂采用批次称量、加入，根据配方要求，称量好定量的引发剂，纯水、苯乙烯下料完毕，从加料口加入引发剂。对其风险分析如下：</w:t>
      </w:r>
    </w:p>
    <w:p w:rsidR="004F34D9" w:rsidRPr="00123108" w:rsidRDefault="004F34D9" w:rsidP="00D06780">
      <w:pPr>
        <w:spacing w:line="500" w:lineRule="exact"/>
        <w:ind w:firstLineChars="200" w:firstLine="560"/>
        <w:rPr>
          <w:rFonts w:ascii="宋体" w:hAnsi="宋体"/>
          <w:sz w:val="28"/>
          <w:szCs w:val="28"/>
        </w:rPr>
      </w:pPr>
      <w:r w:rsidRPr="00123108">
        <w:rPr>
          <w:rFonts w:ascii="宋体" w:hAnsi="宋体" w:hint="eastAsia"/>
          <w:sz w:val="28"/>
          <w:szCs w:val="28"/>
        </w:rPr>
        <w:t>①加料过程，</w:t>
      </w:r>
      <w:r w:rsidR="0015563A" w:rsidRPr="00123108">
        <w:rPr>
          <w:rFonts w:ascii="宋体" w:hAnsi="宋体" w:hint="eastAsia"/>
          <w:sz w:val="28"/>
          <w:szCs w:val="28"/>
        </w:rPr>
        <w:t>采用下料斗隔离式加料</w:t>
      </w:r>
      <w:r w:rsidRPr="00123108">
        <w:rPr>
          <w:rFonts w:ascii="宋体" w:hAnsi="宋体" w:hint="eastAsia"/>
          <w:sz w:val="28"/>
          <w:szCs w:val="28"/>
        </w:rPr>
        <w:t>，</w:t>
      </w:r>
      <w:r w:rsidR="0015563A" w:rsidRPr="00123108">
        <w:rPr>
          <w:rFonts w:ascii="宋体" w:hAnsi="宋体" w:hint="eastAsia"/>
          <w:sz w:val="28"/>
          <w:szCs w:val="28"/>
        </w:rPr>
        <w:t>若加料过程发生泄漏，</w:t>
      </w:r>
      <w:r w:rsidRPr="00123108">
        <w:rPr>
          <w:rFonts w:ascii="宋体" w:hAnsi="宋体" w:hint="eastAsia"/>
          <w:sz w:val="28"/>
          <w:szCs w:val="28"/>
        </w:rPr>
        <w:t>反应釜中苯乙烯可能存在少量挥发，可与空气混合形成爆炸性混合气体，若遇火花、静电等点火源可能会发生火灾、爆炸事故。</w:t>
      </w:r>
    </w:p>
    <w:p w:rsidR="004F34D9" w:rsidRPr="00123108" w:rsidRDefault="004F34D9" w:rsidP="00D06780">
      <w:pPr>
        <w:spacing w:line="500" w:lineRule="exact"/>
        <w:ind w:firstLineChars="200" w:firstLine="560"/>
        <w:rPr>
          <w:rFonts w:ascii="宋体" w:hAnsi="宋体"/>
          <w:sz w:val="28"/>
          <w:szCs w:val="28"/>
        </w:rPr>
      </w:pPr>
      <w:r w:rsidRPr="00123108">
        <w:rPr>
          <w:rFonts w:ascii="宋体" w:hAnsi="宋体" w:hint="eastAsia"/>
          <w:sz w:val="28"/>
          <w:szCs w:val="28"/>
        </w:rPr>
        <w:t>②所添加有机过氧化物为强氧化剂，易燃，遇热、摩擦、震动或杂质污</w:t>
      </w:r>
      <w:r w:rsidRPr="00123108">
        <w:rPr>
          <w:rFonts w:ascii="宋体" w:hAnsi="宋体" w:hint="eastAsia"/>
          <w:sz w:val="28"/>
          <w:szCs w:val="28"/>
        </w:rPr>
        <w:lastRenderedPageBreak/>
        <w:t>染均能引起爆炸性分解。加料过程中若操作不慎可能导致火灾事故。</w:t>
      </w:r>
    </w:p>
    <w:p w:rsidR="004F34D9" w:rsidRPr="00123108" w:rsidRDefault="004F34D9" w:rsidP="00D06780">
      <w:pPr>
        <w:spacing w:line="500" w:lineRule="exact"/>
        <w:ind w:firstLineChars="200" w:firstLine="560"/>
        <w:rPr>
          <w:rFonts w:ascii="宋体" w:hAnsi="宋体"/>
          <w:sz w:val="28"/>
          <w:szCs w:val="28"/>
        </w:rPr>
      </w:pPr>
      <w:r w:rsidRPr="00123108">
        <w:rPr>
          <w:rFonts w:ascii="宋体" w:hAnsi="宋体" w:hint="eastAsia"/>
          <w:sz w:val="28"/>
          <w:szCs w:val="28"/>
        </w:rPr>
        <w:t>③过氧化苯甲酰、过氧化苯甲酸叔丁酯等过氧化物属于强氧化剂，</w:t>
      </w:r>
      <w:r w:rsidR="003D6E32" w:rsidRPr="00123108">
        <w:rPr>
          <w:rFonts w:ascii="宋体" w:hAnsi="宋体" w:hint="eastAsia"/>
          <w:sz w:val="28"/>
          <w:szCs w:val="28"/>
        </w:rPr>
        <w:t>使用是需在现场少量存放</w:t>
      </w:r>
      <w:r w:rsidRPr="00123108">
        <w:rPr>
          <w:rFonts w:ascii="宋体" w:hAnsi="宋体" w:hint="eastAsia"/>
          <w:sz w:val="28"/>
          <w:szCs w:val="28"/>
        </w:rPr>
        <w:t>，若在干燥状态下使用、储存时遇到火星、静电等点火源可能会发生燃烧、爆炸。</w:t>
      </w:r>
    </w:p>
    <w:bookmarkEnd w:id="1323"/>
    <w:p w:rsidR="004F34D9" w:rsidRPr="00123108" w:rsidRDefault="004F34D9" w:rsidP="00D06780">
      <w:pPr>
        <w:spacing w:line="500" w:lineRule="exact"/>
        <w:ind w:firstLineChars="200" w:firstLine="560"/>
        <w:rPr>
          <w:rFonts w:ascii="宋体" w:hAnsi="宋体"/>
          <w:sz w:val="28"/>
          <w:szCs w:val="28"/>
        </w:rPr>
      </w:pPr>
      <w:r w:rsidRPr="00123108">
        <w:rPr>
          <w:rFonts w:ascii="宋体" w:hAnsi="宋体" w:hint="eastAsia"/>
          <w:sz w:val="28"/>
          <w:szCs w:val="28"/>
        </w:rPr>
        <w:t>（4）加热</w:t>
      </w:r>
    </w:p>
    <w:p w:rsidR="004F34D9" w:rsidRPr="00123108" w:rsidRDefault="004F34D9" w:rsidP="00D06780">
      <w:pPr>
        <w:spacing w:line="500" w:lineRule="exact"/>
        <w:ind w:firstLineChars="200" w:firstLine="560"/>
        <w:rPr>
          <w:rFonts w:ascii="宋体" w:hAnsi="宋体"/>
          <w:sz w:val="28"/>
          <w:szCs w:val="28"/>
        </w:rPr>
      </w:pPr>
      <w:r w:rsidRPr="00123108">
        <w:rPr>
          <w:rFonts w:ascii="宋体" w:hAnsi="宋体" w:hint="eastAsia"/>
          <w:sz w:val="28"/>
          <w:szCs w:val="28"/>
        </w:rPr>
        <w:t>用蒸汽加热时，蒸汽夹套和管道的耐压强度会因材料腐蚀或老化而降低，或者如果所使用的蒸汽压力超过设备的工作压力时（如减压阀失效），容器或管道有可能爆裂，引起高温灼伤事故；加热的设备、管道应做好保温，否则，有可能引燃可燃物或发生烫伤。</w:t>
      </w:r>
    </w:p>
    <w:p w:rsidR="004F34D9" w:rsidRPr="00123108" w:rsidRDefault="004F34D9" w:rsidP="00D06780">
      <w:pPr>
        <w:spacing w:line="500" w:lineRule="exact"/>
        <w:ind w:firstLineChars="200" w:firstLine="560"/>
        <w:rPr>
          <w:rFonts w:ascii="宋体" w:hAnsi="宋体"/>
          <w:sz w:val="28"/>
          <w:szCs w:val="28"/>
        </w:rPr>
      </w:pPr>
      <w:r w:rsidRPr="00123108">
        <w:rPr>
          <w:rFonts w:ascii="宋体" w:hAnsi="宋体" w:hint="eastAsia"/>
          <w:sz w:val="28"/>
          <w:szCs w:val="28"/>
        </w:rPr>
        <w:t>（5）冷却与冷凝：如冷却设备的密闭性不良，物料与冷却剂之间互窜，可造成生产事故或安全事故；冷却水中断，反应热不能及时移去，会使反应异常，系统压力增高，甚至发生爆炸；冷却、冷凝器如断水，会使后部系统温度升高，未凝的危险气体外逸排空，有可能导致火灾爆炸或中毒事故。</w:t>
      </w:r>
    </w:p>
    <w:p w:rsidR="004F34D9" w:rsidRPr="00123108" w:rsidRDefault="004F34D9" w:rsidP="00D06780">
      <w:pPr>
        <w:spacing w:line="500" w:lineRule="exact"/>
        <w:ind w:firstLineChars="200" w:firstLine="560"/>
        <w:rPr>
          <w:rFonts w:ascii="宋体" w:hAnsi="宋体"/>
          <w:sz w:val="28"/>
          <w:szCs w:val="28"/>
        </w:rPr>
      </w:pPr>
      <w:r w:rsidRPr="00123108">
        <w:rPr>
          <w:rFonts w:ascii="宋体" w:hAnsi="宋体" w:hint="eastAsia"/>
          <w:sz w:val="28"/>
          <w:szCs w:val="28"/>
        </w:rPr>
        <w:t>（6）洗涤：洗涤过程涉及酸性腐蚀品盐酸，管道或法兰老化，密封不严而泄漏，导致人体灼伤等危险性。</w:t>
      </w:r>
    </w:p>
    <w:p w:rsidR="004F34D9" w:rsidRPr="00123108" w:rsidRDefault="004F34D9" w:rsidP="00D06780">
      <w:pPr>
        <w:spacing w:line="500" w:lineRule="exact"/>
        <w:ind w:firstLineChars="200" w:firstLine="560"/>
        <w:rPr>
          <w:rFonts w:ascii="宋体" w:hAnsi="宋体"/>
          <w:sz w:val="28"/>
          <w:szCs w:val="28"/>
        </w:rPr>
      </w:pPr>
      <w:r w:rsidRPr="00123108">
        <w:rPr>
          <w:rFonts w:ascii="宋体" w:hAnsi="宋体" w:hint="eastAsia"/>
          <w:sz w:val="28"/>
          <w:szCs w:val="28"/>
        </w:rPr>
        <w:t>（7）分离</w:t>
      </w:r>
      <w:r w:rsidRPr="00123108">
        <w:rPr>
          <w:rFonts w:ascii="宋体" w:hAnsi="宋体"/>
          <w:sz w:val="28"/>
          <w:szCs w:val="28"/>
        </w:rPr>
        <w:t>干燥</w:t>
      </w:r>
      <w:r w:rsidRPr="00123108">
        <w:rPr>
          <w:rFonts w:ascii="宋体" w:hAnsi="宋体" w:hint="eastAsia"/>
          <w:sz w:val="28"/>
          <w:szCs w:val="28"/>
        </w:rPr>
        <w:t>：</w:t>
      </w:r>
      <w:r w:rsidRPr="00123108">
        <w:rPr>
          <w:rFonts w:ascii="宋体" w:hAnsi="宋体"/>
          <w:sz w:val="28"/>
          <w:szCs w:val="28"/>
        </w:rPr>
        <w:t>干燥过程中</w:t>
      </w:r>
      <w:r w:rsidRPr="00123108">
        <w:rPr>
          <w:rFonts w:ascii="宋体" w:hAnsi="宋体" w:hint="eastAsia"/>
          <w:sz w:val="28"/>
          <w:szCs w:val="28"/>
        </w:rPr>
        <w:t>用蒸汽加热脱水干燥机的进风，若蒸汽管道或法兰老化，密封不严而泄漏，导致人体烫伤等危险性。</w:t>
      </w:r>
    </w:p>
    <w:p w:rsidR="004F34D9" w:rsidRPr="00123108" w:rsidRDefault="004F34D9" w:rsidP="00D06780">
      <w:pPr>
        <w:spacing w:line="500" w:lineRule="exact"/>
        <w:ind w:firstLineChars="200" w:firstLine="560"/>
        <w:rPr>
          <w:rFonts w:ascii="宋体" w:hAnsi="宋体"/>
          <w:sz w:val="28"/>
          <w:szCs w:val="28"/>
        </w:rPr>
      </w:pPr>
      <w:r w:rsidRPr="00123108">
        <w:rPr>
          <w:rFonts w:ascii="宋体" w:hAnsi="宋体" w:cs="宋体" w:hint="eastAsia"/>
          <w:kern w:val="0"/>
          <w:sz w:val="28"/>
          <w:szCs w:val="28"/>
        </w:rPr>
        <w:t>（</w:t>
      </w:r>
      <w:r w:rsidRPr="00123108">
        <w:rPr>
          <w:rFonts w:ascii="宋体" w:hAnsi="宋体" w:hint="eastAsia"/>
          <w:sz w:val="28"/>
          <w:szCs w:val="28"/>
        </w:rPr>
        <w:t>8</w:t>
      </w:r>
      <w:r w:rsidRPr="00123108">
        <w:rPr>
          <w:rFonts w:ascii="宋体" w:hAnsi="宋体"/>
          <w:sz w:val="28"/>
          <w:szCs w:val="28"/>
        </w:rPr>
        <w:t>）</w:t>
      </w:r>
      <w:r w:rsidRPr="00123108">
        <w:rPr>
          <w:rFonts w:ascii="宋体" w:hAnsi="宋体" w:hint="eastAsia"/>
          <w:sz w:val="28"/>
          <w:szCs w:val="28"/>
        </w:rPr>
        <w:t>其它燃烧、爆炸危险</w:t>
      </w:r>
    </w:p>
    <w:p w:rsidR="004F34D9" w:rsidRPr="00123108" w:rsidRDefault="004F34D9" w:rsidP="00D06780">
      <w:pPr>
        <w:spacing w:line="500" w:lineRule="exact"/>
        <w:ind w:firstLineChars="200" w:firstLine="560"/>
        <w:rPr>
          <w:rFonts w:ascii="宋体" w:hAnsi="宋体"/>
          <w:sz w:val="28"/>
        </w:rPr>
      </w:pPr>
      <w:r w:rsidRPr="00123108">
        <w:rPr>
          <w:rFonts w:ascii="宋体" w:hAnsi="宋体" w:hint="eastAsia"/>
          <w:sz w:val="28"/>
          <w:szCs w:val="28"/>
        </w:rPr>
        <w:t>其它燃烧、爆炸危险主要是指事故状态下的危险以及电缆、电机、雷电、静电等引起的燃烧爆炸危险。</w:t>
      </w:r>
    </w:p>
    <w:p w:rsidR="004F34D9" w:rsidRPr="00123108" w:rsidRDefault="004F34D9" w:rsidP="00D06780">
      <w:pPr>
        <w:numPr>
          <w:ilvl w:val="0"/>
          <w:numId w:val="53"/>
        </w:numPr>
        <w:tabs>
          <w:tab w:val="left" w:pos="1050"/>
        </w:tabs>
        <w:spacing w:line="500" w:lineRule="exact"/>
        <w:ind w:left="0" w:firstLineChars="200" w:firstLine="560"/>
        <w:rPr>
          <w:rFonts w:ascii="宋体" w:hAnsi="宋体"/>
          <w:sz w:val="28"/>
          <w:szCs w:val="28"/>
        </w:rPr>
      </w:pPr>
      <w:r w:rsidRPr="00123108">
        <w:rPr>
          <w:rFonts w:ascii="宋体" w:hAnsi="宋体" w:hint="eastAsia"/>
          <w:sz w:val="28"/>
          <w:szCs w:val="28"/>
        </w:rPr>
        <w:t>生产过程中可能发生紧急情况，如突然停水、停电、停汽等事故。在发生停电、停水时，可能造成反应釜内局部温度过高、热量不能被及时的带出，系统压力增高，甚至发生爆炸。</w:t>
      </w:r>
    </w:p>
    <w:p w:rsidR="004F34D9" w:rsidRPr="00123108" w:rsidRDefault="004F34D9" w:rsidP="00D06780">
      <w:pPr>
        <w:numPr>
          <w:ilvl w:val="0"/>
          <w:numId w:val="53"/>
        </w:numPr>
        <w:tabs>
          <w:tab w:val="left" w:pos="1050"/>
        </w:tabs>
        <w:spacing w:line="500" w:lineRule="exact"/>
        <w:ind w:left="0" w:firstLineChars="200" w:firstLine="560"/>
        <w:rPr>
          <w:rFonts w:ascii="宋体" w:hAnsi="宋体"/>
          <w:sz w:val="28"/>
          <w:szCs w:val="28"/>
        </w:rPr>
      </w:pPr>
      <w:r w:rsidRPr="00123108">
        <w:rPr>
          <w:rFonts w:ascii="宋体" w:hAnsi="宋体" w:hint="eastAsia"/>
          <w:sz w:val="28"/>
          <w:szCs w:val="28"/>
        </w:rPr>
        <w:t>操作过程中，由于</w:t>
      </w:r>
      <w:r w:rsidRPr="00123108">
        <w:rPr>
          <w:rFonts w:ascii="宋体" w:hAnsi="宋体" w:hint="eastAsia"/>
          <w:sz w:val="28"/>
        </w:rPr>
        <w:t>危险性物料</w:t>
      </w:r>
      <w:r w:rsidRPr="00123108">
        <w:rPr>
          <w:rFonts w:ascii="宋体" w:hAnsi="宋体" w:hint="eastAsia"/>
          <w:sz w:val="28"/>
          <w:szCs w:val="28"/>
        </w:rPr>
        <w:t>的泄漏导致地沟、电缆沟中的</w:t>
      </w:r>
      <w:r w:rsidRPr="00123108">
        <w:rPr>
          <w:rFonts w:ascii="宋体" w:hAnsi="宋体" w:hint="eastAsia"/>
          <w:sz w:val="28"/>
        </w:rPr>
        <w:t>危险性物料蒸气</w:t>
      </w:r>
      <w:r w:rsidRPr="00123108">
        <w:rPr>
          <w:rFonts w:ascii="宋体" w:hAnsi="宋体" w:hint="eastAsia"/>
          <w:sz w:val="28"/>
          <w:szCs w:val="28"/>
        </w:rPr>
        <w:t>浓度较大，再加上设备维护检修不及时，润滑油流入地沟、电缆沟的事故也常常发生，若烟火管制、现场动火管理制度执行不严或电缆使用年限长，由于外包的绝缘层破损而引起电火花等，都会造成电缆燃烧、电气设备烧毁等严重事故。</w:t>
      </w:r>
    </w:p>
    <w:p w:rsidR="004F34D9" w:rsidRPr="00123108" w:rsidRDefault="004F34D9" w:rsidP="00D06780">
      <w:pPr>
        <w:numPr>
          <w:ilvl w:val="0"/>
          <w:numId w:val="53"/>
        </w:numPr>
        <w:tabs>
          <w:tab w:val="left" w:pos="1050"/>
        </w:tabs>
        <w:spacing w:line="500" w:lineRule="exact"/>
        <w:ind w:left="0" w:firstLineChars="200" w:firstLine="560"/>
        <w:rPr>
          <w:rFonts w:ascii="宋体" w:hAnsi="宋体"/>
          <w:sz w:val="28"/>
          <w:szCs w:val="28"/>
        </w:rPr>
      </w:pPr>
      <w:r w:rsidRPr="00123108">
        <w:rPr>
          <w:rFonts w:ascii="宋体" w:hAnsi="宋体" w:hint="eastAsia"/>
          <w:sz w:val="28"/>
          <w:szCs w:val="28"/>
        </w:rPr>
        <w:lastRenderedPageBreak/>
        <w:t>由于电缆、电气设备自身的安装、接头、超载等其它原因，也会引发电缆、电气设备烧毁。此外，若现场人员未按规定穿戴防静电服，在作业过程中，由于摩擦会形成很高的静电压，产生静电火花，具有一定的危险性。</w:t>
      </w:r>
    </w:p>
    <w:p w:rsidR="004F34D9" w:rsidRPr="00123108" w:rsidRDefault="004F34D9" w:rsidP="00D06780">
      <w:pPr>
        <w:numPr>
          <w:ilvl w:val="0"/>
          <w:numId w:val="53"/>
        </w:numPr>
        <w:tabs>
          <w:tab w:val="left" w:pos="1050"/>
        </w:tabs>
        <w:spacing w:line="500" w:lineRule="exact"/>
        <w:ind w:left="0" w:firstLineChars="200" w:firstLine="560"/>
        <w:rPr>
          <w:rFonts w:ascii="宋体" w:hAnsi="宋体"/>
          <w:sz w:val="28"/>
        </w:rPr>
      </w:pPr>
      <w:r w:rsidRPr="00123108">
        <w:rPr>
          <w:rFonts w:ascii="宋体" w:hAnsi="宋体" w:hint="eastAsia"/>
          <w:sz w:val="28"/>
          <w:szCs w:val="28"/>
        </w:rPr>
        <w:t>雷雨季节，由于厂房、仓库的防雷、防静电设施不完善、破损、接地电阻超标等原因，在遭受直击雷、感应雷的侵入时，都将引起燃烧爆炸事故。</w:t>
      </w:r>
    </w:p>
    <w:p w:rsidR="004F34D9" w:rsidRPr="00123108" w:rsidRDefault="004F34D9" w:rsidP="00D06780">
      <w:pPr>
        <w:numPr>
          <w:ilvl w:val="0"/>
          <w:numId w:val="53"/>
        </w:numPr>
        <w:tabs>
          <w:tab w:val="left" w:pos="1050"/>
        </w:tabs>
        <w:spacing w:line="500" w:lineRule="exact"/>
        <w:ind w:left="0" w:firstLineChars="200" w:firstLine="560"/>
        <w:rPr>
          <w:rFonts w:ascii="宋体" w:hAnsi="宋体"/>
          <w:bCs/>
          <w:sz w:val="28"/>
        </w:rPr>
      </w:pPr>
      <w:r w:rsidRPr="00123108">
        <w:rPr>
          <w:rFonts w:ascii="宋体" w:hAnsi="宋体" w:hint="eastAsia"/>
          <w:bCs/>
          <w:sz w:val="28"/>
        </w:rPr>
        <w:t>在加热过程中，加热设备加热不均，致使局部温度升温过快过高，容易使物料燃烧，甚至发生爆炸事故。</w:t>
      </w:r>
    </w:p>
    <w:p w:rsidR="004F34D9" w:rsidRPr="00123108" w:rsidRDefault="004F34D9" w:rsidP="00D06780">
      <w:pPr>
        <w:numPr>
          <w:ilvl w:val="0"/>
          <w:numId w:val="53"/>
        </w:numPr>
        <w:tabs>
          <w:tab w:val="left" w:pos="1050"/>
        </w:tabs>
        <w:spacing w:line="500" w:lineRule="exact"/>
        <w:ind w:left="0" w:firstLineChars="200" w:firstLine="560"/>
        <w:rPr>
          <w:rFonts w:ascii="宋体" w:hAnsi="宋体"/>
          <w:bCs/>
          <w:sz w:val="28"/>
        </w:rPr>
      </w:pPr>
      <w:r w:rsidRPr="00123108">
        <w:rPr>
          <w:rFonts w:ascii="宋体" w:hAnsi="宋体" w:hint="eastAsia"/>
          <w:bCs/>
          <w:sz w:val="28"/>
        </w:rPr>
        <w:t>停电、搅拌系统故障、桨叶损坏、转速不够、桨叶形式不当、物料粉碎度不够等则会使反应物料在器内分散不均匀，造成散热不良或局部反应过于剧烈而发生危险。违反生产操作规程、物料超装、催化剂加入过多，原料配比、投料次序和时间不当、冷却剂阀门开关失误、升温速度过快、温度、压力指示数读错、计量仪器仪表有故障等原因均可引起物料化学反应的异常。</w:t>
      </w:r>
    </w:p>
    <w:p w:rsidR="004F34D9" w:rsidRPr="00123108" w:rsidRDefault="004F34D9" w:rsidP="00D06780">
      <w:pPr>
        <w:numPr>
          <w:ilvl w:val="0"/>
          <w:numId w:val="53"/>
        </w:numPr>
        <w:tabs>
          <w:tab w:val="left" w:pos="1050"/>
        </w:tabs>
        <w:spacing w:line="500" w:lineRule="exact"/>
        <w:ind w:left="0" w:firstLineChars="200" w:firstLine="560"/>
        <w:rPr>
          <w:rFonts w:ascii="宋体" w:hAnsi="宋体"/>
          <w:sz w:val="28"/>
        </w:rPr>
      </w:pPr>
      <w:r w:rsidRPr="00123108">
        <w:rPr>
          <w:rFonts w:ascii="宋体" w:hAnsi="宋体" w:hint="eastAsia"/>
          <w:sz w:val="28"/>
        </w:rPr>
        <w:t>在加料及物料输送及混合搅拌过程中，管道、管件、搅拌机、泵等由于长期使用或选材不当被腐蚀，仪表长期使用以及其它原因引起的物料泄漏，泄漏的物料可能会使操作人员中毒，泄漏物遇明火或高温可能引起火灾、爆炸事故。</w:t>
      </w:r>
    </w:p>
    <w:p w:rsidR="004F34D9" w:rsidRPr="00123108" w:rsidRDefault="004F34D9" w:rsidP="00D06780">
      <w:pPr>
        <w:numPr>
          <w:ilvl w:val="0"/>
          <w:numId w:val="53"/>
        </w:numPr>
        <w:tabs>
          <w:tab w:val="left" w:pos="1050"/>
        </w:tabs>
        <w:spacing w:line="500" w:lineRule="exact"/>
        <w:ind w:left="0" w:firstLineChars="200" w:firstLine="560"/>
        <w:rPr>
          <w:rFonts w:ascii="宋体" w:hAnsi="宋体"/>
          <w:sz w:val="28"/>
          <w:szCs w:val="28"/>
        </w:rPr>
      </w:pPr>
      <w:r w:rsidRPr="00123108">
        <w:rPr>
          <w:rFonts w:ascii="宋体" w:hAnsi="宋体" w:hint="eastAsia"/>
          <w:sz w:val="28"/>
        </w:rPr>
        <w:t>物料在混合搅拌过程中，可能因为排风设施不良，造成易燃易爆的蒸气积聚，易造成火灾、爆炸和中毒事故。</w:t>
      </w:r>
    </w:p>
    <w:p w:rsidR="004F34D9" w:rsidRPr="00123108" w:rsidRDefault="004F34D9" w:rsidP="00D06780">
      <w:pPr>
        <w:numPr>
          <w:ilvl w:val="0"/>
          <w:numId w:val="53"/>
        </w:numPr>
        <w:tabs>
          <w:tab w:val="left" w:pos="1050"/>
        </w:tabs>
        <w:spacing w:line="500" w:lineRule="exact"/>
        <w:ind w:left="0" w:firstLineChars="200" w:firstLine="560"/>
        <w:rPr>
          <w:rFonts w:ascii="宋体" w:hAnsi="宋体"/>
          <w:sz w:val="28"/>
        </w:rPr>
      </w:pPr>
      <w:r w:rsidRPr="00123108">
        <w:rPr>
          <w:rFonts w:ascii="宋体" w:hAnsi="宋体" w:hint="eastAsia"/>
          <w:sz w:val="28"/>
        </w:rPr>
        <w:t>工人在操作工程中，穿易产生静电的服装，产生静电，特别是人工投料时，容易造成火灾、爆炸事故。</w:t>
      </w:r>
    </w:p>
    <w:p w:rsidR="004F34D9" w:rsidRPr="00123108" w:rsidRDefault="004F34D9" w:rsidP="00D06780">
      <w:pPr>
        <w:numPr>
          <w:ilvl w:val="0"/>
          <w:numId w:val="53"/>
        </w:numPr>
        <w:tabs>
          <w:tab w:val="left" w:pos="1050"/>
        </w:tabs>
        <w:spacing w:line="500" w:lineRule="exact"/>
        <w:ind w:left="0" w:firstLineChars="200" w:firstLine="560"/>
        <w:rPr>
          <w:rFonts w:ascii="宋体" w:hAnsi="宋体"/>
          <w:sz w:val="28"/>
        </w:rPr>
      </w:pPr>
      <w:r w:rsidRPr="00123108">
        <w:rPr>
          <w:rFonts w:ascii="宋体" w:hAnsi="宋体" w:hint="eastAsia"/>
          <w:sz w:val="28"/>
        </w:rPr>
        <w:t>车间内的泵、照明等电气设备不防爆，容易造成电气火灾事故。</w:t>
      </w:r>
    </w:p>
    <w:p w:rsidR="004F34D9" w:rsidRPr="00123108" w:rsidRDefault="004F34D9" w:rsidP="00D06780">
      <w:pPr>
        <w:numPr>
          <w:ilvl w:val="0"/>
          <w:numId w:val="53"/>
        </w:numPr>
        <w:tabs>
          <w:tab w:val="left" w:pos="1050"/>
        </w:tabs>
        <w:spacing w:line="500" w:lineRule="exact"/>
        <w:ind w:left="0" w:firstLineChars="200" w:firstLine="560"/>
        <w:rPr>
          <w:rFonts w:ascii="宋体" w:hAnsi="宋体"/>
          <w:sz w:val="28"/>
          <w:szCs w:val="28"/>
        </w:rPr>
      </w:pPr>
      <w:r w:rsidRPr="00123108">
        <w:rPr>
          <w:rFonts w:ascii="宋体" w:hAnsi="宋体" w:hint="eastAsia"/>
          <w:sz w:val="28"/>
        </w:rPr>
        <w:t>二甲苯、</w:t>
      </w:r>
      <w:r w:rsidRPr="00123108">
        <w:rPr>
          <w:rFonts w:ascii="宋体" w:hAnsi="宋体" w:hint="eastAsia"/>
          <w:sz w:val="28"/>
          <w:szCs w:val="28"/>
        </w:rPr>
        <w:t>戊烷和苯乙烯等</w:t>
      </w:r>
      <w:r w:rsidRPr="00123108">
        <w:rPr>
          <w:rFonts w:ascii="宋体" w:hAnsi="宋体"/>
          <w:sz w:val="28"/>
          <w:szCs w:val="28"/>
        </w:rPr>
        <w:t>在</w:t>
      </w:r>
      <w:r w:rsidRPr="00123108">
        <w:rPr>
          <w:rFonts w:ascii="宋体" w:hAnsi="宋体" w:hint="eastAsia"/>
          <w:sz w:val="28"/>
          <w:szCs w:val="28"/>
        </w:rPr>
        <w:t>管道和搅拌器内</w:t>
      </w:r>
      <w:r w:rsidRPr="00123108">
        <w:rPr>
          <w:rFonts w:ascii="宋体" w:hAnsi="宋体"/>
          <w:sz w:val="28"/>
          <w:szCs w:val="28"/>
        </w:rPr>
        <w:t>流动、晃动时容易积聚静电，</w:t>
      </w:r>
      <w:r w:rsidRPr="00123108">
        <w:rPr>
          <w:rFonts w:ascii="宋体" w:hAnsi="宋体" w:hint="eastAsia"/>
          <w:sz w:val="28"/>
          <w:szCs w:val="28"/>
        </w:rPr>
        <w:t>如果积聚的静电未及时被消除，可能</w:t>
      </w:r>
      <w:r w:rsidRPr="00123108">
        <w:rPr>
          <w:rFonts w:ascii="宋体" w:hAnsi="宋体"/>
          <w:sz w:val="28"/>
          <w:szCs w:val="28"/>
        </w:rPr>
        <w:t>静电放电产生火花则引起</w:t>
      </w:r>
      <w:r w:rsidRPr="00123108">
        <w:rPr>
          <w:rFonts w:ascii="宋体" w:hAnsi="宋体" w:hint="eastAsia"/>
          <w:sz w:val="28"/>
          <w:szCs w:val="28"/>
        </w:rPr>
        <w:t>火灾、爆炸事故。</w:t>
      </w:r>
    </w:p>
    <w:p w:rsidR="004F34D9" w:rsidRPr="00123108" w:rsidRDefault="004F34D9" w:rsidP="00D06780">
      <w:pPr>
        <w:numPr>
          <w:ilvl w:val="0"/>
          <w:numId w:val="53"/>
        </w:numPr>
        <w:tabs>
          <w:tab w:val="left" w:pos="1050"/>
        </w:tabs>
        <w:spacing w:line="500" w:lineRule="exact"/>
        <w:ind w:left="0" w:firstLineChars="200" w:firstLine="560"/>
        <w:rPr>
          <w:rFonts w:ascii="宋体" w:hAnsi="宋体"/>
          <w:sz w:val="28"/>
          <w:szCs w:val="28"/>
        </w:rPr>
      </w:pPr>
      <w:r w:rsidRPr="00123108">
        <w:rPr>
          <w:rFonts w:ascii="宋体" w:hAnsi="宋体" w:hint="eastAsia"/>
          <w:sz w:val="28"/>
          <w:szCs w:val="28"/>
        </w:rPr>
        <w:t>操作过程中，工具使用不当或其他金属物掉入容器，会因摩擦起火或引发爆炸事故。</w:t>
      </w:r>
    </w:p>
    <w:p w:rsidR="004F34D9" w:rsidRPr="00123108" w:rsidRDefault="004F34D9" w:rsidP="00D06780">
      <w:pPr>
        <w:numPr>
          <w:ilvl w:val="0"/>
          <w:numId w:val="53"/>
        </w:numPr>
        <w:tabs>
          <w:tab w:val="left" w:pos="1050"/>
        </w:tabs>
        <w:spacing w:line="500" w:lineRule="exact"/>
        <w:ind w:left="0" w:firstLineChars="200" w:firstLine="560"/>
        <w:rPr>
          <w:rFonts w:ascii="宋体" w:hAnsi="宋体" w:hint="eastAsia"/>
          <w:sz w:val="28"/>
        </w:rPr>
      </w:pPr>
      <w:r w:rsidRPr="00123108">
        <w:rPr>
          <w:rFonts w:ascii="宋体" w:hAnsi="宋体" w:hint="eastAsia"/>
          <w:sz w:val="28"/>
        </w:rPr>
        <w:t>由于过氧化苯甲酰等引发剂采用人工加料，</w:t>
      </w:r>
      <w:r w:rsidR="003D6E32" w:rsidRPr="00123108">
        <w:rPr>
          <w:rFonts w:ascii="宋体" w:hAnsi="宋体" w:hint="eastAsia"/>
          <w:sz w:val="28"/>
        </w:rPr>
        <w:t>如由于意外撞击等原</w:t>
      </w:r>
      <w:r w:rsidR="003D6E32" w:rsidRPr="00123108">
        <w:rPr>
          <w:rFonts w:ascii="宋体" w:hAnsi="宋体" w:hint="eastAsia"/>
          <w:sz w:val="28"/>
        </w:rPr>
        <w:lastRenderedPageBreak/>
        <w:t>因</w:t>
      </w:r>
      <w:r w:rsidRPr="00123108">
        <w:rPr>
          <w:rFonts w:ascii="宋体" w:hAnsi="宋体" w:hint="eastAsia"/>
          <w:sz w:val="28"/>
        </w:rPr>
        <w:t>，也会引发爆炸。</w:t>
      </w:r>
    </w:p>
    <w:p w:rsidR="004F34D9" w:rsidRPr="00123108" w:rsidRDefault="004F34D9" w:rsidP="00D06780">
      <w:pPr>
        <w:numPr>
          <w:ilvl w:val="0"/>
          <w:numId w:val="53"/>
        </w:numPr>
        <w:tabs>
          <w:tab w:val="left" w:pos="1050"/>
        </w:tabs>
        <w:spacing w:line="500" w:lineRule="exact"/>
        <w:ind w:left="0" w:firstLineChars="200" w:firstLine="560"/>
        <w:rPr>
          <w:rFonts w:ascii="宋体" w:hAnsi="宋体" w:hint="eastAsia"/>
          <w:sz w:val="28"/>
        </w:rPr>
      </w:pPr>
      <w:r w:rsidRPr="00123108">
        <w:rPr>
          <w:rFonts w:ascii="宋体" w:hAnsi="宋体" w:hint="eastAsia"/>
          <w:sz w:val="28"/>
          <w:szCs w:val="28"/>
        </w:rPr>
        <w:t>生产过程中，操作人员个体防护用品缺乏、通风措施不够，接触有毒有害物质的蒸汽或气体，易引起</w:t>
      </w:r>
      <w:r w:rsidR="00E01F76" w:rsidRPr="00123108">
        <w:rPr>
          <w:rFonts w:ascii="宋体" w:hAnsi="宋体" w:hint="eastAsia"/>
          <w:sz w:val="28"/>
          <w:szCs w:val="28"/>
        </w:rPr>
        <w:t>可燃气体积聚及</w:t>
      </w:r>
      <w:r w:rsidRPr="00123108">
        <w:rPr>
          <w:rFonts w:ascii="宋体" w:hAnsi="宋体" w:hint="eastAsia"/>
          <w:sz w:val="28"/>
          <w:szCs w:val="28"/>
        </w:rPr>
        <w:t>操作人员的中毒危险。</w:t>
      </w:r>
    </w:p>
    <w:p w:rsidR="004F34D9" w:rsidRPr="00123108" w:rsidRDefault="004F34D9" w:rsidP="00D06780">
      <w:pPr>
        <w:numPr>
          <w:ilvl w:val="0"/>
          <w:numId w:val="53"/>
        </w:numPr>
        <w:tabs>
          <w:tab w:val="left" w:pos="1050"/>
        </w:tabs>
        <w:spacing w:line="500" w:lineRule="exact"/>
        <w:ind w:left="0" w:firstLineChars="200" w:firstLine="560"/>
        <w:rPr>
          <w:rFonts w:ascii="宋体" w:hAnsi="宋体" w:hint="eastAsia"/>
          <w:sz w:val="28"/>
        </w:rPr>
      </w:pPr>
      <w:r w:rsidRPr="00123108">
        <w:rPr>
          <w:rFonts w:ascii="宋体" w:hAnsi="宋体" w:hint="eastAsia"/>
          <w:sz w:val="28"/>
        </w:rPr>
        <w:t>由于该反应系统都是互通的，管道间由阀门切换控制，因此各种阀门（包括安全阀等各种安全附件）的可靠性不够，有可能引起配料数据不准确，从而引起反应失常，发生各种事故。</w:t>
      </w:r>
    </w:p>
    <w:p w:rsidR="004F34D9" w:rsidRPr="00123108" w:rsidRDefault="004F34D9" w:rsidP="00D06780">
      <w:pPr>
        <w:numPr>
          <w:ilvl w:val="0"/>
          <w:numId w:val="53"/>
        </w:numPr>
        <w:tabs>
          <w:tab w:val="left" w:pos="1050"/>
        </w:tabs>
        <w:spacing w:line="500" w:lineRule="exact"/>
        <w:ind w:left="0" w:firstLineChars="200" w:firstLine="560"/>
        <w:rPr>
          <w:rFonts w:ascii="宋体" w:hAnsi="宋体" w:hint="eastAsia"/>
          <w:sz w:val="28"/>
        </w:rPr>
      </w:pPr>
      <w:r w:rsidRPr="00123108">
        <w:rPr>
          <w:rFonts w:ascii="宋体" w:hAnsi="宋体" w:hint="eastAsia"/>
          <w:sz w:val="28"/>
        </w:rPr>
        <w:t>在生产过程中，由于制冷系统的压缩机、管路等耐压等级或气密性不够，导致制冷剂泄漏，也会对人体造成伤害。</w:t>
      </w:r>
    </w:p>
    <w:p w:rsidR="004F34D9" w:rsidRPr="00123108" w:rsidRDefault="004F34D9" w:rsidP="00D06780">
      <w:pPr>
        <w:pStyle w:val="2"/>
        <w:spacing w:line="500" w:lineRule="exact"/>
        <w:jc w:val="both"/>
        <w:rPr>
          <w:rFonts w:ascii="宋体" w:eastAsia="宋体" w:cs="宋体" w:hint="eastAsia"/>
          <w:sz w:val="28"/>
          <w:szCs w:val="28"/>
        </w:rPr>
      </w:pPr>
      <w:bookmarkStart w:id="1324" w:name="_Toc2491"/>
      <w:bookmarkStart w:id="1325" w:name="_Toc190935844"/>
      <w:r w:rsidRPr="00123108">
        <w:rPr>
          <w:rFonts w:ascii="宋体" w:eastAsia="宋体" w:cs="宋体" w:hint="eastAsia"/>
          <w:sz w:val="28"/>
          <w:szCs w:val="28"/>
        </w:rPr>
        <w:t>附件1.3  设备、设施危险、有害因素分析</w:t>
      </w:r>
      <w:bookmarkEnd w:id="1303"/>
      <w:bookmarkEnd w:id="1304"/>
      <w:bookmarkEnd w:id="1305"/>
      <w:bookmarkEnd w:id="1306"/>
      <w:bookmarkEnd w:id="1307"/>
      <w:bookmarkEnd w:id="1324"/>
      <w:bookmarkEnd w:id="1325"/>
    </w:p>
    <w:p w:rsidR="004F34D9" w:rsidRPr="00123108" w:rsidRDefault="004F34D9" w:rsidP="00D06780">
      <w:pPr>
        <w:spacing w:line="500" w:lineRule="exact"/>
        <w:ind w:firstLineChars="200" w:firstLine="560"/>
        <w:rPr>
          <w:rFonts w:ascii="宋体" w:hAnsi="宋体" w:hint="eastAsia"/>
          <w:sz w:val="28"/>
        </w:rPr>
      </w:pPr>
      <w:r w:rsidRPr="00123108">
        <w:rPr>
          <w:rFonts w:ascii="宋体" w:hAnsi="宋体" w:hint="eastAsia"/>
          <w:sz w:val="28"/>
        </w:rPr>
        <w:t>企业生产过程涉及的物料为易燃、易爆、有毒、腐蚀性物质，生产设备包括反应釜、中间槽、各类机泵和储罐等，并涉及压力容器、压力管道、叉车等特种设备。因此生产工艺要求所选用的设备、设施及附件有较好的密封性。</w:t>
      </w:r>
    </w:p>
    <w:p w:rsidR="004F34D9" w:rsidRPr="00123108" w:rsidRDefault="004F34D9" w:rsidP="00D06780">
      <w:pPr>
        <w:spacing w:line="500" w:lineRule="exact"/>
        <w:outlineLvl w:val="2"/>
        <w:rPr>
          <w:rFonts w:ascii="宋体" w:hAnsi="宋体" w:cs="宋体" w:hint="eastAsia"/>
          <w:b/>
          <w:bCs/>
          <w:sz w:val="28"/>
          <w:szCs w:val="28"/>
        </w:rPr>
      </w:pPr>
      <w:bookmarkStart w:id="1326" w:name="_Toc219518739"/>
      <w:bookmarkStart w:id="1327" w:name="_Toc31783"/>
      <w:bookmarkStart w:id="1328" w:name="_Toc423076357"/>
      <w:bookmarkStart w:id="1329" w:name="_Toc24184"/>
      <w:bookmarkStart w:id="1330" w:name="_Toc252533325"/>
      <w:bookmarkStart w:id="1331" w:name="_Toc31443"/>
      <w:bookmarkStart w:id="1332" w:name="_Toc190935845"/>
      <w:r w:rsidRPr="00123108">
        <w:rPr>
          <w:rFonts w:ascii="宋体" w:hAnsi="宋体" w:cs="宋体" w:hint="eastAsia"/>
          <w:b/>
          <w:bCs/>
          <w:sz w:val="28"/>
          <w:szCs w:val="28"/>
        </w:rPr>
        <w:t>附件1.3.1  工艺装置、设备</w:t>
      </w:r>
      <w:bookmarkEnd w:id="1326"/>
      <w:bookmarkEnd w:id="1327"/>
      <w:bookmarkEnd w:id="1328"/>
      <w:bookmarkEnd w:id="1329"/>
      <w:bookmarkEnd w:id="1330"/>
      <w:bookmarkEnd w:id="1331"/>
      <w:bookmarkEnd w:id="1332"/>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企业在生产中使用的工艺设备有各类反应槽、配制槽、计量槽、冷凝器、换热器、筛析机、吸收塔、称量系统、包装系统、以及风机、泵、储罐、空压机等，如果这些设备由于设计、制造上的问题，或是老化、疲劳运行，或是腐蚀降低了设备的强度，或是擅自对设备进行改造等原因，都将影响设备的使用安全性，埋下事故隐患。</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1）工艺装置、设备的选型不符合要求或擅自改造设备，都会形成事故隐患，如泄压安全装置发生故障，则可能因压力过高而导致容器破裂、有毒物质泄漏散发或与空气混合形成爆炸性混合气体，遇火源会引发火灾、爆炸事故。</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2）各工艺装置、设备如未安装安全附件或安全防护装置，如安全阀、压力表、温度计、水封井、放空阀、液位计、阻火器、防爆阀以及压缩机与各工段之间的切断阀、止逆阀等，或安装不符合要求，或损坏失效，造成超指标运行，均可导致火灾、爆炸事故的发生。</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（3）各类工艺装置、设备、压力管道的设计、制造、安装、调试、使用</w:t>
      </w:r>
      <w:r w:rsidRPr="00123108">
        <w:rPr>
          <w:rFonts w:ascii="宋体" w:hAnsi="宋体" w:cs="宋体" w:hint="eastAsia"/>
          <w:sz w:val="28"/>
          <w:szCs w:val="28"/>
        </w:rPr>
        <w:lastRenderedPageBreak/>
        <w:t>如未取得相应的资质或许可证都会形成事故隐患，可引发各类管道设备事故的发生。</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（4）化工设备（机械）或装置（管道）管理维护不力，发生跑、冒、滴、漏，可能引发中毒、灼伤、火灾和爆炸事故。</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（5）化工设备疲劳、蠕变等原因，平时检查不力，可能造成设备破坏或压力容器爆炸。</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（6）因机器上轴承转动部分摩擦发热（或缺少润滑油）、运转设备、机泵类因振动、机件撞击等原因，有可能发生停机或起火。</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（7）快速旋转的机械设备，如缺少防护或操作不当等，容易造成人员和机械的损伤。</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（8）腐蚀性气体、液体会使铁件、走道锈蚀损坏，就会引起人员高处坠落（或从地面跌入地下池沟）或物件坠落伤害人员。</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（9）走道不平、设备布置不合理，均会使作业人员走动中受到跌、滑、挤、压等伤害。</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（10）输送泵、离心机等运转设备其不安全部位、危险场地不采取防护措施易对人体造成触电或手、脚、头部等伤害。尤其是发电机操作人员若缺乏专业知识，在开车、运行操作过程中，也存在着一定的危险性。</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（11）储罐、管道若受到运输车辆的撞击或其它物体的意外打击，致使储罐、管道破裂、泄漏，引起事故。</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（12）在防爆区内使用非防爆电气设备，或防爆电气设备因防爆性能失效，也易发生火灾、爆炸、事故。</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（13）有隔热要求的设备，如蒸汽管道、冷冻管道等隔热材料选择不当或不采取隔热措施，也存在对操作人员烫伤、冻伤的危害。</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（14）在设备进行检修时，如设备内的易燃性混合物未进行置换或置换不彻底，就进行动火作业，有可能引起火灾、爆炸等事故的发生。</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（15）使用国家禁止的淘汰设备、工艺引发事故。</w:t>
      </w:r>
    </w:p>
    <w:p w:rsidR="004F34D9" w:rsidRPr="00123108" w:rsidRDefault="004F34D9" w:rsidP="00D06780">
      <w:pPr>
        <w:spacing w:line="500" w:lineRule="exact"/>
        <w:outlineLvl w:val="2"/>
        <w:rPr>
          <w:rFonts w:ascii="宋体" w:hAnsi="宋体" w:cs="宋体" w:hint="eastAsia"/>
          <w:b/>
          <w:bCs/>
          <w:sz w:val="28"/>
          <w:szCs w:val="28"/>
        </w:rPr>
      </w:pPr>
      <w:bookmarkStart w:id="1333" w:name="_Toc219518741"/>
      <w:bookmarkStart w:id="1334" w:name="_Toc26323"/>
      <w:bookmarkStart w:id="1335" w:name="_Toc423076358"/>
      <w:bookmarkStart w:id="1336" w:name="_Toc252533326"/>
      <w:bookmarkStart w:id="1337" w:name="_Toc5154"/>
      <w:bookmarkStart w:id="1338" w:name="_Toc190935846"/>
      <w:r w:rsidRPr="00123108">
        <w:rPr>
          <w:rFonts w:ascii="宋体" w:hAnsi="宋体" w:cs="宋体" w:hint="eastAsia"/>
          <w:b/>
          <w:bCs/>
          <w:sz w:val="28"/>
          <w:szCs w:val="28"/>
        </w:rPr>
        <w:t>附件1.3.2  特种设备</w:t>
      </w:r>
      <w:bookmarkEnd w:id="1333"/>
      <w:bookmarkEnd w:id="1334"/>
      <w:bookmarkEnd w:id="1335"/>
      <w:bookmarkEnd w:id="1336"/>
      <w:bookmarkEnd w:id="1337"/>
      <w:bookmarkEnd w:id="1338"/>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新桥化工生产过程中所涉及的特种设备主要有压力容器（包括戊烷罐、</w:t>
      </w:r>
      <w:r w:rsidRPr="00123108">
        <w:rPr>
          <w:rFonts w:hint="eastAsia"/>
          <w:sz w:val="28"/>
          <w:szCs w:val="28"/>
        </w:rPr>
        <w:lastRenderedPageBreak/>
        <w:t>反应槽</w:t>
      </w:r>
      <w:r w:rsidRPr="00123108">
        <w:rPr>
          <w:rFonts w:ascii="宋体" w:hAnsi="宋体" w:cs="宋体" w:hint="eastAsia"/>
          <w:sz w:val="28"/>
          <w:szCs w:val="28"/>
        </w:rPr>
        <w:t>、计量槽和其他带压容器）、压力管道、叉车、电梯等。</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压力容器常常伴随一定的化学腐蚀和热学环境，所处理的工艺介质多数为易燃、易爆、有毒，一旦发生泄漏，将会发生严重安全事故，甚至爆炸，所造成的损失要比一般设备、容器大得多。</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压力管道其工艺介质具有易燃、易爆、有毒、强腐蚀等特性，一旦发生事故，就更具有危险性。腐蚀、磨蚀、低温、高压也会逐渐消弱管道及其管件的结构强度，振动容易造成管道连接件的松动泄漏和疲劳断裂。即使是很小的管线、阀门或连接管件的泄漏或破裂，都会造成甚为严重的灾害，如火灾、爆炸和中毒等。压力管道的事故频率及危害性丝毫不亚于压力容器。</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（1）特种设备不严格遵守《特种设备安全法》和《特种设备安全监察条例》，易造成严重的人身或设备事故。</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（2）生产使用的反应容器、贮储容器等特种设备及压力管道等如不是正规企业生产、无产品合格证或没有定期请有资质单位进行检测等都易因容器、管道本身缺陷而发生物理爆炸。</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（3）压力容器、压力管道和其它特种设备如未按规定定期进行检验、注册登记，或使用过程中未严格按照相关操作规程作业；或违章作业，都可能引发设备事故。</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4）各设备设置的安全防护装置、安全阀、压力表、爆破片等安全附件或承压元件失效，可使压力容器、压力管道等特种设备内具有一定温度的带压工作介质失控，可能产生泄漏或破裂爆炸，从而导致事故的发生。</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（5）各类压力容器、压力管道、叉车等因设计和制造缺陷、老化、疲劳运行、保养不当、违章操作都可引发各类设备事故。</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（6）吊装设备由于超机械工作能力范围运行、超过工作载荷、超过运行半径和运行时碰到障碍物等原因致使吊装设备钢丝绳、吊具及安全附件断裂、重物脱落，造成人员伤亡事故。</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7）企业使用的物料管道（苯乙烯、二甲苯、戊烷等）、蒸汽管道等均属于压力管道，由于是在一定压力下运行，因此一旦发生事故，不仅会影响管道的正常运行，而且会使整个系统发生连锁反应，使事故迅速蔓延和扩大，</w:t>
      </w:r>
      <w:r w:rsidRPr="00123108">
        <w:rPr>
          <w:rFonts w:ascii="宋体" w:hAnsi="宋体" w:cs="宋体" w:hint="eastAsia"/>
          <w:sz w:val="28"/>
          <w:szCs w:val="28"/>
        </w:rPr>
        <w:lastRenderedPageBreak/>
        <w:t>毁坏设备、装置等。发生管道破裂、爆炸重大事故的主要原因是由于管道内超载、管道内可燃气体混入空气或可燃气体倒流入空气系统形成爆炸性混合气体，遇明火而引起爆炸。压力管道未经有资质单位设计、安装、定期检测就投入使用是造成事故发生的主要因素。</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9）厂内机动车辆未按特种设备的要求进行制造、安装、检验和维修，存在故障或缺陷；操作人员无证操作或不按安全技术规程操作，可能造成车辆伤害等意外事故。厂内机动车辆未按规定行驶、停放，容易发生车辆伤害事故。</w:t>
      </w:r>
    </w:p>
    <w:p w:rsidR="004F34D9" w:rsidRPr="00123108" w:rsidRDefault="004F34D9" w:rsidP="00D06780">
      <w:pPr>
        <w:spacing w:line="500" w:lineRule="exact"/>
        <w:outlineLvl w:val="2"/>
        <w:rPr>
          <w:rFonts w:ascii="宋体" w:hAnsi="宋体" w:cs="宋体" w:hint="eastAsia"/>
          <w:b/>
          <w:bCs/>
          <w:sz w:val="28"/>
          <w:szCs w:val="28"/>
        </w:rPr>
      </w:pPr>
      <w:bookmarkStart w:id="1339" w:name="_Toc423076360"/>
      <w:bookmarkStart w:id="1340" w:name="_Toc219518740"/>
      <w:bookmarkStart w:id="1341" w:name="_Toc8556"/>
      <w:bookmarkStart w:id="1342" w:name="_Toc6778"/>
      <w:bookmarkStart w:id="1343" w:name="_Toc252533328"/>
      <w:bookmarkStart w:id="1344" w:name="_Toc26961"/>
      <w:bookmarkStart w:id="1345" w:name="_Toc190935847"/>
      <w:r w:rsidRPr="00123108">
        <w:rPr>
          <w:rFonts w:ascii="宋体" w:hAnsi="宋体" w:cs="宋体" w:hint="eastAsia"/>
          <w:b/>
          <w:bCs/>
          <w:sz w:val="28"/>
          <w:szCs w:val="28"/>
        </w:rPr>
        <w:t>附件1.3.3  电气设施</w:t>
      </w:r>
      <w:bookmarkEnd w:id="1339"/>
      <w:bookmarkEnd w:id="1340"/>
      <w:bookmarkEnd w:id="1341"/>
      <w:bookmarkEnd w:id="1342"/>
      <w:bookmarkEnd w:id="1343"/>
      <w:bookmarkEnd w:id="1344"/>
      <w:bookmarkEnd w:id="1345"/>
    </w:p>
    <w:p w:rsidR="004F34D9" w:rsidRPr="00123108" w:rsidRDefault="004F34D9" w:rsidP="00D06780">
      <w:pPr>
        <w:spacing w:line="500" w:lineRule="exact"/>
        <w:ind w:firstLineChars="200" w:firstLine="560"/>
        <w:rPr>
          <w:rFonts w:ascii="宋体" w:hAnsi="宋体" w:cs="宋体"/>
          <w:sz w:val="28"/>
          <w:szCs w:val="28"/>
        </w:rPr>
      </w:pPr>
      <w:bookmarkStart w:id="1346" w:name="_Toc25086"/>
      <w:r w:rsidRPr="00123108">
        <w:rPr>
          <w:rFonts w:ascii="宋体" w:hAnsi="宋体" w:cs="宋体" w:hint="eastAsia"/>
          <w:sz w:val="28"/>
          <w:szCs w:val="28"/>
        </w:rPr>
        <w:t>（1）雷电伤害</w:t>
      </w:r>
      <w:bookmarkEnd w:id="1346"/>
    </w:p>
    <w:p w:rsidR="004F34D9" w:rsidRPr="00123108" w:rsidRDefault="004F34D9" w:rsidP="00D06780">
      <w:pPr>
        <w:spacing w:line="500" w:lineRule="exact"/>
        <w:ind w:firstLineChars="200" w:firstLine="560"/>
        <w:rPr>
          <w:rFonts w:ascii="宋体" w:hAnsi="宋体" w:cs="宋体"/>
          <w:sz w:val="28"/>
          <w:szCs w:val="28"/>
        </w:rPr>
      </w:pPr>
      <w:r w:rsidRPr="00123108">
        <w:rPr>
          <w:rFonts w:ascii="宋体" w:hAnsi="宋体" w:cs="宋体" w:hint="eastAsia"/>
          <w:sz w:val="28"/>
          <w:szCs w:val="28"/>
        </w:rPr>
        <w:t>厂区位于海涂围垦区，厂区内建有甲类生产装置、储罐、甲类仓库等，如防雷、避雷设施不良，在雷雨季节，就会有可能遭到雷击，引发设备毁坏和人员伤害事故。</w:t>
      </w:r>
    </w:p>
    <w:p w:rsidR="004F34D9" w:rsidRPr="00123108" w:rsidRDefault="004F34D9" w:rsidP="00D06780">
      <w:pPr>
        <w:spacing w:line="500" w:lineRule="exact"/>
        <w:ind w:firstLineChars="200" w:firstLine="560"/>
        <w:rPr>
          <w:rFonts w:ascii="宋体" w:hAnsi="宋体" w:cs="宋体"/>
          <w:sz w:val="28"/>
          <w:szCs w:val="28"/>
        </w:rPr>
      </w:pPr>
      <w:bookmarkStart w:id="1347" w:name="_Toc11215"/>
      <w:r w:rsidRPr="00123108">
        <w:rPr>
          <w:rFonts w:ascii="宋体" w:hAnsi="宋体" w:cs="宋体" w:hint="eastAsia"/>
          <w:sz w:val="28"/>
          <w:szCs w:val="28"/>
        </w:rPr>
        <w:t>（2）静电伤害</w:t>
      </w:r>
      <w:bookmarkEnd w:id="1347"/>
    </w:p>
    <w:p w:rsidR="004F34D9" w:rsidRPr="00123108" w:rsidRDefault="004F34D9" w:rsidP="00D06780">
      <w:pPr>
        <w:spacing w:line="500" w:lineRule="exact"/>
        <w:ind w:firstLineChars="200" w:firstLine="560"/>
        <w:rPr>
          <w:rFonts w:ascii="宋体" w:hAnsi="宋体" w:cs="宋体"/>
          <w:sz w:val="28"/>
          <w:szCs w:val="28"/>
        </w:rPr>
      </w:pPr>
      <w:r w:rsidRPr="00123108">
        <w:rPr>
          <w:rFonts w:ascii="宋体" w:hAnsi="宋体" w:cs="宋体"/>
          <w:sz w:val="28"/>
          <w:szCs w:val="28"/>
        </w:rPr>
        <w:t>①</w:t>
      </w:r>
      <w:r w:rsidRPr="00123108">
        <w:rPr>
          <w:rFonts w:ascii="宋体" w:hAnsi="宋体" w:cs="宋体" w:hint="eastAsia"/>
          <w:sz w:val="28"/>
          <w:szCs w:val="28"/>
        </w:rPr>
        <w:t>易燃液体在输送过程中能够产生静电，当静电聚积到一定程度则会产生放电现象，因而引起着火爆炸的危险。因此，设备和管道的接地及防静电跨接十分重要，输送中产生的静电应以消除。</w:t>
      </w:r>
    </w:p>
    <w:p w:rsidR="004F34D9" w:rsidRPr="00123108" w:rsidRDefault="004F34D9" w:rsidP="00D06780">
      <w:pPr>
        <w:spacing w:line="500" w:lineRule="exact"/>
        <w:ind w:firstLineChars="200" w:firstLine="560"/>
        <w:rPr>
          <w:rFonts w:ascii="宋体" w:hAnsi="宋体" w:cs="宋体"/>
          <w:sz w:val="28"/>
          <w:szCs w:val="28"/>
        </w:rPr>
      </w:pPr>
      <w:r w:rsidRPr="00123108">
        <w:rPr>
          <w:rFonts w:ascii="宋体" w:hAnsi="宋体" w:cs="宋体"/>
          <w:sz w:val="28"/>
          <w:szCs w:val="28"/>
        </w:rPr>
        <w:t>②</w:t>
      </w:r>
      <w:r w:rsidRPr="00123108">
        <w:rPr>
          <w:rFonts w:ascii="宋体" w:hAnsi="宋体" w:cs="宋体" w:hint="eastAsia"/>
          <w:sz w:val="28"/>
          <w:szCs w:val="28"/>
        </w:rPr>
        <w:t>塑料设备管路容易在物料输送过程中产生静电聚积，产生放电现象，有引起火灾爆炸的危险。</w:t>
      </w:r>
    </w:p>
    <w:p w:rsidR="004F34D9" w:rsidRPr="00123108" w:rsidRDefault="004F34D9" w:rsidP="00D06780">
      <w:pPr>
        <w:spacing w:line="500" w:lineRule="exact"/>
        <w:ind w:firstLineChars="200" w:firstLine="560"/>
        <w:rPr>
          <w:rFonts w:ascii="宋体" w:hAnsi="宋体" w:cs="宋体"/>
          <w:sz w:val="28"/>
          <w:szCs w:val="28"/>
        </w:rPr>
      </w:pPr>
      <w:bookmarkStart w:id="1348" w:name="_Toc15217"/>
      <w:r w:rsidRPr="00123108">
        <w:rPr>
          <w:rFonts w:ascii="宋体" w:hAnsi="宋体" w:cs="宋体" w:hint="eastAsia"/>
          <w:sz w:val="28"/>
          <w:szCs w:val="28"/>
        </w:rPr>
        <w:t>（3）漏电伤害</w:t>
      </w:r>
      <w:bookmarkEnd w:id="1348"/>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sz w:val="28"/>
          <w:szCs w:val="28"/>
        </w:rPr>
        <w:t>①</w:t>
      </w:r>
      <w:r w:rsidRPr="00123108">
        <w:rPr>
          <w:rFonts w:ascii="宋体" w:hAnsi="宋体" w:cs="宋体" w:hint="eastAsia"/>
          <w:sz w:val="28"/>
          <w:szCs w:val="28"/>
        </w:rPr>
        <w:t>腐蚀性液体、气体外逸会使电气设备管线受到损伤，引起设备绝缘下降，可能导致漏电或设备带电，甚至产生火花。这样，就很有可能造成人员伤害，严重时引起火灾爆炸。</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sz w:val="28"/>
          <w:szCs w:val="28"/>
        </w:rPr>
        <w:t>②</w:t>
      </w:r>
      <w:r w:rsidRPr="00123108">
        <w:rPr>
          <w:rFonts w:ascii="宋体" w:hAnsi="宋体" w:cs="宋体" w:hint="eastAsia"/>
          <w:sz w:val="28"/>
          <w:szCs w:val="28"/>
        </w:rPr>
        <w:t>厂房电气布线及用电设备较多，各类电器使用频繁，操作人员接触面广，如果安全管理不善容易造成绝缘性能降低，甚至外壳带电，特别在多雨、潮湿、高温季节可能造成人员触电事故。</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sz w:val="28"/>
          <w:szCs w:val="28"/>
        </w:rPr>
        <w:t>③</w:t>
      </w:r>
      <w:r w:rsidRPr="00123108">
        <w:rPr>
          <w:rFonts w:ascii="宋体" w:hAnsi="宋体" w:cs="宋体" w:hint="eastAsia"/>
          <w:sz w:val="28"/>
          <w:szCs w:val="28"/>
        </w:rPr>
        <w:t>安全措施不完善，操作人员违章作业，防护设施和保护设施缺陷，个体防护用品使用不当或未使用等，都会造成漏电伤害。</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sz w:val="28"/>
          <w:szCs w:val="28"/>
        </w:rPr>
        <w:lastRenderedPageBreak/>
        <w:t>④</w:t>
      </w:r>
      <w:r w:rsidRPr="00123108">
        <w:rPr>
          <w:rFonts w:ascii="宋体" w:hAnsi="宋体" w:cs="宋体" w:hint="eastAsia"/>
          <w:sz w:val="28"/>
          <w:szCs w:val="28"/>
        </w:rPr>
        <w:t>电气设备管线、超负荷引起发热起火，可能导致发生火灾爆炸。</w:t>
      </w:r>
    </w:p>
    <w:p w:rsidR="004F34D9" w:rsidRPr="00123108" w:rsidRDefault="004F34D9" w:rsidP="00D06780">
      <w:pPr>
        <w:spacing w:line="500" w:lineRule="exact"/>
        <w:outlineLvl w:val="2"/>
        <w:rPr>
          <w:rFonts w:ascii="宋体" w:hAnsi="宋体" w:cs="宋体" w:hint="eastAsia"/>
          <w:b/>
          <w:bCs/>
          <w:sz w:val="28"/>
          <w:szCs w:val="28"/>
        </w:rPr>
      </w:pPr>
      <w:bookmarkStart w:id="1349" w:name="_Toc423076361"/>
      <w:bookmarkStart w:id="1350" w:name="_Toc155806992"/>
      <w:bookmarkStart w:id="1351" w:name="_Toc219518743"/>
      <w:bookmarkStart w:id="1352" w:name="_Toc252533329"/>
      <w:bookmarkStart w:id="1353" w:name="_Toc60688154"/>
      <w:bookmarkStart w:id="1354" w:name="_Toc157496168"/>
      <w:bookmarkStart w:id="1355" w:name="_Toc11387"/>
      <w:bookmarkStart w:id="1356" w:name="_Toc6841"/>
      <w:bookmarkStart w:id="1357" w:name="_Toc799"/>
      <w:bookmarkStart w:id="1358" w:name="_Toc112491895"/>
      <w:bookmarkStart w:id="1359" w:name="_Toc190935848"/>
      <w:r w:rsidRPr="00123108">
        <w:rPr>
          <w:rFonts w:ascii="宋体" w:hAnsi="宋体" w:cs="宋体" w:hint="eastAsia"/>
          <w:b/>
          <w:bCs/>
          <w:sz w:val="28"/>
          <w:szCs w:val="28"/>
        </w:rPr>
        <w:t>附件1.3.4  安全设施</w:t>
      </w:r>
      <w:bookmarkEnd w:id="1349"/>
      <w:bookmarkEnd w:id="1350"/>
      <w:bookmarkEnd w:id="1351"/>
      <w:bookmarkEnd w:id="1352"/>
      <w:bookmarkEnd w:id="1353"/>
      <w:bookmarkEnd w:id="1354"/>
      <w:bookmarkEnd w:id="1355"/>
      <w:bookmarkEnd w:id="1356"/>
      <w:bookmarkEnd w:id="1357"/>
      <w:bookmarkEnd w:id="1358"/>
      <w:bookmarkEnd w:id="1359"/>
    </w:p>
    <w:p w:rsidR="004F34D9" w:rsidRPr="00123108" w:rsidRDefault="004F34D9" w:rsidP="00D06780">
      <w:pPr>
        <w:spacing w:line="500" w:lineRule="exact"/>
        <w:ind w:firstLineChars="200" w:firstLine="560"/>
        <w:rPr>
          <w:rFonts w:ascii="宋体" w:hAnsi="宋体" w:cs="宋体"/>
          <w:sz w:val="28"/>
          <w:szCs w:val="28"/>
        </w:rPr>
      </w:pPr>
      <w:r w:rsidRPr="00123108">
        <w:rPr>
          <w:rFonts w:ascii="宋体" w:hAnsi="宋体" w:cs="宋体" w:hint="eastAsia"/>
          <w:sz w:val="28"/>
          <w:szCs w:val="28"/>
        </w:rPr>
        <w:t>厂内的安全设施是确保生产安全的重要保证。如厂区内无安全设施、安全标志或设置的安全设施失效等，均可能导致生产安全事故的发生或事故发生后的扩大或蔓延。</w:t>
      </w:r>
    </w:p>
    <w:p w:rsidR="004F34D9" w:rsidRPr="00123108" w:rsidRDefault="004F34D9" w:rsidP="00D06780">
      <w:pPr>
        <w:spacing w:line="500" w:lineRule="exact"/>
        <w:ind w:firstLineChars="200" w:firstLine="560"/>
        <w:rPr>
          <w:rFonts w:ascii="宋体" w:hAnsi="宋体" w:cs="宋体"/>
          <w:sz w:val="28"/>
          <w:szCs w:val="28"/>
        </w:rPr>
      </w:pPr>
      <w:bookmarkStart w:id="1360" w:name="_Toc4620"/>
      <w:r w:rsidRPr="00123108">
        <w:rPr>
          <w:rFonts w:ascii="宋体" w:hAnsi="宋体" w:cs="宋体" w:hint="eastAsia"/>
          <w:sz w:val="28"/>
          <w:szCs w:val="28"/>
        </w:rPr>
        <w:t>（1）可燃气体浓度报警器</w:t>
      </w:r>
      <w:bookmarkEnd w:id="1360"/>
    </w:p>
    <w:p w:rsidR="004F34D9" w:rsidRPr="00123108" w:rsidRDefault="004F34D9" w:rsidP="00D06780">
      <w:pPr>
        <w:spacing w:line="500" w:lineRule="exact"/>
        <w:ind w:firstLineChars="200" w:firstLine="560"/>
        <w:rPr>
          <w:rFonts w:ascii="宋体" w:hAnsi="宋体" w:cs="宋体"/>
          <w:sz w:val="28"/>
          <w:szCs w:val="28"/>
        </w:rPr>
      </w:pPr>
      <w:r w:rsidRPr="00123108">
        <w:rPr>
          <w:rFonts w:ascii="宋体" w:hAnsi="宋体" w:cs="宋体" w:hint="eastAsia"/>
          <w:sz w:val="28"/>
          <w:szCs w:val="28"/>
        </w:rPr>
        <w:t>散发可燃气体的作业场所若未设置可燃气体浓度检漏报警装置，一旦作业场所发生物料泄漏，不能及时有效报警，而导致事故发生和扩大。</w:t>
      </w:r>
    </w:p>
    <w:p w:rsidR="004F34D9" w:rsidRPr="00123108" w:rsidRDefault="004F34D9" w:rsidP="00D06780">
      <w:pPr>
        <w:spacing w:line="500" w:lineRule="exact"/>
        <w:ind w:firstLineChars="200" w:firstLine="560"/>
        <w:rPr>
          <w:rFonts w:ascii="宋体" w:hAnsi="宋体" w:cs="宋体"/>
          <w:sz w:val="28"/>
          <w:szCs w:val="28"/>
        </w:rPr>
      </w:pPr>
      <w:bookmarkStart w:id="1361" w:name="_Toc21518"/>
      <w:r w:rsidRPr="00123108">
        <w:rPr>
          <w:rFonts w:ascii="宋体" w:hAnsi="宋体" w:cs="宋体" w:hint="eastAsia"/>
          <w:sz w:val="28"/>
          <w:szCs w:val="28"/>
        </w:rPr>
        <w:t>（2）压力表、安全阀</w:t>
      </w:r>
      <w:bookmarkEnd w:id="1361"/>
    </w:p>
    <w:p w:rsidR="004F34D9" w:rsidRPr="00123108" w:rsidRDefault="004F34D9" w:rsidP="00D06780">
      <w:pPr>
        <w:spacing w:line="500" w:lineRule="exact"/>
        <w:ind w:firstLineChars="200" w:firstLine="560"/>
        <w:rPr>
          <w:rFonts w:ascii="宋体" w:hAnsi="宋体" w:cs="宋体"/>
          <w:sz w:val="28"/>
          <w:szCs w:val="28"/>
        </w:rPr>
      </w:pPr>
      <w:r w:rsidRPr="00123108">
        <w:rPr>
          <w:rFonts w:ascii="宋体" w:hAnsi="宋体" w:cs="宋体" w:hint="eastAsia"/>
          <w:sz w:val="28"/>
          <w:szCs w:val="28"/>
        </w:rPr>
        <w:t>生产时处于带压状态的设备若未设置压力表、安全阀，一旦容器内压力过高或出现超压，就易造成爆炸事故发生。反之受压容器设有压力表、安全阀，出现超压时安全阀会自动泄压，从而保证设备的压力不会超过规定值。</w:t>
      </w:r>
    </w:p>
    <w:p w:rsidR="004F34D9" w:rsidRPr="00123108" w:rsidRDefault="004F34D9" w:rsidP="00D06780">
      <w:pPr>
        <w:spacing w:line="500" w:lineRule="exact"/>
        <w:ind w:firstLineChars="200" w:firstLine="560"/>
        <w:rPr>
          <w:rFonts w:ascii="宋体" w:hAnsi="宋体" w:cs="宋体"/>
          <w:sz w:val="28"/>
          <w:szCs w:val="28"/>
        </w:rPr>
      </w:pPr>
      <w:bookmarkStart w:id="1362" w:name="_Toc15900"/>
      <w:r w:rsidRPr="00123108">
        <w:rPr>
          <w:rFonts w:ascii="宋体" w:hAnsi="宋体" w:cs="宋体" w:hint="eastAsia"/>
          <w:sz w:val="28"/>
          <w:szCs w:val="28"/>
        </w:rPr>
        <w:t>（3）应急设施</w:t>
      </w:r>
      <w:bookmarkEnd w:id="1362"/>
    </w:p>
    <w:p w:rsidR="004F34D9" w:rsidRPr="00123108" w:rsidRDefault="004F34D9" w:rsidP="00D06780">
      <w:pPr>
        <w:spacing w:line="500" w:lineRule="exact"/>
        <w:ind w:firstLineChars="200" w:firstLine="560"/>
        <w:rPr>
          <w:rFonts w:ascii="宋体" w:hAnsi="宋体" w:cs="宋体"/>
          <w:sz w:val="28"/>
          <w:szCs w:val="28"/>
        </w:rPr>
      </w:pPr>
      <w:r w:rsidRPr="00123108">
        <w:rPr>
          <w:rFonts w:ascii="宋体" w:hAnsi="宋体" w:cs="宋体" w:hint="eastAsia"/>
          <w:sz w:val="28"/>
          <w:szCs w:val="28"/>
        </w:rPr>
        <w:t>为防止厂内各生产装置可能发生的火灾、爆炸、中毒及窒息等事故发生，在有毒、易燃、易爆作业场所若没有设置事故应急柜、事故应急池、消火栓和配置足够灭火器、消火栓及个人防护、防毒用具等各种应急设施，一旦事故发生得不到及时有效施救，易造成事故扩大。</w:t>
      </w:r>
    </w:p>
    <w:p w:rsidR="004F34D9" w:rsidRPr="00123108" w:rsidRDefault="004F34D9" w:rsidP="00D06780">
      <w:pPr>
        <w:spacing w:line="500" w:lineRule="exact"/>
        <w:ind w:firstLineChars="200" w:firstLine="560"/>
        <w:rPr>
          <w:rFonts w:ascii="宋体" w:hAnsi="宋体" w:cs="宋体"/>
          <w:sz w:val="28"/>
          <w:szCs w:val="28"/>
        </w:rPr>
      </w:pPr>
      <w:bookmarkStart w:id="1363" w:name="_Toc19827"/>
      <w:r w:rsidRPr="00123108">
        <w:rPr>
          <w:rFonts w:ascii="宋体" w:hAnsi="宋体" w:cs="宋体" w:hint="eastAsia"/>
          <w:sz w:val="28"/>
          <w:szCs w:val="28"/>
        </w:rPr>
        <w:t>（4）安全防护栏</w:t>
      </w:r>
      <w:bookmarkEnd w:id="1363"/>
    </w:p>
    <w:p w:rsidR="004F34D9" w:rsidRPr="00123108" w:rsidRDefault="004F34D9" w:rsidP="00D06780">
      <w:pPr>
        <w:spacing w:line="500" w:lineRule="exact"/>
        <w:ind w:firstLineChars="200" w:firstLine="560"/>
        <w:rPr>
          <w:rFonts w:ascii="宋体" w:hAnsi="宋体" w:cs="宋体"/>
          <w:sz w:val="28"/>
          <w:szCs w:val="28"/>
        </w:rPr>
      </w:pPr>
      <w:r w:rsidRPr="00123108">
        <w:rPr>
          <w:rFonts w:ascii="宋体" w:hAnsi="宋体" w:cs="宋体" w:hint="eastAsia"/>
          <w:sz w:val="28"/>
          <w:szCs w:val="28"/>
        </w:rPr>
        <w:t>对坠落基准面2m以上工作位置没有设置供站立的平台和防坠护栏、护板或安全圈等，易造成破坏被盗和坠落等事故发生。</w:t>
      </w:r>
    </w:p>
    <w:p w:rsidR="004F34D9" w:rsidRPr="00123108" w:rsidRDefault="004F34D9" w:rsidP="00D06780">
      <w:pPr>
        <w:spacing w:line="500" w:lineRule="exact"/>
        <w:ind w:firstLineChars="200" w:firstLine="560"/>
        <w:rPr>
          <w:rFonts w:ascii="宋体" w:hAnsi="宋体" w:cs="宋体"/>
          <w:sz w:val="28"/>
          <w:szCs w:val="28"/>
        </w:rPr>
      </w:pPr>
      <w:bookmarkStart w:id="1364" w:name="_Toc729"/>
      <w:r w:rsidRPr="00123108">
        <w:rPr>
          <w:rFonts w:ascii="宋体" w:hAnsi="宋体" w:cs="宋体" w:hint="eastAsia"/>
          <w:sz w:val="28"/>
          <w:szCs w:val="28"/>
        </w:rPr>
        <w:t>（5）安全标志及周知卡</w:t>
      </w:r>
      <w:bookmarkEnd w:id="1364"/>
    </w:p>
    <w:p w:rsidR="004F34D9" w:rsidRPr="00123108" w:rsidRDefault="004F34D9" w:rsidP="00D06780">
      <w:pPr>
        <w:spacing w:line="500" w:lineRule="exact"/>
        <w:ind w:firstLineChars="200" w:firstLine="560"/>
        <w:rPr>
          <w:rFonts w:ascii="宋体" w:hAnsi="宋体" w:cs="宋体"/>
          <w:sz w:val="28"/>
          <w:szCs w:val="28"/>
        </w:rPr>
      </w:pPr>
      <w:r w:rsidRPr="00123108">
        <w:rPr>
          <w:rFonts w:ascii="宋体" w:hAnsi="宋体" w:cs="宋体" w:hint="eastAsia"/>
          <w:sz w:val="28"/>
          <w:szCs w:val="28"/>
        </w:rPr>
        <w:t>在易燃、易爆、中毒和窒息等危险场所（特别是重大危险源场所）、设备、管线应设置醒目的安全警示标志、安全周知卡及安全操作规程，以防事故发生能及时有效得到施救。</w:t>
      </w:r>
    </w:p>
    <w:p w:rsidR="004F34D9" w:rsidRPr="00123108" w:rsidRDefault="004F34D9" w:rsidP="00D06780">
      <w:pPr>
        <w:spacing w:line="500" w:lineRule="exact"/>
        <w:ind w:firstLineChars="200" w:firstLine="560"/>
        <w:rPr>
          <w:rFonts w:ascii="宋体" w:hAnsi="宋体" w:cs="宋体" w:hint="eastAsia"/>
          <w:sz w:val="28"/>
          <w:szCs w:val="28"/>
        </w:rPr>
      </w:pPr>
      <w:bookmarkStart w:id="1365" w:name="_Toc5274"/>
      <w:r w:rsidRPr="00123108">
        <w:rPr>
          <w:rFonts w:ascii="宋体" w:hAnsi="宋体" w:cs="宋体" w:hint="eastAsia"/>
          <w:sz w:val="28"/>
          <w:szCs w:val="28"/>
        </w:rPr>
        <w:t>（6）自动控制与安全连锁</w:t>
      </w:r>
      <w:bookmarkEnd w:id="1365"/>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仪表和自动控制系统是生产装置的重要组成部分。生产过程的重要数据应设置多点测量，多种测量方式，以增加测量所得数据的可靠性，防止数据不准确或误差引起的误操作。采用冗余技术也可以提高设备的可靠性。若生</w:t>
      </w:r>
      <w:r w:rsidRPr="00123108">
        <w:rPr>
          <w:rFonts w:ascii="宋体" w:hAnsi="宋体" w:cs="宋体" w:hint="eastAsia"/>
          <w:sz w:val="28"/>
          <w:szCs w:val="28"/>
        </w:rPr>
        <w:lastRenderedPageBreak/>
        <w:t>产设备缺少仪表自控系统，或相关显示仪表发生显示滞后、示数不准等以及调节器发生故障均可能引起设备超温、超压、物料泄漏，从而引起事故发生。仪表控制工作十分具体、细小、零散，每一个环节稍有不妥，例如某处仪表管线、阀门堵塞，导线接触不良，仪表部件出现失灵、损害、误动作，或者电源、气源发生故障等，都会成为隐患，有可能间接的诱发火灾、爆炸事故或其他生产事故。</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①安装联动、手动的紧急切断装置，使出现异常的装置与其他生产装置隔开，或使发生泄漏的连续生产装置隔离或停止向异常反应设备供料，以达到防止事故传播或扩大。此类设备的缺失或失效会在一旦发生事故时造成严重后果。</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②安全联锁系统设计的合理、可靠及平时的有效运转维护是生产装置本质安全的重要体现，一旦联锁失效，会造成大的事故。</w:t>
      </w:r>
    </w:p>
    <w:p w:rsidR="004F34D9" w:rsidRPr="00123108" w:rsidRDefault="004F34D9" w:rsidP="00D06780">
      <w:pPr>
        <w:pStyle w:val="2"/>
        <w:spacing w:line="500" w:lineRule="exact"/>
        <w:jc w:val="both"/>
        <w:rPr>
          <w:rFonts w:ascii="宋体" w:eastAsia="宋体" w:cs="宋体" w:hint="eastAsia"/>
          <w:sz w:val="28"/>
          <w:szCs w:val="28"/>
        </w:rPr>
      </w:pPr>
      <w:bookmarkStart w:id="1366" w:name="_Toc24286"/>
      <w:bookmarkStart w:id="1367" w:name="_Toc31032"/>
      <w:bookmarkStart w:id="1368" w:name="_Toc422337980"/>
      <w:bookmarkStart w:id="1369" w:name="_Toc422384500"/>
      <w:bookmarkStart w:id="1370" w:name="_Toc423074303"/>
      <w:bookmarkStart w:id="1371" w:name="_Toc469519402"/>
      <w:bookmarkStart w:id="1372" w:name="_Toc349747219"/>
      <w:bookmarkStart w:id="1373" w:name="_Toc21472"/>
      <w:bookmarkStart w:id="1374" w:name="_Toc252533334"/>
      <w:bookmarkStart w:id="1375" w:name="_Toc423335687"/>
      <w:bookmarkStart w:id="1376" w:name="_Toc190935849"/>
      <w:bookmarkEnd w:id="1308"/>
      <w:bookmarkEnd w:id="1309"/>
      <w:bookmarkEnd w:id="1310"/>
      <w:bookmarkEnd w:id="1311"/>
      <w:bookmarkEnd w:id="1312"/>
      <w:bookmarkEnd w:id="1313"/>
      <w:bookmarkEnd w:id="1314"/>
      <w:bookmarkEnd w:id="1315"/>
      <w:bookmarkEnd w:id="1316"/>
      <w:bookmarkEnd w:id="1317"/>
      <w:bookmarkEnd w:id="1318"/>
      <w:bookmarkEnd w:id="1319"/>
      <w:bookmarkEnd w:id="1320"/>
      <w:r w:rsidRPr="00123108">
        <w:rPr>
          <w:rFonts w:ascii="宋体" w:eastAsia="宋体" w:cs="宋体" w:hint="eastAsia"/>
          <w:sz w:val="28"/>
          <w:szCs w:val="28"/>
        </w:rPr>
        <w:t>附件1.4  物料储运过程危险、有害因素分析</w:t>
      </w:r>
      <w:bookmarkEnd w:id="1366"/>
      <w:bookmarkEnd w:id="1367"/>
      <w:bookmarkEnd w:id="1376"/>
    </w:p>
    <w:p w:rsidR="004F34D9" w:rsidRPr="00123108" w:rsidRDefault="004F34D9" w:rsidP="00D06780">
      <w:pPr>
        <w:autoSpaceDE w:val="0"/>
        <w:autoSpaceDN w:val="0"/>
        <w:adjustRightInd w:val="0"/>
        <w:spacing w:line="500" w:lineRule="exact"/>
        <w:ind w:firstLineChars="200" w:firstLine="560"/>
        <w:rPr>
          <w:rFonts w:ascii="宋体" w:hAnsi="宋体" w:hint="eastAsia"/>
          <w:sz w:val="28"/>
          <w:szCs w:val="28"/>
        </w:rPr>
      </w:pPr>
      <w:bookmarkStart w:id="1377" w:name="_Toc252533332"/>
      <w:bookmarkStart w:id="1378" w:name="_Toc24725"/>
      <w:bookmarkStart w:id="1379" w:name="_Toc20718"/>
      <w:r w:rsidRPr="00123108">
        <w:rPr>
          <w:rFonts w:ascii="宋体" w:hAnsi="宋体" w:hint="eastAsia"/>
          <w:sz w:val="28"/>
          <w:szCs w:val="28"/>
        </w:rPr>
        <w:t>新桥化工物料储运过程</w:t>
      </w:r>
      <w:r w:rsidRPr="00123108">
        <w:rPr>
          <w:rFonts w:ascii="宋体" w:hAnsi="宋体"/>
          <w:sz w:val="28"/>
          <w:szCs w:val="28"/>
        </w:rPr>
        <w:t>主要包括来料卸车、物料贮存</w:t>
      </w:r>
      <w:r w:rsidRPr="00123108">
        <w:rPr>
          <w:rFonts w:ascii="宋体" w:hAnsi="宋体" w:hint="eastAsia"/>
          <w:sz w:val="28"/>
          <w:szCs w:val="28"/>
        </w:rPr>
        <w:t>（地上储罐储存、埋地储罐储存、仓库储存），</w:t>
      </w:r>
      <w:r w:rsidRPr="00123108">
        <w:rPr>
          <w:rFonts w:ascii="宋体" w:hAnsi="宋体"/>
          <w:sz w:val="28"/>
          <w:szCs w:val="28"/>
        </w:rPr>
        <w:t>物料输送等</w:t>
      </w:r>
      <w:r w:rsidRPr="00123108">
        <w:rPr>
          <w:rFonts w:ascii="宋体" w:hAnsi="宋体" w:hint="eastAsia"/>
          <w:sz w:val="28"/>
          <w:szCs w:val="28"/>
        </w:rPr>
        <w:t>。</w:t>
      </w:r>
    </w:p>
    <w:p w:rsidR="004F34D9" w:rsidRPr="00123108" w:rsidRDefault="004F34D9" w:rsidP="00D06780">
      <w:pPr>
        <w:autoSpaceDE w:val="0"/>
        <w:autoSpaceDN w:val="0"/>
        <w:adjustRightInd w:val="0"/>
        <w:spacing w:line="500" w:lineRule="exact"/>
        <w:outlineLvl w:val="2"/>
        <w:rPr>
          <w:rFonts w:ascii="黑体" w:eastAsia="黑体" w:hAnsi="黑体" w:hint="eastAsia"/>
          <w:b/>
          <w:sz w:val="28"/>
          <w:szCs w:val="28"/>
        </w:rPr>
      </w:pPr>
      <w:bookmarkStart w:id="1380" w:name="_Toc190935850"/>
      <w:r w:rsidRPr="00123108">
        <w:rPr>
          <w:rFonts w:ascii="黑体" w:eastAsia="黑体" w:hAnsi="黑体" w:hint="eastAsia"/>
          <w:b/>
          <w:sz w:val="28"/>
          <w:szCs w:val="28"/>
        </w:rPr>
        <w:t>附件1.4.1  罐区储存的危险、有害因素分析</w:t>
      </w:r>
      <w:bookmarkEnd w:id="1380"/>
    </w:p>
    <w:p w:rsidR="004F34D9" w:rsidRPr="00123108" w:rsidRDefault="004F34D9" w:rsidP="00D06780">
      <w:pPr>
        <w:autoSpaceDE w:val="0"/>
        <w:autoSpaceDN w:val="0"/>
        <w:adjustRightInd w:val="0"/>
        <w:spacing w:line="500" w:lineRule="exact"/>
        <w:ind w:firstLineChars="200" w:firstLine="560"/>
        <w:rPr>
          <w:rFonts w:ascii="宋体" w:hAnsi="宋体"/>
          <w:sz w:val="28"/>
          <w:szCs w:val="28"/>
          <w:lang w:val="zh-CN"/>
        </w:rPr>
      </w:pPr>
      <w:r w:rsidRPr="00123108">
        <w:rPr>
          <w:rFonts w:ascii="宋体" w:hAnsi="宋体" w:hint="eastAsia"/>
          <w:sz w:val="28"/>
          <w:szCs w:val="28"/>
        </w:rPr>
        <w:t>罐区储存的物料苯乙烯、二甲苯、戊烷均属于</w:t>
      </w:r>
      <w:r w:rsidRPr="00123108">
        <w:rPr>
          <w:rFonts w:ascii="宋体" w:hAnsi="宋体"/>
          <w:sz w:val="28"/>
          <w:szCs w:val="28"/>
        </w:rPr>
        <w:t>易燃</w:t>
      </w:r>
      <w:r w:rsidRPr="00123108">
        <w:rPr>
          <w:rFonts w:ascii="宋体" w:hAnsi="宋体" w:hint="eastAsia"/>
          <w:sz w:val="28"/>
          <w:szCs w:val="28"/>
        </w:rPr>
        <w:t>易爆、有毒有害物质</w:t>
      </w:r>
      <w:r w:rsidRPr="00123108">
        <w:rPr>
          <w:rFonts w:ascii="宋体" w:hAnsi="宋体"/>
          <w:sz w:val="28"/>
          <w:szCs w:val="28"/>
        </w:rPr>
        <w:t>，主要存在</w:t>
      </w:r>
      <w:r w:rsidRPr="00123108">
        <w:rPr>
          <w:rFonts w:ascii="宋体" w:hAnsi="宋体" w:hint="eastAsia"/>
          <w:sz w:val="28"/>
          <w:szCs w:val="28"/>
        </w:rPr>
        <w:t>火灾爆炸、中毒窒息</w:t>
      </w:r>
      <w:r w:rsidRPr="00123108">
        <w:rPr>
          <w:rFonts w:ascii="宋体" w:hAnsi="宋体"/>
          <w:sz w:val="28"/>
          <w:szCs w:val="28"/>
        </w:rPr>
        <w:t>等危险性。贮罐区危险、有害因素主要表现在：</w:t>
      </w:r>
    </w:p>
    <w:p w:rsidR="004F34D9" w:rsidRPr="00123108" w:rsidRDefault="004F34D9" w:rsidP="00D06780">
      <w:pPr>
        <w:numPr>
          <w:ilvl w:val="1"/>
          <w:numId w:val="54"/>
        </w:numPr>
        <w:tabs>
          <w:tab w:val="left" w:pos="1155"/>
        </w:tabs>
        <w:autoSpaceDE w:val="0"/>
        <w:autoSpaceDN w:val="0"/>
        <w:adjustRightInd w:val="0"/>
        <w:spacing w:line="500" w:lineRule="exact"/>
        <w:ind w:left="0" w:firstLineChars="200" w:firstLine="560"/>
        <w:rPr>
          <w:rFonts w:ascii="宋体" w:hAnsi="宋体"/>
          <w:sz w:val="28"/>
          <w:szCs w:val="28"/>
          <w:lang w:val="zh-CN"/>
        </w:rPr>
      </w:pPr>
      <w:r w:rsidRPr="00123108">
        <w:rPr>
          <w:rFonts w:ascii="宋体" w:hAnsi="宋体"/>
          <w:sz w:val="28"/>
          <w:szCs w:val="28"/>
        </w:rPr>
        <w:t>操作人员疏忽大意、未遵守操作过程、身体不适等原因，都有可能导致物料溢出、泄漏，如充装过量；物料输送过程中管道、阀门等破损，接头脱落，也会使在场物料泄漏；指示仪表失效，将可能导致物料溢出</w:t>
      </w:r>
      <w:r w:rsidRPr="00123108">
        <w:rPr>
          <w:rFonts w:ascii="宋体" w:hAnsi="宋体"/>
          <w:sz w:val="28"/>
          <w:szCs w:val="28"/>
          <w:lang w:val="zh-CN"/>
        </w:rPr>
        <w:t>。</w:t>
      </w:r>
    </w:p>
    <w:p w:rsidR="004F34D9" w:rsidRPr="00123108" w:rsidRDefault="004F34D9" w:rsidP="00D06780">
      <w:pPr>
        <w:numPr>
          <w:ilvl w:val="1"/>
          <w:numId w:val="54"/>
        </w:numPr>
        <w:tabs>
          <w:tab w:val="left" w:pos="1155"/>
        </w:tabs>
        <w:autoSpaceDE w:val="0"/>
        <w:autoSpaceDN w:val="0"/>
        <w:adjustRightInd w:val="0"/>
        <w:spacing w:line="500" w:lineRule="exact"/>
        <w:ind w:left="0" w:firstLineChars="200" w:firstLine="560"/>
        <w:rPr>
          <w:rFonts w:ascii="宋体" w:hAnsi="宋体"/>
          <w:sz w:val="28"/>
          <w:szCs w:val="28"/>
          <w:lang w:val="zh-CN"/>
        </w:rPr>
      </w:pPr>
      <w:r w:rsidRPr="00123108">
        <w:rPr>
          <w:rFonts w:ascii="宋体" w:hAnsi="宋体"/>
          <w:sz w:val="28"/>
          <w:szCs w:val="28"/>
          <w:lang w:val="zh-CN"/>
        </w:rPr>
        <w:t>储罐材质不符合设计要求，焊缝布置强度不够，储罐基础不平、发生沉降，长期使用被腐蚀老化等原因，造成罐体破裂引起事故。</w:t>
      </w:r>
    </w:p>
    <w:p w:rsidR="004F34D9" w:rsidRPr="00123108" w:rsidRDefault="004F34D9" w:rsidP="00D06780">
      <w:pPr>
        <w:numPr>
          <w:ilvl w:val="1"/>
          <w:numId w:val="54"/>
        </w:numPr>
        <w:tabs>
          <w:tab w:val="left" w:pos="1155"/>
        </w:tabs>
        <w:autoSpaceDE w:val="0"/>
        <w:autoSpaceDN w:val="0"/>
        <w:adjustRightInd w:val="0"/>
        <w:spacing w:line="500" w:lineRule="exact"/>
        <w:ind w:left="0" w:firstLineChars="200" w:firstLine="560"/>
        <w:rPr>
          <w:rFonts w:ascii="宋体" w:hAnsi="宋体"/>
          <w:sz w:val="28"/>
          <w:szCs w:val="28"/>
          <w:lang w:val="zh-CN"/>
        </w:rPr>
      </w:pPr>
      <w:r w:rsidRPr="00123108">
        <w:rPr>
          <w:rFonts w:ascii="宋体" w:hAnsi="宋体"/>
          <w:sz w:val="28"/>
          <w:szCs w:val="28"/>
        </w:rPr>
        <w:t>贮罐储存的易燃液体，由于容器本身的缺陷或环境温度变化大，从而造成易燃液体泄漏，进而引发火灾爆炸、中毒等各类事故；对于空罐，可能使罐内残留易燃液体蒸气与空气混合而处于爆炸极限范围内，进而引发爆炸。</w:t>
      </w:r>
    </w:p>
    <w:p w:rsidR="004F34D9" w:rsidRPr="00123108" w:rsidRDefault="004F34D9" w:rsidP="00D06780">
      <w:pPr>
        <w:numPr>
          <w:ilvl w:val="1"/>
          <w:numId w:val="54"/>
        </w:numPr>
        <w:tabs>
          <w:tab w:val="left" w:pos="1155"/>
        </w:tabs>
        <w:autoSpaceDE w:val="0"/>
        <w:autoSpaceDN w:val="0"/>
        <w:adjustRightInd w:val="0"/>
        <w:spacing w:line="500" w:lineRule="exact"/>
        <w:ind w:left="0" w:firstLineChars="200" w:firstLine="560"/>
        <w:rPr>
          <w:rFonts w:ascii="宋体" w:hAnsi="宋体"/>
          <w:sz w:val="28"/>
          <w:szCs w:val="28"/>
          <w:lang w:val="zh-CN"/>
        </w:rPr>
      </w:pPr>
      <w:r w:rsidRPr="00123108">
        <w:rPr>
          <w:rFonts w:ascii="宋体" w:hAnsi="宋体"/>
          <w:sz w:val="28"/>
          <w:szCs w:val="28"/>
          <w:lang w:val="zh-CN"/>
        </w:rPr>
        <w:t>储罐</w:t>
      </w:r>
      <w:r w:rsidRPr="00123108">
        <w:rPr>
          <w:rFonts w:ascii="宋体" w:hAnsi="宋体" w:hint="eastAsia"/>
          <w:sz w:val="28"/>
          <w:szCs w:val="28"/>
          <w:lang w:val="zh-CN"/>
        </w:rPr>
        <w:t>若</w:t>
      </w:r>
      <w:r w:rsidRPr="00123108">
        <w:rPr>
          <w:rFonts w:ascii="宋体" w:hAnsi="宋体"/>
          <w:sz w:val="28"/>
          <w:szCs w:val="28"/>
          <w:lang w:val="zh-CN"/>
        </w:rPr>
        <w:t>未设防火堤，罐体破裂会造成易燃易爆物料流散，将会造成</w:t>
      </w:r>
      <w:r w:rsidRPr="00123108">
        <w:rPr>
          <w:rFonts w:ascii="宋体" w:hAnsi="宋体"/>
          <w:sz w:val="28"/>
          <w:szCs w:val="28"/>
          <w:lang w:val="zh-CN"/>
        </w:rPr>
        <w:lastRenderedPageBreak/>
        <w:t>更加严重的后果。</w:t>
      </w:r>
    </w:p>
    <w:p w:rsidR="004F34D9" w:rsidRPr="00123108" w:rsidRDefault="004F34D9" w:rsidP="00D06780">
      <w:pPr>
        <w:numPr>
          <w:ilvl w:val="1"/>
          <w:numId w:val="54"/>
        </w:numPr>
        <w:tabs>
          <w:tab w:val="left" w:pos="1155"/>
        </w:tabs>
        <w:autoSpaceDE w:val="0"/>
        <w:autoSpaceDN w:val="0"/>
        <w:adjustRightInd w:val="0"/>
        <w:spacing w:line="500" w:lineRule="exact"/>
        <w:ind w:left="0" w:firstLineChars="200" w:firstLine="560"/>
        <w:rPr>
          <w:rFonts w:ascii="宋体" w:hAnsi="宋体"/>
          <w:sz w:val="28"/>
          <w:szCs w:val="28"/>
          <w:lang w:val="zh-CN"/>
        </w:rPr>
      </w:pPr>
      <w:r w:rsidRPr="00123108">
        <w:rPr>
          <w:rFonts w:ascii="宋体" w:hAnsi="宋体"/>
          <w:sz w:val="28"/>
          <w:szCs w:val="28"/>
          <w:lang w:val="zh-CN"/>
        </w:rPr>
        <w:t>储罐</w:t>
      </w:r>
      <w:r w:rsidRPr="00123108">
        <w:rPr>
          <w:rFonts w:ascii="宋体" w:hAnsi="宋体" w:hint="eastAsia"/>
          <w:sz w:val="28"/>
          <w:szCs w:val="28"/>
          <w:lang w:val="zh-CN"/>
        </w:rPr>
        <w:t>若</w:t>
      </w:r>
      <w:r w:rsidRPr="00123108">
        <w:rPr>
          <w:rFonts w:ascii="宋体" w:hAnsi="宋体"/>
          <w:sz w:val="28"/>
          <w:szCs w:val="28"/>
          <w:lang w:val="zh-CN"/>
        </w:rPr>
        <w:t>未设防雷设施，在雷雨天有可能因雷击放电而产生火灾爆炸事故。易燃液体储罐未安装导除静电装置或导除静电装置失灵，由于物料冲击，在罐壁上集聚的静电荷在一定条件下放电打火，造成火灾、爆炸事故。</w:t>
      </w:r>
    </w:p>
    <w:p w:rsidR="004F34D9" w:rsidRPr="00123108" w:rsidRDefault="004F34D9" w:rsidP="00D06780">
      <w:pPr>
        <w:numPr>
          <w:ilvl w:val="1"/>
          <w:numId w:val="54"/>
        </w:numPr>
        <w:tabs>
          <w:tab w:val="left" w:pos="1155"/>
        </w:tabs>
        <w:autoSpaceDE w:val="0"/>
        <w:autoSpaceDN w:val="0"/>
        <w:adjustRightInd w:val="0"/>
        <w:spacing w:line="500" w:lineRule="exact"/>
        <w:ind w:left="0" w:firstLineChars="200" w:firstLine="560"/>
        <w:rPr>
          <w:rFonts w:ascii="宋体" w:hAnsi="宋体"/>
          <w:sz w:val="28"/>
          <w:szCs w:val="28"/>
        </w:rPr>
      </w:pPr>
      <w:r w:rsidRPr="00123108">
        <w:rPr>
          <w:rFonts w:ascii="宋体" w:hAnsi="宋体"/>
          <w:sz w:val="28"/>
          <w:szCs w:val="28"/>
        </w:rPr>
        <w:t>贮罐运行中如果操作不当，设计中又无相应的报警、联锁装置或其他安全措施，则可能发生满溢事故和贮罐抽瘪事故。</w:t>
      </w:r>
    </w:p>
    <w:p w:rsidR="004F34D9" w:rsidRPr="00123108" w:rsidRDefault="004F34D9" w:rsidP="00D06780">
      <w:pPr>
        <w:numPr>
          <w:ilvl w:val="1"/>
          <w:numId w:val="54"/>
        </w:numPr>
        <w:tabs>
          <w:tab w:val="left" w:pos="1155"/>
        </w:tabs>
        <w:autoSpaceDE w:val="0"/>
        <w:autoSpaceDN w:val="0"/>
        <w:adjustRightInd w:val="0"/>
        <w:spacing w:line="500" w:lineRule="exact"/>
        <w:ind w:left="0" w:firstLineChars="200" w:firstLine="560"/>
        <w:rPr>
          <w:rFonts w:ascii="宋体" w:hAnsi="宋体" w:hint="eastAsia"/>
          <w:sz w:val="28"/>
          <w:szCs w:val="28"/>
          <w:lang w:val="zh-CN"/>
        </w:rPr>
      </w:pPr>
      <w:r w:rsidRPr="00123108">
        <w:rPr>
          <w:rFonts w:ascii="宋体" w:hAnsi="宋体"/>
          <w:sz w:val="28"/>
          <w:szCs w:val="28"/>
          <w:lang w:val="zh-CN"/>
        </w:rPr>
        <w:t>储罐安全阀、呼吸阀</w:t>
      </w:r>
      <w:r w:rsidRPr="00123108">
        <w:rPr>
          <w:rFonts w:ascii="宋体" w:hAnsi="宋体" w:hint="eastAsia"/>
          <w:sz w:val="28"/>
          <w:szCs w:val="28"/>
          <w:lang w:val="zh-CN"/>
        </w:rPr>
        <w:t>若</w:t>
      </w:r>
      <w:r w:rsidRPr="00123108">
        <w:rPr>
          <w:rFonts w:ascii="宋体" w:hAnsi="宋体"/>
          <w:sz w:val="28"/>
          <w:szCs w:val="28"/>
          <w:lang w:val="zh-CN"/>
        </w:rPr>
        <w:t>被凝结、锈死或阻火器阻塞，罐体有可能受到强烈的憋压而破裂，导致物料泄漏。</w:t>
      </w:r>
    </w:p>
    <w:p w:rsidR="004F34D9" w:rsidRPr="00123108" w:rsidRDefault="004F34D9" w:rsidP="00D06780">
      <w:pPr>
        <w:numPr>
          <w:ilvl w:val="1"/>
          <w:numId w:val="54"/>
        </w:numPr>
        <w:tabs>
          <w:tab w:val="left" w:pos="1155"/>
        </w:tabs>
        <w:autoSpaceDE w:val="0"/>
        <w:autoSpaceDN w:val="0"/>
        <w:adjustRightInd w:val="0"/>
        <w:spacing w:line="500" w:lineRule="exact"/>
        <w:ind w:left="0" w:firstLineChars="200" w:firstLine="560"/>
        <w:rPr>
          <w:rFonts w:ascii="宋体" w:hAnsi="宋体" w:hint="eastAsia"/>
          <w:sz w:val="28"/>
          <w:szCs w:val="28"/>
          <w:lang w:val="zh-CN"/>
        </w:rPr>
      </w:pPr>
      <w:r w:rsidRPr="00123108">
        <w:rPr>
          <w:rFonts w:ascii="宋体" w:hAnsi="宋体" w:cs="宋体" w:hint="eastAsia"/>
          <w:sz w:val="28"/>
          <w:szCs w:val="28"/>
        </w:rPr>
        <w:t>苯乙烯物料具有聚合性，若储存过程中阻聚剂失效或添加量不足，储存过程温度过高等，容易自聚。同时，因使用的内浮盘，若在使用过程中，发生浮盘落地引发事故。</w:t>
      </w:r>
    </w:p>
    <w:p w:rsidR="004F34D9" w:rsidRPr="00123108" w:rsidRDefault="004F34D9" w:rsidP="00D06780">
      <w:pPr>
        <w:numPr>
          <w:ilvl w:val="1"/>
          <w:numId w:val="54"/>
        </w:numPr>
        <w:tabs>
          <w:tab w:val="left" w:pos="1155"/>
        </w:tabs>
        <w:autoSpaceDE w:val="0"/>
        <w:autoSpaceDN w:val="0"/>
        <w:adjustRightInd w:val="0"/>
        <w:spacing w:line="500" w:lineRule="exact"/>
        <w:ind w:left="0" w:firstLineChars="200" w:firstLine="560"/>
        <w:rPr>
          <w:rFonts w:ascii="宋体" w:hAnsi="宋体"/>
          <w:sz w:val="28"/>
          <w:szCs w:val="28"/>
          <w:lang w:val="zh-CN"/>
        </w:rPr>
      </w:pPr>
      <w:r w:rsidRPr="00123108">
        <w:rPr>
          <w:rFonts w:ascii="宋体" w:hAnsi="宋体" w:hint="eastAsia"/>
          <w:sz w:val="28"/>
        </w:rPr>
        <w:t>本项目戊烷储罐采用</w:t>
      </w:r>
      <w:r w:rsidRPr="00123108">
        <w:rPr>
          <w:rFonts w:ascii="宋体" w:hAnsi="宋体"/>
          <w:sz w:val="28"/>
        </w:rPr>
        <w:t>氮封</w:t>
      </w:r>
      <w:r w:rsidRPr="00123108">
        <w:rPr>
          <w:rFonts w:ascii="宋体" w:hAnsi="宋体" w:hint="eastAsia"/>
          <w:sz w:val="28"/>
        </w:rPr>
        <w:t>措施，若未定期检查氮封阀及与呼吸阀关联情况，在实际运行过程中，可能会出现氮封阀失效、补充不进氮气等现象</w:t>
      </w:r>
      <w:r w:rsidRPr="00123108">
        <w:rPr>
          <w:rFonts w:ascii="宋体" w:hAnsi="宋体"/>
          <w:sz w:val="28"/>
        </w:rPr>
        <w:t>。</w:t>
      </w:r>
    </w:p>
    <w:p w:rsidR="004F34D9" w:rsidRPr="00123108" w:rsidRDefault="004F34D9" w:rsidP="00D06780">
      <w:pPr>
        <w:spacing w:line="500" w:lineRule="exact"/>
        <w:outlineLvl w:val="2"/>
        <w:rPr>
          <w:rFonts w:ascii="黑体" w:eastAsia="黑体" w:hAnsi="黑体" w:hint="eastAsia"/>
          <w:b/>
          <w:sz w:val="28"/>
        </w:rPr>
      </w:pPr>
      <w:bookmarkStart w:id="1381" w:name="_Toc17773"/>
      <w:bookmarkStart w:id="1382" w:name="_Toc39652943"/>
      <w:bookmarkStart w:id="1383" w:name="_Toc190935851"/>
      <w:r w:rsidRPr="00123108">
        <w:rPr>
          <w:rFonts w:ascii="黑体" w:eastAsia="黑体" w:hAnsi="黑体" w:hint="eastAsia"/>
          <w:b/>
          <w:sz w:val="28"/>
        </w:rPr>
        <w:t>附件1.4.2 物料装卸作业危险有害因素分析</w:t>
      </w:r>
      <w:bookmarkEnd w:id="1381"/>
      <w:bookmarkEnd w:id="1382"/>
      <w:bookmarkEnd w:id="1383"/>
    </w:p>
    <w:p w:rsidR="004F34D9" w:rsidRPr="00123108" w:rsidRDefault="004F34D9" w:rsidP="00D06780">
      <w:pPr>
        <w:numPr>
          <w:ilvl w:val="0"/>
          <w:numId w:val="55"/>
        </w:numPr>
        <w:tabs>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进入厂区卸料的汽车未安装阻火帽；在装卸过程中，汽车启动发动机；雷雨天气进行作业，都有可能引起火灾；</w:t>
      </w:r>
    </w:p>
    <w:p w:rsidR="004F34D9" w:rsidRPr="00123108" w:rsidRDefault="004F34D9" w:rsidP="00D06780">
      <w:pPr>
        <w:numPr>
          <w:ilvl w:val="0"/>
          <w:numId w:val="55"/>
        </w:numPr>
        <w:tabs>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槽罐车卸料过程中，没有专人进行监护，造成物料满溢；未及时检查，倘若管道有泄漏和渗出，造成可燃蒸汽在低洼处积累或可燃蒸汽挥发积聚，将可能引发火灾事故；</w:t>
      </w:r>
    </w:p>
    <w:p w:rsidR="004F34D9" w:rsidRPr="00123108" w:rsidRDefault="004F34D9" w:rsidP="00D06780">
      <w:pPr>
        <w:numPr>
          <w:ilvl w:val="0"/>
          <w:numId w:val="55"/>
        </w:numPr>
        <w:tabs>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卸料物料未严格控制流速；或者使用非导电输料管时，未用导线将胶管两端的金属法兰进行跨接，容易产生静电；</w:t>
      </w:r>
    </w:p>
    <w:p w:rsidR="004F34D9" w:rsidRPr="00123108" w:rsidRDefault="004F34D9" w:rsidP="00D06780">
      <w:pPr>
        <w:numPr>
          <w:ilvl w:val="0"/>
          <w:numId w:val="55"/>
        </w:numPr>
        <w:tabs>
          <w:tab w:val="left" w:pos="1470"/>
        </w:tabs>
        <w:spacing w:line="500" w:lineRule="exact"/>
        <w:ind w:left="0" w:firstLineChars="200" w:firstLine="560"/>
        <w:rPr>
          <w:rFonts w:ascii="宋体" w:hAnsi="宋体" w:hint="eastAsia"/>
          <w:sz w:val="28"/>
          <w:szCs w:val="28"/>
        </w:rPr>
      </w:pPr>
      <w:r w:rsidRPr="00123108">
        <w:rPr>
          <w:rFonts w:ascii="宋体" w:hAnsi="宋体" w:hint="eastAsia"/>
          <w:sz w:val="28"/>
          <w:szCs w:val="28"/>
        </w:rPr>
        <w:t>槽罐车未设置接地链、接地链不符合导静电要求以及卸料前未做静电接地，致使静电消除不利；</w:t>
      </w:r>
    </w:p>
    <w:p w:rsidR="004F34D9" w:rsidRPr="00123108" w:rsidRDefault="004F34D9" w:rsidP="00D06780">
      <w:pPr>
        <w:pStyle w:val="a9"/>
        <w:numPr>
          <w:ilvl w:val="0"/>
          <w:numId w:val="55"/>
        </w:numPr>
        <w:tabs>
          <w:tab w:val="left" w:pos="1470"/>
        </w:tabs>
        <w:spacing w:line="500" w:lineRule="exact"/>
        <w:ind w:left="0" w:firstLineChars="200" w:firstLine="560"/>
        <w:rPr>
          <w:rFonts w:hAnsi="宋体" w:hint="eastAsia"/>
          <w:sz w:val="28"/>
          <w:szCs w:val="28"/>
        </w:rPr>
      </w:pPr>
      <w:r w:rsidRPr="00123108">
        <w:rPr>
          <w:rFonts w:hAnsi="宋体" w:hint="eastAsia"/>
          <w:sz w:val="28"/>
          <w:szCs w:val="28"/>
        </w:rPr>
        <w:t>车辆在卸料时，未停稳或停车后未实施车轮固定，车辆滑动，导致物料翻倒滚落或装卸接管脱落，造成物料泄漏事故；</w:t>
      </w:r>
    </w:p>
    <w:p w:rsidR="004F34D9" w:rsidRPr="00123108" w:rsidRDefault="004F34D9" w:rsidP="00D06780">
      <w:pPr>
        <w:pStyle w:val="a9"/>
        <w:numPr>
          <w:ilvl w:val="0"/>
          <w:numId w:val="55"/>
        </w:numPr>
        <w:tabs>
          <w:tab w:val="left" w:pos="1470"/>
        </w:tabs>
        <w:spacing w:line="500" w:lineRule="exact"/>
        <w:ind w:left="0" w:firstLineChars="200" w:firstLine="560"/>
        <w:rPr>
          <w:rFonts w:hAnsi="宋体" w:hint="eastAsia"/>
          <w:sz w:val="28"/>
          <w:szCs w:val="28"/>
        </w:rPr>
      </w:pPr>
      <w:r w:rsidRPr="00123108">
        <w:rPr>
          <w:rFonts w:hAnsi="宋体" w:hint="eastAsia"/>
          <w:sz w:val="28"/>
          <w:szCs w:val="28"/>
        </w:rPr>
        <w:t>操作人员未按操作规程操作，造成物料的渗漏、外溢、溅洒；</w:t>
      </w:r>
    </w:p>
    <w:p w:rsidR="004F34D9" w:rsidRPr="00123108" w:rsidRDefault="004F34D9" w:rsidP="00D06780">
      <w:pPr>
        <w:pStyle w:val="a9"/>
        <w:numPr>
          <w:ilvl w:val="0"/>
          <w:numId w:val="55"/>
        </w:numPr>
        <w:tabs>
          <w:tab w:val="left" w:pos="1470"/>
        </w:tabs>
        <w:spacing w:line="500" w:lineRule="exact"/>
        <w:ind w:left="0" w:firstLineChars="200" w:firstLine="560"/>
        <w:rPr>
          <w:rFonts w:hAnsi="宋体" w:hint="eastAsia"/>
          <w:sz w:val="28"/>
          <w:szCs w:val="28"/>
        </w:rPr>
      </w:pPr>
      <w:r w:rsidRPr="00123108">
        <w:rPr>
          <w:rFonts w:hAnsi="宋体" w:hint="eastAsia"/>
          <w:sz w:val="28"/>
          <w:szCs w:val="28"/>
        </w:rPr>
        <w:t>进厂车辆未按指定线路行驶，造成事故。</w:t>
      </w:r>
    </w:p>
    <w:p w:rsidR="00D06780" w:rsidRPr="00123108" w:rsidRDefault="00D06780" w:rsidP="00D06780">
      <w:pPr>
        <w:spacing w:line="500" w:lineRule="exact"/>
        <w:ind w:firstLineChars="200" w:firstLine="562"/>
        <w:jc w:val="center"/>
        <w:rPr>
          <w:rFonts w:ascii="黑体" w:eastAsia="黑体" w:hAnsi="黑体" w:hint="eastAsia"/>
          <w:b/>
          <w:sz w:val="28"/>
          <w:szCs w:val="28"/>
        </w:rPr>
      </w:pPr>
    </w:p>
    <w:p w:rsidR="004F34D9" w:rsidRPr="00123108" w:rsidRDefault="004F34D9" w:rsidP="00D06780">
      <w:pPr>
        <w:spacing w:line="500" w:lineRule="exact"/>
        <w:ind w:firstLineChars="200" w:firstLine="562"/>
        <w:jc w:val="center"/>
        <w:rPr>
          <w:rFonts w:ascii="黑体" w:eastAsia="黑体" w:hAnsi="黑体"/>
          <w:b/>
          <w:sz w:val="28"/>
          <w:szCs w:val="28"/>
        </w:rPr>
      </w:pPr>
      <w:r w:rsidRPr="00123108">
        <w:rPr>
          <w:rFonts w:ascii="黑体" w:eastAsia="黑体" w:hAnsi="黑体"/>
          <w:b/>
          <w:sz w:val="28"/>
          <w:szCs w:val="28"/>
        </w:rPr>
        <w:lastRenderedPageBreak/>
        <w:t>附表</w:t>
      </w:r>
      <w:r w:rsidRPr="00123108">
        <w:rPr>
          <w:rFonts w:ascii="黑体" w:eastAsia="黑体" w:hAnsi="黑体" w:hint="eastAsia"/>
          <w:b/>
          <w:sz w:val="28"/>
          <w:szCs w:val="28"/>
        </w:rPr>
        <w:t>1.4-1</w:t>
      </w:r>
      <w:r w:rsidRPr="00123108">
        <w:rPr>
          <w:rFonts w:ascii="黑体" w:eastAsia="黑体" w:hAnsi="黑体"/>
          <w:b/>
          <w:sz w:val="28"/>
          <w:szCs w:val="28"/>
        </w:rPr>
        <w:t xml:space="preserve"> 罐区储存、装卸过程危险因素分析表</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
        <w:gridCol w:w="4413"/>
        <w:gridCol w:w="4246"/>
      </w:tblGrid>
      <w:tr w:rsidR="004F34D9" w:rsidRPr="00123108">
        <w:tc>
          <w:tcPr>
            <w:tcW w:w="515" w:type="dxa"/>
            <w:vAlign w:val="center"/>
          </w:tcPr>
          <w:p w:rsidR="004F34D9" w:rsidRPr="00123108" w:rsidRDefault="004F34D9">
            <w:pPr>
              <w:spacing w:line="280" w:lineRule="exact"/>
              <w:jc w:val="center"/>
              <w:rPr>
                <w:szCs w:val="21"/>
              </w:rPr>
            </w:pPr>
            <w:r w:rsidRPr="00123108">
              <w:rPr>
                <w:szCs w:val="21"/>
              </w:rPr>
              <w:t>序号</w:t>
            </w:r>
          </w:p>
        </w:tc>
        <w:tc>
          <w:tcPr>
            <w:tcW w:w="4413" w:type="dxa"/>
            <w:vAlign w:val="center"/>
          </w:tcPr>
          <w:p w:rsidR="004F34D9" w:rsidRPr="00123108" w:rsidRDefault="004F34D9">
            <w:pPr>
              <w:spacing w:line="280" w:lineRule="exact"/>
              <w:jc w:val="center"/>
              <w:rPr>
                <w:szCs w:val="21"/>
              </w:rPr>
            </w:pPr>
            <w:r w:rsidRPr="00123108">
              <w:rPr>
                <w:szCs w:val="21"/>
              </w:rPr>
              <w:t>主要危险因素</w:t>
            </w:r>
          </w:p>
        </w:tc>
        <w:tc>
          <w:tcPr>
            <w:tcW w:w="4246" w:type="dxa"/>
            <w:vAlign w:val="center"/>
          </w:tcPr>
          <w:p w:rsidR="004F34D9" w:rsidRPr="00123108" w:rsidRDefault="004F34D9">
            <w:pPr>
              <w:spacing w:line="280" w:lineRule="exact"/>
              <w:jc w:val="center"/>
              <w:rPr>
                <w:szCs w:val="21"/>
              </w:rPr>
            </w:pPr>
            <w:r w:rsidRPr="00123108">
              <w:rPr>
                <w:szCs w:val="21"/>
              </w:rPr>
              <w:t>危害后果</w:t>
            </w: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一</w:t>
            </w:r>
          </w:p>
        </w:tc>
        <w:tc>
          <w:tcPr>
            <w:tcW w:w="4413" w:type="dxa"/>
            <w:vAlign w:val="center"/>
          </w:tcPr>
          <w:p w:rsidR="004F34D9" w:rsidRPr="00123108" w:rsidRDefault="004F34D9">
            <w:pPr>
              <w:spacing w:line="280" w:lineRule="exact"/>
              <w:rPr>
                <w:szCs w:val="21"/>
              </w:rPr>
            </w:pPr>
            <w:r w:rsidRPr="00123108">
              <w:rPr>
                <w:szCs w:val="21"/>
              </w:rPr>
              <w:t>罐区布置</w:t>
            </w:r>
          </w:p>
        </w:tc>
        <w:tc>
          <w:tcPr>
            <w:tcW w:w="4246" w:type="dxa"/>
            <w:vAlign w:val="center"/>
          </w:tcPr>
          <w:p w:rsidR="004F34D9" w:rsidRPr="00123108" w:rsidRDefault="004F34D9">
            <w:pPr>
              <w:spacing w:line="280" w:lineRule="exact"/>
              <w:rPr>
                <w:szCs w:val="21"/>
              </w:rPr>
            </w:pP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1</w:t>
            </w:r>
          </w:p>
        </w:tc>
        <w:tc>
          <w:tcPr>
            <w:tcW w:w="4413" w:type="dxa"/>
            <w:vAlign w:val="center"/>
          </w:tcPr>
          <w:p w:rsidR="004F34D9" w:rsidRPr="00123108" w:rsidRDefault="004F34D9">
            <w:pPr>
              <w:spacing w:line="280" w:lineRule="exact"/>
              <w:rPr>
                <w:szCs w:val="21"/>
              </w:rPr>
            </w:pPr>
            <w:r w:rsidRPr="00123108">
              <w:rPr>
                <w:szCs w:val="21"/>
              </w:rPr>
              <w:t>贮罐及罐区与周围设施防火间距不足。</w:t>
            </w:r>
          </w:p>
        </w:tc>
        <w:tc>
          <w:tcPr>
            <w:tcW w:w="4246" w:type="dxa"/>
            <w:vAlign w:val="center"/>
          </w:tcPr>
          <w:p w:rsidR="004F34D9" w:rsidRPr="00123108" w:rsidRDefault="004F34D9">
            <w:pPr>
              <w:spacing w:line="280" w:lineRule="exact"/>
              <w:rPr>
                <w:szCs w:val="21"/>
              </w:rPr>
            </w:pPr>
            <w:r w:rsidRPr="00123108">
              <w:rPr>
                <w:szCs w:val="21"/>
              </w:rPr>
              <w:t>发生火灾、爆炸时，事故蔓延扩大。</w:t>
            </w: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2</w:t>
            </w:r>
          </w:p>
        </w:tc>
        <w:tc>
          <w:tcPr>
            <w:tcW w:w="4413" w:type="dxa"/>
            <w:vAlign w:val="center"/>
          </w:tcPr>
          <w:p w:rsidR="004F34D9" w:rsidRPr="00123108" w:rsidRDefault="004F34D9">
            <w:pPr>
              <w:spacing w:line="280" w:lineRule="exact"/>
              <w:rPr>
                <w:szCs w:val="21"/>
              </w:rPr>
            </w:pPr>
            <w:r w:rsidRPr="00123108">
              <w:rPr>
                <w:szCs w:val="21"/>
              </w:rPr>
              <w:t>未设置符合规范要求的防火堤：防火堤耐火极限不符合要求；高度不够，有效容积不够；贮罐与防火堤的距离不够；管道穿堤处未严密封闭；排水管穿堤处未设置防止液体流出堤外的设施。</w:t>
            </w:r>
          </w:p>
        </w:tc>
        <w:tc>
          <w:tcPr>
            <w:tcW w:w="4246" w:type="dxa"/>
            <w:vAlign w:val="center"/>
          </w:tcPr>
          <w:p w:rsidR="004F34D9" w:rsidRPr="00123108" w:rsidRDefault="004F34D9">
            <w:pPr>
              <w:spacing w:line="280" w:lineRule="exact"/>
              <w:rPr>
                <w:szCs w:val="21"/>
              </w:rPr>
            </w:pPr>
            <w:r w:rsidRPr="00123108">
              <w:rPr>
                <w:szCs w:val="21"/>
              </w:rPr>
              <w:t>一旦泄漏，尤其泄漏液体着火时，事故易蔓延扩大。</w:t>
            </w: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3</w:t>
            </w:r>
          </w:p>
        </w:tc>
        <w:tc>
          <w:tcPr>
            <w:tcW w:w="4413" w:type="dxa"/>
            <w:vAlign w:val="center"/>
          </w:tcPr>
          <w:p w:rsidR="004F34D9" w:rsidRPr="00123108" w:rsidRDefault="004F34D9">
            <w:pPr>
              <w:spacing w:line="280" w:lineRule="exact"/>
              <w:rPr>
                <w:szCs w:val="21"/>
              </w:rPr>
            </w:pPr>
            <w:r w:rsidRPr="00123108">
              <w:rPr>
                <w:szCs w:val="21"/>
              </w:rPr>
              <w:t>贮罐布置不符合规范要求：未按要求分组布置；罐组总容积超标；罐组内贮罐个数、排数超标；罐间距不符合规定。</w:t>
            </w:r>
          </w:p>
        </w:tc>
        <w:tc>
          <w:tcPr>
            <w:tcW w:w="4246" w:type="dxa"/>
            <w:vAlign w:val="center"/>
          </w:tcPr>
          <w:p w:rsidR="004F34D9" w:rsidRPr="00123108" w:rsidRDefault="004F34D9">
            <w:pPr>
              <w:spacing w:line="280" w:lineRule="exact"/>
              <w:rPr>
                <w:szCs w:val="21"/>
              </w:rPr>
            </w:pPr>
            <w:r w:rsidRPr="00123108">
              <w:rPr>
                <w:szCs w:val="21"/>
              </w:rPr>
              <w:t>一只罐发生火灾时，易蔓延至其它罐；难以进行有效的消防扑救；使罐组的风险加大。</w:t>
            </w: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4</w:t>
            </w:r>
          </w:p>
        </w:tc>
        <w:tc>
          <w:tcPr>
            <w:tcW w:w="4413" w:type="dxa"/>
            <w:vAlign w:val="center"/>
          </w:tcPr>
          <w:p w:rsidR="004F34D9" w:rsidRPr="00123108" w:rsidRDefault="004F34D9">
            <w:pPr>
              <w:spacing w:line="280" w:lineRule="exact"/>
              <w:rPr>
                <w:szCs w:val="21"/>
              </w:rPr>
            </w:pPr>
            <w:r w:rsidRPr="00123108">
              <w:rPr>
                <w:szCs w:val="21"/>
              </w:rPr>
              <w:t>火灾危险性不同、溶解性不同、互为禁忌物的贮罐间未设置隔堤。</w:t>
            </w:r>
          </w:p>
        </w:tc>
        <w:tc>
          <w:tcPr>
            <w:tcW w:w="4246" w:type="dxa"/>
            <w:vAlign w:val="center"/>
          </w:tcPr>
          <w:p w:rsidR="004F34D9" w:rsidRPr="00123108" w:rsidRDefault="004F34D9">
            <w:pPr>
              <w:spacing w:line="280" w:lineRule="exact"/>
              <w:rPr>
                <w:szCs w:val="21"/>
              </w:rPr>
            </w:pPr>
            <w:r w:rsidRPr="00123108">
              <w:rPr>
                <w:szCs w:val="21"/>
              </w:rPr>
              <w:t>甲、乙类贮罐与其他贮罐间未设隔堤，火灾危险性大的会影响到火灾危险小的贮罐；水溶性不同的贮罐间未设隔堤，将影响消防扑救有效进行；互为禁忌物的贮罐间未设隔堤，一旦泄漏，可能因物料接触反应而导致事故。</w:t>
            </w: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5</w:t>
            </w:r>
          </w:p>
        </w:tc>
        <w:tc>
          <w:tcPr>
            <w:tcW w:w="4413" w:type="dxa"/>
            <w:vAlign w:val="center"/>
          </w:tcPr>
          <w:p w:rsidR="004F34D9" w:rsidRPr="00123108" w:rsidRDefault="004F34D9">
            <w:pPr>
              <w:spacing w:line="280" w:lineRule="exact"/>
              <w:rPr>
                <w:szCs w:val="21"/>
              </w:rPr>
            </w:pPr>
            <w:r w:rsidRPr="00123108">
              <w:rPr>
                <w:szCs w:val="21"/>
              </w:rPr>
              <w:t>地质条件不当，或设计、建设缺陷，造成罐区地基沉降，贮罐基础下沉。</w:t>
            </w:r>
          </w:p>
        </w:tc>
        <w:tc>
          <w:tcPr>
            <w:tcW w:w="4246" w:type="dxa"/>
            <w:vAlign w:val="center"/>
          </w:tcPr>
          <w:p w:rsidR="004F34D9" w:rsidRPr="00123108" w:rsidRDefault="004F34D9">
            <w:pPr>
              <w:spacing w:line="280" w:lineRule="exact"/>
              <w:rPr>
                <w:szCs w:val="21"/>
              </w:rPr>
            </w:pPr>
            <w:r w:rsidRPr="00123108">
              <w:rPr>
                <w:szCs w:val="21"/>
              </w:rPr>
              <w:t>导致连接管道移位、断裂，甚至撕裂底板及壁板，造成物料泄漏，引发火灾、爆炸、中毒、灼烫事故。</w:t>
            </w: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6</w:t>
            </w:r>
          </w:p>
        </w:tc>
        <w:tc>
          <w:tcPr>
            <w:tcW w:w="4413" w:type="dxa"/>
            <w:vAlign w:val="center"/>
          </w:tcPr>
          <w:p w:rsidR="004F34D9" w:rsidRPr="00123108" w:rsidRDefault="004F34D9">
            <w:pPr>
              <w:spacing w:line="280" w:lineRule="exact"/>
              <w:rPr>
                <w:szCs w:val="21"/>
              </w:rPr>
            </w:pPr>
            <w:r w:rsidRPr="00123108">
              <w:rPr>
                <w:szCs w:val="21"/>
              </w:rPr>
              <w:t>消防车道的布置不符合要求。</w:t>
            </w:r>
          </w:p>
        </w:tc>
        <w:tc>
          <w:tcPr>
            <w:tcW w:w="4246" w:type="dxa"/>
            <w:vAlign w:val="center"/>
          </w:tcPr>
          <w:p w:rsidR="004F34D9" w:rsidRPr="00123108" w:rsidRDefault="004F34D9">
            <w:pPr>
              <w:spacing w:line="280" w:lineRule="exact"/>
              <w:rPr>
                <w:szCs w:val="21"/>
              </w:rPr>
            </w:pPr>
            <w:r w:rsidRPr="00123108">
              <w:rPr>
                <w:szCs w:val="21"/>
              </w:rPr>
              <w:t>火灾、爆炸发生时，不能及时有效地扑救。</w:t>
            </w: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二</w:t>
            </w:r>
          </w:p>
        </w:tc>
        <w:tc>
          <w:tcPr>
            <w:tcW w:w="4413" w:type="dxa"/>
            <w:vAlign w:val="center"/>
          </w:tcPr>
          <w:p w:rsidR="004F34D9" w:rsidRPr="00123108" w:rsidRDefault="004F34D9">
            <w:pPr>
              <w:spacing w:line="280" w:lineRule="exact"/>
              <w:rPr>
                <w:szCs w:val="21"/>
              </w:rPr>
            </w:pPr>
            <w:r w:rsidRPr="00123108">
              <w:rPr>
                <w:szCs w:val="21"/>
              </w:rPr>
              <w:t>贮罐及相关设备</w:t>
            </w:r>
          </w:p>
        </w:tc>
        <w:tc>
          <w:tcPr>
            <w:tcW w:w="4246" w:type="dxa"/>
            <w:vAlign w:val="center"/>
          </w:tcPr>
          <w:p w:rsidR="004F34D9" w:rsidRPr="00123108" w:rsidRDefault="004F34D9">
            <w:pPr>
              <w:spacing w:line="280" w:lineRule="exact"/>
              <w:rPr>
                <w:szCs w:val="21"/>
              </w:rPr>
            </w:pP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1</w:t>
            </w:r>
          </w:p>
        </w:tc>
        <w:tc>
          <w:tcPr>
            <w:tcW w:w="4413" w:type="dxa"/>
            <w:vAlign w:val="center"/>
          </w:tcPr>
          <w:p w:rsidR="004F34D9" w:rsidRPr="00123108" w:rsidRDefault="004F34D9">
            <w:pPr>
              <w:spacing w:line="280" w:lineRule="exact"/>
              <w:rPr>
                <w:szCs w:val="21"/>
              </w:rPr>
            </w:pPr>
            <w:r w:rsidRPr="00123108">
              <w:rPr>
                <w:szCs w:val="21"/>
              </w:rPr>
              <w:t>贮罐、管道、阀门等设施的设计、制造和安装质量不符合要求。</w:t>
            </w:r>
          </w:p>
        </w:tc>
        <w:tc>
          <w:tcPr>
            <w:tcW w:w="4246" w:type="dxa"/>
            <w:vAlign w:val="center"/>
          </w:tcPr>
          <w:p w:rsidR="004F34D9" w:rsidRPr="00123108" w:rsidRDefault="004F34D9">
            <w:pPr>
              <w:spacing w:line="280" w:lineRule="exact"/>
              <w:rPr>
                <w:szCs w:val="21"/>
              </w:rPr>
            </w:pPr>
            <w:r w:rsidRPr="00123108">
              <w:rPr>
                <w:szCs w:val="21"/>
              </w:rPr>
              <w:t>设备损坏，发生火灾、爆炸、中毒、灼伤事故。</w:t>
            </w: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2</w:t>
            </w:r>
          </w:p>
        </w:tc>
        <w:tc>
          <w:tcPr>
            <w:tcW w:w="4413" w:type="dxa"/>
            <w:vAlign w:val="center"/>
          </w:tcPr>
          <w:p w:rsidR="004F34D9" w:rsidRPr="00123108" w:rsidRDefault="004F34D9">
            <w:pPr>
              <w:spacing w:line="280" w:lineRule="exact"/>
              <w:rPr>
                <w:szCs w:val="21"/>
              </w:rPr>
            </w:pPr>
            <w:r w:rsidRPr="00123108">
              <w:rPr>
                <w:szCs w:val="21"/>
              </w:rPr>
              <w:t>可燃液体储存采用非金属材料的贮罐、管道、阀门等。</w:t>
            </w:r>
          </w:p>
        </w:tc>
        <w:tc>
          <w:tcPr>
            <w:tcW w:w="4246" w:type="dxa"/>
            <w:vAlign w:val="center"/>
          </w:tcPr>
          <w:p w:rsidR="004F34D9" w:rsidRPr="00123108" w:rsidRDefault="004F34D9">
            <w:pPr>
              <w:spacing w:line="280" w:lineRule="exact"/>
              <w:rPr>
                <w:szCs w:val="21"/>
              </w:rPr>
            </w:pPr>
            <w:r w:rsidRPr="00123108">
              <w:rPr>
                <w:szCs w:val="21"/>
              </w:rPr>
              <w:t>因非金属材料在溶剂中的溶解性大、耐温性差、强度低、无法导除静电等因素，发生设备损坏泄漏及火灾、爆炸、中毒、灼烫事故。</w:t>
            </w: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3</w:t>
            </w:r>
          </w:p>
        </w:tc>
        <w:tc>
          <w:tcPr>
            <w:tcW w:w="4413" w:type="dxa"/>
            <w:vAlign w:val="center"/>
          </w:tcPr>
          <w:p w:rsidR="004F34D9" w:rsidRPr="00123108" w:rsidRDefault="004F34D9">
            <w:pPr>
              <w:spacing w:line="280" w:lineRule="exact"/>
              <w:rPr>
                <w:szCs w:val="21"/>
              </w:rPr>
            </w:pPr>
            <w:r w:rsidRPr="00123108">
              <w:rPr>
                <w:szCs w:val="21"/>
              </w:rPr>
              <w:t>贮罐、管道的设计、制造、安装、维修不符合要求。</w:t>
            </w:r>
          </w:p>
        </w:tc>
        <w:tc>
          <w:tcPr>
            <w:tcW w:w="4246" w:type="dxa"/>
            <w:vAlign w:val="center"/>
          </w:tcPr>
          <w:p w:rsidR="004F34D9" w:rsidRPr="00123108" w:rsidRDefault="004F34D9">
            <w:pPr>
              <w:spacing w:line="280" w:lineRule="exact"/>
              <w:rPr>
                <w:szCs w:val="21"/>
              </w:rPr>
            </w:pPr>
            <w:r w:rsidRPr="00123108">
              <w:rPr>
                <w:szCs w:val="21"/>
              </w:rPr>
              <w:t>可能导致物料泄漏、容器爆炸、管道爆炸并伴随空间爆炸、中毒窒息等事故。</w:t>
            </w: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4</w:t>
            </w:r>
          </w:p>
        </w:tc>
        <w:tc>
          <w:tcPr>
            <w:tcW w:w="4413" w:type="dxa"/>
            <w:vAlign w:val="center"/>
          </w:tcPr>
          <w:p w:rsidR="004F34D9" w:rsidRPr="00123108" w:rsidRDefault="004F34D9">
            <w:pPr>
              <w:spacing w:line="280" w:lineRule="exact"/>
              <w:rPr>
                <w:szCs w:val="21"/>
              </w:rPr>
            </w:pPr>
            <w:r w:rsidRPr="00123108">
              <w:rPr>
                <w:szCs w:val="21"/>
              </w:rPr>
              <w:t>贮罐基础、管架（墩）、保温层等采用可燃材料制造。</w:t>
            </w:r>
          </w:p>
        </w:tc>
        <w:tc>
          <w:tcPr>
            <w:tcW w:w="4246" w:type="dxa"/>
            <w:vAlign w:val="center"/>
          </w:tcPr>
          <w:p w:rsidR="004F34D9" w:rsidRPr="00123108" w:rsidRDefault="004F34D9">
            <w:pPr>
              <w:spacing w:line="280" w:lineRule="exact"/>
              <w:rPr>
                <w:szCs w:val="21"/>
              </w:rPr>
            </w:pPr>
            <w:r w:rsidRPr="00123108">
              <w:rPr>
                <w:szCs w:val="21"/>
              </w:rPr>
              <w:t>火灾发生时，易造成贮罐、管架跨塌。</w:t>
            </w: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5</w:t>
            </w:r>
          </w:p>
        </w:tc>
        <w:tc>
          <w:tcPr>
            <w:tcW w:w="4413" w:type="dxa"/>
            <w:vAlign w:val="center"/>
          </w:tcPr>
          <w:p w:rsidR="004F34D9" w:rsidRPr="00123108" w:rsidRDefault="004F34D9">
            <w:pPr>
              <w:spacing w:line="280" w:lineRule="exact"/>
              <w:rPr>
                <w:szCs w:val="21"/>
              </w:rPr>
            </w:pPr>
            <w:r w:rsidRPr="00123108">
              <w:rPr>
                <w:szCs w:val="21"/>
              </w:rPr>
              <w:t>贮罐进出口未采用柔性连接。</w:t>
            </w:r>
          </w:p>
        </w:tc>
        <w:tc>
          <w:tcPr>
            <w:tcW w:w="4246" w:type="dxa"/>
            <w:vAlign w:val="center"/>
          </w:tcPr>
          <w:p w:rsidR="004F34D9" w:rsidRPr="00123108" w:rsidRDefault="004F34D9">
            <w:pPr>
              <w:spacing w:line="280" w:lineRule="exact"/>
              <w:rPr>
                <w:szCs w:val="21"/>
              </w:rPr>
            </w:pPr>
            <w:r w:rsidRPr="00123108">
              <w:rPr>
                <w:szCs w:val="21"/>
              </w:rPr>
              <w:t>贮罐与管道之间的不均匀沉降可导致管道损坏，物料泄漏，导致事故。</w:t>
            </w: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三</w:t>
            </w:r>
          </w:p>
        </w:tc>
        <w:tc>
          <w:tcPr>
            <w:tcW w:w="4413" w:type="dxa"/>
            <w:vAlign w:val="center"/>
          </w:tcPr>
          <w:p w:rsidR="004F34D9" w:rsidRPr="00123108" w:rsidRDefault="004F34D9">
            <w:pPr>
              <w:spacing w:line="280" w:lineRule="exact"/>
              <w:rPr>
                <w:szCs w:val="21"/>
              </w:rPr>
            </w:pPr>
            <w:r w:rsidRPr="00123108">
              <w:rPr>
                <w:szCs w:val="21"/>
              </w:rPr>
              <w:t>安全设施</w:t>
            </w:r>
          </w:p>
        </w:tc>
        <w:tc>
          <w:tcPr>
            <w:tcW w:w="4246" w:type="dxa"/>
            <w:vAlign w:val="center"/>
          </w:tcPr>
          <w:p w:rsidR="004F34D9" w:rsidRPr="00123108" w:rsidRDefault="004F34D9">
            <w:pPr>
              <w:spacing w:line="280" w:lineRule="exact"/>
              <w:rPr>
                <w:szCs w:val="21"/>
              </w:rPr>
            </w:pP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1</w:t>
            </w:r>
          </w:p>
        </w:tc>
        <w:tc>
          <w:tcPr>
            <w:tcW w:w="4413" w:type="dxa"/>
            <w:vAlign w:val="center"/>
          </w:tcPr>
          <w:p w:rsidR="004F34D9" w:rsidRPr="00123108" w:rsidRDefault="004F34D9">
            <w:pPr>
              <w:spacing w:line="280" w:lineRule="exact"/>
              <w:rPr>
                <w:szCs w:val="21"/>
              </w:rPr>
            </w:pPr>
            <w:r w:rsidRPr="00123108">
              <w:rPr>
                <w:szCs w:val="21"/>
              </w:rPr>
              <w:t>贮罐未设置液位计或高液位报警器、自动联锁进料切断装置或上述装置失灵。</w:t>
            </w:r>
          </w:p>
        </w:tc>
        <w:tc>
          <w:tcPr>
            <w:tcW w:w="4246" w:type="dxa"/>
            <w:vAlign w:val="center"/>
          </w:tcPr>
          <w:p w:rsidR="004F34D9" w:rsidRPr="00123108" w:rsidRDefault="004F34D9">
            <w:pPr>
              <w:spacing w:line="280" w:lineRule="exact"/>
              <w:rPr>
                <w:szCs w:val="21"/>
              </w:rPr>
            </w:pPr>
            <w:r w:rsidRPr="00123108">
              <w:rPr>
                <w:szCs w:val="21"/>
              </w:rPr>
              <w:t>易发生超装、冒顶、跑料，引发中毒、灼伤及火灾、爆炸。</w:t>
            </w: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2</w:t>
            </w:r>
          </w:p>
        </w:tc>
        <w:tc>
          <w:tcPr>
            <w:tcW w:w="4413" w:type="dxa"/>
            <w:vAlign w:val="center"/>
          </w:tcPr>
          <w:p w:rsidR="004F34D9" w:rsidRPr="00123108" w:rsidRDefault="004F34D9">
            <w:pPr>
              <w:spacing w:line="280" w:lineRule="exact"/>
              <w:rPr>
                <w:szCs w:val="21"/>
              </w:rPr>
            </w:pPr>
            <w:r w:rsidRPr="00123108">
              <w:rPr>
                <w:szCs w:val="21"/>
              </w:rPr>
              <w:t>贮罐未设置呼吸口。</w:t>
            </w:r>
          </w:p>
        </w:tc>
        <w:tc>
          <w:tcPr>
            <w:tcW w:w="4246" w:type="dxa"/>
            <w:vAlign w:val="center"/>
          </w:tcPr>
          <w:p w:rsidR="004F34D9" w:rsidRPr="00123108" w:rsidRDefault="004F34D9">
            <w:pPr>
              <w:spacing w:line="280" w:lineRule="exact"/>
              <w:rPr>
                <w:szCs w:val="21"/>
              </w:rPr>
            </w:pPr>
            <w:r w:rsidRPr="00123108">
              <w:rPr>
                <w:szCs w:val="21"/>
              </w:rPr>
              <w:t>贮罐可因憋压而损坏。</w:t>
            </w: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3</w:t>
            </w:r>
          </w:p>
        </w:tc>
        <w:tc>
          <w:tcPr>
            <w:tcW w:w="4413" w:type="dxa"/>
            <w:vAlign w:val="center"/>
          </w:tcPr>
          <w:p w:rsidR="004F34D9" w:rsidRPr="00123108" w:rsidRDefault="004F34D9">
            <w:pPr>
              <w:spacing w:line="280" w:lineRule="exact"/>
              <w:rPr>
                <w:szCs w:val="21"/>
              </w:rPr>
            </w:pPr>
            <w:r w:rsidRPr="00123108">
              <w:rPr>
                <w:szCs w:val="21"/>
              </w:rPr>
              <w:t>可燃液体贮罐呼吸口未设置阻火器。</w:t>
            </w:r>
          </w:p>
        </w:tc>
        <w:tc>
          <w:tcPr>
            <w:tcW w:w="4246" w:type="dxa"/>
            <w:vAlign w:val="center"/>
          </w:tcPr>
          <w:p w:rsidR="004F34D9" w:rsidRPr="00123108" w:rsidRDefault="004F34D9">
            <w:pPr>
              <w:spacing w:line="280" w:lineRule="exact"/>
              <w:rPr>
                <w:szCs w:val="21"/>
              </w:rPr>
            </w:pPr>
            <w:r w:rsidRPr="00123108">
              <w:rPr>
                <w:szCs w:val="21"/>
              </w:rPr>
              <w:t>排气遇点火源（尤其雷电火花），易发生火灾、爆炸。</w:t>
            </w: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4</w:t>
            </w:r>
          </w:p>
        </w:tc>
        <w:tc>
          <w:tcPr>
            <w:tcW w:w="4413" w:type="dxa"/>
            <w:vAlign w:val="center"/>
          </w:tcPr>
          <w:p w:rsidR="004F34D9" w:rsidRPr="00123108" w:rsidRDefault="004F34D9">
            <w:pPr>
              <w:spacing w:line="280" w:lineRule="exact"/>
              <w:rPr>
                <w:szCs w:val="21"/>
              </w:rPr>
            </w:pPr>
            <w:r w:rsidRPr="00123108">
              <w:rPr>
                <w:szCs w:val="21"/>
              </w:rPr>
              <w:t>可燃液体贮罐未采取防日晒升温的措施。</w:t>
            </w:r>
          </w:p>
        </w:tc>
        <w:tc>
          <w:tcPr>
            <w:tcW w:w="4246" w:type="dxa"/>
            <w:vAlign w:val="center"/>
          </w:tcPr>
          <w:p w:rsidR="004F34D9" w:rsidRPr="00123108" w:rsidRDefault="004F34D9">
            <w:pPr>
              <w:spacing w:line="280" w:lineRule="exact"/>
              <w:rPr>
                <w:szCs w:val="21"/>
              </w:rPr>
            </w:pPr>
            <w:r w:rsidRPr="00123108">
              <w:rPr>
                <w:szCs w:val="21"/>
              </w:rPr>
              <w:t>高温季节物料挥发加剧可导致事故。</w:t>
            </w:r>
          </w:p>
        </w:tc>
      </w:tr>
      <w:tr w:rsidR="004F34D9" w:rsidRPr="00123108">
        <w:tc>
          <w:tcPr>
            <w:tcW w:w="515" w:type="dxa"/>
            <w:vMerge w:val="restart"/>
            <w:vAlign w:val="center"/>
          </w:tcPr>
          <w:p w:rsidR="004F34D9" w:rsidRPr="00123108" w:rsidRDefault="004F34D9">
            <w:pPr>
              <w:spacing w:line="280" w:lineRule="exact"/>
              <w:jc w:val="center"/>
              <w:rPr>
                <w:szCs w:val="21"/>
              </w:rPr>
            </w:pPr>
            <w:r w:rsidRPr="00123108">
              <w:rPr>
                <w:szCs w:val="21"/>
              </w:rPr>
              <w:t>5</w:t>
            </w:r>
          </w:p>
        </w:tc>
        <w:tc>
          <w:tcPr>
            <w:tcW w:w="4413" w:type="dxa"/>
            <w:vAlign w:val="center"/>
          </w:tcPr>
          <w:p w:rsidR="004F34D9" w:rsidRPr="00123108" w:rsidRDefault="004F34D9">
            <w:pPr>
              <w:spacing w:line="280" w:lineRule="exact"/>
              <w:rPr>
                <w:szCs w:val="21"/>
              </w:rPr>
            </w:pPr>
            <w:r w:rsidRPr="00123108">
              <w:rPr>
                <w:szCs w:val="21"/>
              </w:rPr>
              <w:t>防雷防静电设施：</w:t>
            </w:r>
          </w:p>
        </w:tc>
        <w:tc>
          <w:tcPr>
            <w:tcW w:w="4246" w:type="dxa"/>
            <w:vAlign w:val="center"/>
          </w:tcPr>
          <w:p w:rsidR="004F34D9" w:rsidRPr="00123108" w:rsidRDefault="004F34D9">
            <w:pPr>
              <w:spacing w:line="280" w:lineRule="exact"/>
              <w:rPr>
                <w:szCs w:val="21"/>
              </w:rPr>
            </w:pPr>
          </w:p>
        </w:tc>
      </w:tr>
      <w:tr w:rsidR="004F34D9" w:rsidRPr="00123108">
        <w:tc>
          <w:tcPr>
            <w:tcW w:w="515" w:type="dxa"/>
            <w:vMerge/>
            <w:vAlign w:val="center"/>
          </w:tcPr>
          <w:p w:rsidR="004F34D9" w:rsidRPr="00123108" w:rsidRDefault="004F34D9">
            <w:pPr>
              <w:spacing w:line="280" w:lineRule="exact"/>
              <w:jc w:val="center"/>
              <w:rPr>
                <w:szCs w:val="21"/>
              </w:rPr>
            </w:pPr>
          </w:p>
        </w:tc>
        <w:tc>
          <w:tcPr>
            <w:tcW w:w="4413" w:type="dxa"/>
            <w:vAlign w:val="center"/>
          </w:tcPr>
          <w:p w:rsidR="004F34D9" w:rsidRPr="00123108" w:rsidRDefault="004F34D9">
            <w:pPr>
              <w:spacing w:line="280" w:lineRule="exact"/>
              <w:rPr>
                <w:szCs w:val="21"/>
              </w:rPr>
            </w:pPr>
            <w:r w:rsidRPr="00123108">
              <w:rPr>
                <w:szCs w:val="21"/>
              </w:rPr>
              <w:t>可燃物料贮罐未按规范要求采取防雷措施：未采取防雷接地（罐体）；测量装置的电缆外皮或配线钢管未与罐体作电气连接；接地电阻不符合要求。</w:t>
            </w:r>
          </w:p>
        </w:tc>
        <w:tc>
          <w:tcPr>
            <w:tcW w:w="4246" w:type="dxa"/>
            <w:vAlign w:val="center"/>
          </w:tcPr>
          <w:p w:rsidR="004F34D9" w:rsidRPr="00123108" w:rsidRDefault="004F34D9">
            <w:pPr>
              <w:spacing w:line="280" w:lineRule="exact"/>
              <w:rPr>
                <w:szCs w:val="21"/>
              </w:rPr>
            </w:pPr>
            <w:r w:rsidRPr="00123108">
              <w:rPr>
                <w:szCs w:val="21"/>
              </w:rPr>
              <w:t>雷暴季节，因雷击发生火灾、爆炸。</w:t>
            </w:r>
          </w:p>
        </w:tc>
      </w:tr>
      <w:tr w:rsidR="004F34D9" w:rsidRPr="00123108">
        <w:tc>
          <w:tcPr>
            <w:tcW w:w="515" w:type="dxa"/>
            <w:vMerge/>
            <w:vAlign w:val="center"/>
          </w:tcPr>
          <w:p w:rsidR="004F34D9" w:rsidRPr="00123108" w:rsidRDefault="004F34D9">
            <w:pPr>
              <w:spacing w:line="280" w:lineRule="exact"/>
              <w:jc w:val="center"/>
              <w:rPr>
                <w:szCs w:val="21"/>
              </w:rPr>
            </w:pPr>
          </w:p>
        </w:tc>
        <w:tc>
          <w:tcPr>
            <w:tcW w:w="4413" w:type="dxa"/>
            <w:vAlign w:val="center"/>
          </w:tcPr>
          <w:p w:rsidR="004F34D9" w:rsidRPr="00123108" w:rsidRDefault="004F34D9">
            <w:pPr>
              <w:spacing w:line="280" w:lineRule="exact"/>
              <w:rPr>
                <w:szCs w:val="21"/>
              </w:rPr>
            </w:pPr>
            <w:r w:rsidRPr="00123108">
              <w:rPr>
                <w:szCs w:val="21"/>
              </w:rPr>
              <w:t>可燃物料贮罐、管道及其关设备未按规范要求采取防静电措施：从罐顶喷溅式进料；输送流</w:t>
            </w:r>
            <w:r w:rsidRPr="00123108">
              <w:rPr>
                <w:szCs w:val="21"/>
              </w:rPr>
              <w:lastRenderedPageBreak/>
              <w:t>速过大；贮罐、管道及过滤器、缓冲器等未接地、跨接；导电体未作等电位连接并接地；未设置槽车静电接地柱；未设置人体静电消除装置；接地电阻不符合要求。</w:t>
            </w:r>
          </w:p>
        </w:tc>
        <w:tc>
          <w:tcPr>
            <w:tcW w:w="4246" w:type="dxa"/>
            <w:vAlign w:val="center"/>
          </w:tcPr>
          <w:p w:rsidR="004F34D9" w:rsidRPr="00123108" w:rsidRDefault="004F34D9">
            <w:pPr>
              <w:spacing w:line="280" w:lineRule="exact"/>
              <w:rPr>
                <w:szCs w:val="21"/>
              </w:rPr>
            </w:pPr>
            <w:r w:rsidRPr="00123108">
              <w:rPr>
                <w:szCs w:val="21"/>
              </w:rPr>
              <w:lastRenderedPageBreak/>
              <w:t>因静电放电引发火灾、爆炸。</w:t>
            </w:r>
          </w:p>
        </w:tc>
      </w:tr>
      <w:tr w:rsidR="004F34D9" w:rsidRPr="00123108">
        <w:tc>
          <w:tcPr>
            <w:tcW w:w="515" w:type="dxa"/>
            <w:vMerge w:val="restart"/>
            <w:vAlign w:val="center"/>
          </w:tcPr>
          <w:p w:rsidR="004F34D9" w:rsidRPr="00123108" w:rsidRDefault="004F34D9">
            <w:pPr>
              <w:spacing w:line="280" w:lineRule="exact"/>
              <w:jc w:val="center"/>
              <w:rPr>
                <w:szCs w:val="21"/>
              </w:rPr>
            </w:pPr>
            <w:r w:rsidRPr="00123108">
              <w:rPr>
                <w:szCs w:val="21"/>
              </w:rPr>
              <w:t>6</w:t>
            </w:r>
          </w:p>
        </w:tc>
        <w:tc>
          <w:tcPr>
            <w:tcW w:w="4413" w:type="dxa"/>
            <w:vAlign w:val="center"/>
          </w:tcPr>
          <w:p w:rsidR="004F34D9" w:rsidRPr="00123108" w:rsidRDefault="004F34D9">
            <w:pPr>
              <w:spacing w:line="280" w:lineRule="exact"/>
              <w:rPr>
                <w:szCs w:val="21"/>
              </w:rPr>
            </w:pPr>
            <w:r w:rsidRPr="00123108">
              <w:rPr>
                <w:szCs w:val="21"/>
              </w:rPr>
              <w:t>消防及抢险设施：</w:t>
            </w:r>
          </w:p>
        </w:tc>
        <w:tc>
          <w:tcPr>
            <w:tcW w:w="4246" w:type="dxa"/>
            <w:vAlign w:val="center"/>
          </w:tcPr>
          <w:p w:rsidR="004F34D9" w:rsidRPr="00123108" w:rsidRDefault="004F34D9">
            <w:pPr>
              <w:spacing w:line="280" w:lineRule="exact"/>
              <w:rPr>
                <w:szCs w:val="21"/>
              </w:rPr>
            </w:pPr>
          </w:p>
        </w:tc>
      </w:tr>
      <w:tr w:rsidR="004F34D9" w:rsidRPr="00123108">
        <w:tc>
          <w:tcPr>
            <w:tcW w:w="515" w:type="dxa"/>
            <w:vMerge/>
            <w:vAlign w:val="center"/>
          </w:tcPr>
          <w:p w:rsidR="004F34D9" w:rsidRPr="00123108" w:rsidRDefault="004F34D9">
            <w:pPr>
              <w:spacing w:line="280" w:lineRule="exact"/>
              <w:jc w:val="center"/>
              <w:rPr>
                <w:szCs w:val="21"/>
              </w:rPr>
            </w:pPr>
          </w:p>
        </w:tc>
        <w:tc>
          <w:tcPr>
            <w:tcW w:w="4413" w:type="dxa"/>
            <w:vAlign w:val="center"/>
          </w:tcPr>
          <w:p w:rsidR="004F34D9" w:rsidRPr="00123108" w:rsidRDefault="004F34D9">
            <w:pPr>
              <w:spacing w:line="280" w:lineRule="exact"/>
              <w:rPr>
                <w:szCs w:val="21"/>
              </w:rPr>
            </w:pPr>
            <w:r w:rsidRPr="00123108">
              <w:rPr>
                <w:szCs w:val="21"/>
              </w:rPr>
              <w:t>未按规范要求设置消防设施（固定式</w:t>
            </w:r>
            <w:r w:rsidRPr="00123108">
              <w:rPr>
                <w:szCs w:val="21"/>
              </w:rPr>
              <w:t>/</w:t>
            </w:r>
            <w:r w:rsidRPr="00123108">
              <w:rPr>
                <w:szCs w:val="21"/>
              </w:rPr>
              <w:t>移动式消防水系统、泡沫灭火系统、灭火器、消防砂、灭火毯等）。</w:t>
            </w:r>
          </w:p>
        </w:tc>
        <w:tc>
          <w:tcPr>
            <w:tcW w:w="4246" w:type="dxa"/>
            <w:vAlign w:val="center"/>
          </w:tcPr>
          <w:p w:rsidR="004F34D9" w:rsidRPr="00123108" w:rsidRDefault="004F34D9">
            <w:pPr>
              <w:spacing w:line="280" w:lineRule="exact"/>
              <w:rPr>
                <w:szCs w:val="21"/>
              </w:rPr>
            </w:pPr>
            <w:r w:rsidRPr="00123108">
              <w:rPr>
                <w:szCs w:val="21"/>
              </w:rPr>
              <w:t>发生火灾时无法及时扑救，导致事故扩大。</w:t>
            </w:r>
          </w:p>
        </w:tc>
      </w:tr>
      <w:tr w:rsidR="004F34D9" w:rsidRPr="00123108">
        <w:tc>
          <w:tcPr>
            <w:tcW w:w="515" w:type="dxa"/>
            <w:vMerge/>
            <w:vAlign w:val="center"/>
          </w:tcPr>
          <w:p w:rsidR="004F34D9" w:rsidRPr="00123108" w:rsidRDefault="004F34D9">
            <w:pPr>
              <w:spacing w:line="280" w:lineRule="exact"/>
              <w:jc w:val="center"/>
              <w:rPr>
                <w:szCs w:val="21"/>
              </w:rPr>
            </w:pPr>
          </w:p>
        </w:tc>
        <w:tc>
          <w:tcPr>
            <w:tcW w:w="4413" w:type="dxa"/>
            <w:vAlign w:val="center"/>
          </w:tcPr>
          <w:p w:rsidR="004F34D9" w:rsidRPr="00123108" w:rsidRDefault="004F34D9">
            <w:pPr>
              <w:spacing w:line="280" w:lineRule="exact"/>
              <w:rPr>
                <w:szCs w:val="21"/>
              </w:rPr>
            </w:pPr>
            <w:r w:rsidRPr="00123108">
              <w:rPr>
                <w:szCs w:val="21"/>
              </w:rPr>
              <w:t>未配置必要的抢险堵漏工具。</w:t>
            </w:r>
          </w:p>
        </w:tc>
        <w:tc>
          <w:tcPr>
            <w:tcW w:w="4246" w:type="dxa"/>
            <w:vAlign w:val="center"/>
          </w:tcPr>
          <w:p w:rsidR="004F34D9" w:rsidRPr="00123108" w:rsidRDefault="004F34D9">
            <w:pPr>
              <w:spacing w:line="280" w:lineRule="exact"/>
              <w:rPr>
                <w:szCs w:val="21"/>
              </w:rPr>
            </w:pPr>
            <w:r w:rsidRPr="00123108">
              <w:rPr>
                <w:szCs w:val="21"/>
              </w:rPr>
              <w:t>事故发生时，无法及时进行抢险堵漏工作。</w:t>
            </w:r>
          </w:p>
        </w:tc>
      </w:tr>
      <w:tr w:rsidR="004F34D9" w:rsidRPr="00123108">
        <w:tc>
          <w:tcPr>
            <w:tcW w:w="515" w:type="dxa"/>
            <w:vMerge/>
            <w:vAlign w:val="center"/>
          </w:tcPr>
          <w:p w:rsidR="004F34D9" w:rsidRPr="00123108" w:rsidRDefault="004F34D9">
            <w:pPr>
              <w:spacing w:line="280" w:lineRule="exact"/>
              <w:jc w:val="center"/>
              <w:rPr>
                <w:szCs w:val="21"/>
              </w:rPr>
            </w:pPr>
          </w:p>
        </w:tc>
        <w:tc>
          <w:tcPr>
            <w:tcW w:w="4413" w:type="dxa"/>
            <w:vAlign w:val="center"/>
          </w:tcPr>
          <w:p w:rsidR="004F34D9" w:rsidRPr="00123108" w:rsidRDefault="004F34D9">
            <w:pPr>
              <w:spacing w:line="280" w:lineRule="exact"/>
              <w:rPr>
                <w:szCs w:val="21"/>
              </w:rPr>
            </w:pPr>
            <w:r w:rsidRPr="00123108">
              <w:rPr>
                <w:szCs w:val="21"/>
              </w:rPr>
              <w:t>未配置必要的防毒、防灼伤器具。</w:t>
            </w:r>
          </w:p>
        </w:tc>
        <w:tc>
          <w:tcPr>
            <w:tcW w:w="4246" w:type="dxa"/>
            <w:vAlign w:val="center"/>
          </w:tcPr>
          <w:p w:rsidR="004F34D9" w:rsidRPr="00123108" w:rsidRDefault="004F34D9">
            <w:pPr>
              <w:spacing w:line="280" w:lineRule="exact"/>
              <w:rPr>
                <w:szCs w:val="21"/>
              </w:rPr>
            </w:pPr>
            <w:r w:rsidRPr="00123108">
              <w:rPr>
                <w:szCs w:val="21"/>
              </w:rPr>
              <w:t>事故发生时或抢险时，可能导致人员伤亡。</w:t>
            </w:r>
          </w:p>
        </w:tc>
      </w:tr>
      <w:tr w:rsidR="004F34D9" w:rsidRPr="00123108">
        <w:tc>
          <w:tcPr>
            <w:tcW w:w="515" w:type="dxa"/>
            <w:vMerge w:val="restart"/>
            <w:vAlign w:val="center"/>
          </w:tcPr>
          <w:p w:rsidR="004F34D9" w:rsidRPr="00123108" w:rsidRDefault="004F34D9">
            <w:pPr>
              <w:spacing w:line="280" w:lineRule="exact"/>
              <w:jc w:val="center"/>
              <w:rPr>
                <w:szCs w:val="21"/>
              </w:rPr>
            </w:pPr>
            <w:r w:rsidRPr="00123108">
              <w:rPr>
                <w:szCs w:val="21"/>
              </w:rPr>
              <w:t>7</w:t>
            </w:r>
          </w:p>
        </w:tc>
        <w:tc>
          <w:tcPr>
            <w:tcW w:w="4413" w:type="dxa"/>
            <w:vAlign w:val="center"/>
          </w:tcPr>
          <w:p w:rsidR="004F34D9" w:rsidRPr="00123108" w:rsidRDefault="004F34D9">
            <w:pPr>
              <w:spacing w:line="280" w:lineRule="exact"/>
              <w:rPr>
                <w:szCs w:val="21"/>
              </w:rPr>
            </w:pPr>
            <w:r w:rsidRPr="00123108">
              <w:rPr>
                <w:szCs w:val="21"/>
              </w:rPr>
              <w:t>其他安全设施：</w:t>
            </w:r>
          </w:p>
        </w:tc>
        <w:tc>
          <w:tcPr>
            <w:tcW w:w="4246" w:type="dxa"/>
            <w:vAlign w:val="center"/>
          </w:tcPr>
          <w:p w:rsidR="004F34D9" w:rsidRPr="00123108" w:rsidRDefault="004F34D9">
            <w:pPr>
              <w:spacing w:line="280" w:lineRule="exact"/>
              <w:rPr>
                <w:szCs w:val="21"/>
              </w:rPr>
            </w:pPr>
          </w:p>
        </w:tc>
      </w:tr>
      <w:tr w:rsidR="004F34D9" w:rsidRPr="00123108">
        <w:tc>
          <w:tcPr>
            <w:tcW w:w="515" w:type="dxa"/>
            <w:vMerge/>
            <w:vAlign w:val="center"/>
          </w:tcPr>
          <w:p w:rsidR="004F34D9" w:rsidRPr="00123108" w:rsidRDefault="004F34D9">
            <w:pPr>
              <w:spacing w:line="280" w:lineRule="exact"/>
              <w:jc w:val="center"/>
              <w:rPr>
                <w:szCs w:val="21"/>
              </w:rPr>
            </w:pPr>
          </w:p>
        </w:tc>
        <w:tc>
          <w:tcPr>
            <w:tcW w:w="4413" w:type="dxa"/>
            <w:vAlign w:val="center"/>
          </w:tcPr>
          <w:p w:rsidR="004F34D9" w:rsidRPr="00123108" w:rsidRDefault="004F34D9">
            <w:pPr>
              <w:spacing w:line="280" w:lineRule="exact"/>
              <w:rPr>
                <w:szCs w:val="21"/>
              </w:rPr>
            </w:pPr>
            <w:r w:rsidRPr="00123108">
              <w:rPr>
                <w:szCs w:val="21"/>
              </w:rPr>
              <w:t>可燃物料罐区未设置可燃气体检测报警装置。</w:t>
            </w:r>
          </w:p>
        </w:tc>
        <w:tc>
          <w:tcPr>
            <w:tcW w:w="4246" w:type="dxa"/>
            <w:vAlign w:val="center"/>
          </w:tcPr>
          <w:p w:rsidR="004F34D9" w:rsidRPr="00123108" w:rsidRDefault="004F34D9">
            <w:pPr>
              <w:spacing w:line="280" w:lineRule="exact"/>
              <w:rPr>
                <w:szCs w:val="21"/>
              </w:rPr>
            </w:pPr>
            <w:r w:rsidRPr="00123108">
              <w:rPr>
                <w:szCs w:val="21"/>
              </w:rPr>
              <w:t>不能及时发觉泄漏，导致火灾、爆炸、中毒事故。</w:t>
            </w:r>
          </w:p>
        </w:tc>
      </w:tr>
      <w:tr w:rsidR="004F34D9" w:rsidRPr="00123108">
        <w:tc>
          <w:tcPr>
            <w:tcW w:w="515" w:type="dxa"/>
            <w:vMerge/>
            <w:vAlign w:val="center"/>
          </w:tcPr>
          <w:p w:rsidR="004F34D9" w:rsidRPr="00123108" w:rsidRDefault="004F34D9">
            <w:pPr>
              <w:spacing w:line="280" w:lineRule="exact"/>
              <w:jc w:val="center"/>
              <w:rPr>
                <w:szCs w:val="21"/>
              </w:rPr>
            </w:pPr>
          </w:p>
        </w:tc>
        <w:tc>
          <w:tcPr>
            <w:tcW w:w="4413" w:type="dxa"/>
            <w:vAlign w:val="center"/>
          </w:tcPr>
          <w:p w:rsidR="004F34D9" w:rsidRPr="00123108" w:rsidRDefault="004F34D9">
            <w:pPr>
              <w:spacing w:line="280" w:lineRule="exact"/>
              <w:rPr>
                <w:szCs w:val="21"/>
              </w:rPr>
            </w:pPr>
            <w:r w:rsidRPr="00123108">
              <w:rPr>
                <w:szCs w:val="21"/>
              </w:rPr>
              <w:t>可燃物料罐区安装、使用的电气设施防爆性能不符合要求。</w:t>
            </w:r>
          </w:p>
        </w:tc>
        <w:tc>
          <w:tcPr>
            <w:tcW w:w="4246" w:type="dxa"/>
            <w:vAlign w:val="center"/>
          </w:tcPr>
          <w:p w:rsidR="004F34D9" w:rsidRPr="00123108" w:rsidRDefault="004F34D9">
            <w:pPr>
              <w:spacing w:line="280" w:lineRule="exact"/>
              <w:rPr>
                <w:szCs w:val="21"/>
              </w:rPr>
            </w:pPr>
            <w:r w:rsidRPr="00123108">
              <w:rPr>
                <w:szCs w:val="21"/>
              </w:rPr>
              <w:t>电气火花引发火灾、爆炸。</w:t>
            </w:r>
          </w:p>
        </w:tc>
      </w:tr>
      <w:tr w:rsidR="004F34D9" w:rsidRPr="00123108">
        <w:tc>
          <w:tcPr>
            <w:tcW w:w="515" w:type="dxa"/>
            <w:vMerge/>
            <w:vAlign w:val="center"/>
          </w:tcPr>
          <w:p w:rsidR="004F34D9" w:rsidRPr="00123108" w:rsidRDefault="004F34D9">
            <w:pPr>
              <w:spacing w:line="280" w:lineRule="exact"/>
              <w:jc w:val="center"/>
              <w:rPr>
                <w:szCs w:val="21"/>
              </w:rPr>
            </w:pPr>
          </w:p>
        </w:tc>
        <w:tc>
          <w:tcPr>
            <w:tcW w:w="4413" w:type="dxa"/>
            <w:vAlign w:val="center"/>
          </w:tcPr>
          <w:p w:rsidR="004F34D9" w:rsidRPr="00123108" w:rsidRDefault="004F34D9">
            <w:pPr>
              <w:spacing w:line="280" w:lineRule="exact"/>
              <w:rPr>
                <w:szCs w:val="21"/>
              </w:rPr>
            </w:pPr>
            <w:r w:rsidRPr="00123108">
              <w:rPr>
                <w:szCs w:val="21"/>
              </w:rPr>
              <w:t>工艺设计失当，如一泵多用、一管多用，导致进错料、送错料；自动程度低或自控系统故障，或贮罐、管道、阀门、仪表等设备设施故障。</w:t>
            </w:r>
          </w:p>
        </w:tc>
        <w:tc>
          <w:tcPr>
            <w:tcW w:w="4246" w:type="dxa"/>
            <w:vAlign w:val="center"/>
          </w:tcPr>
          <w:p w:rsidR="004F34D9" w:rsidRPr="00123108" w:rsidRDefault="004F34D9">
            <w:pPr>
              <w:spacing w:line="280" w:lineRule="exact"/>
              <w:rPr>
                <w:szCs w:val="21"/>
              </w:rPr>
            </w:pPr>
            <w:r w:rsidRPr="00123108">
              <w:rPr>
                <w:szCs w:val="21"/>
              </w:rPr>
              <w:t>可能导致窜料、泄漏及火灾、爆炸及中毒事故。</w:t>
            </w: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8</w:t>
            </w:r>
          </w:p>
        </w:tc>
        <w:tc>
          <w:tcPr>
            <w:tcW w:w="4413" w:type="dxa"/>
            <w:vAlign w:val="center"/>
          </w:tcPr>
          <w:p w:rsidR="004F34D9" w:rsidRPr="00123108" w:rsidRDefault="004F34D9">
            <w:pPr>
              <w:spacing w:line="280" w:lineRule="exact"/>
              <w:rPr>
                <w:szCs w:val="21"/>
              </w:rPr>
            </w:pPr>
            <w:r w:rsidRPr="00123108">
              <w:rPr>
                <w:szCs w:val="21"/>
              </w:rPr>
              <w:t>贮罐未设置液位计、高液位报警器、自动联锁进料切断装置或上述装置失灵。</w:t>
            </w:r>
          </w:p>
        </w:tc>
        <w:tc>
          <w:tcPr>
            <w:tcW w:w="4246" w:type="dxa"/>
            <w:vAlign w:val="center"/>
          </w:tcPr>
          <w:p w:rsidR="004F34D9" w:rsidRPr="00123108" w:rsidRDefault="004F34D9">
            <w:pPr>
              <w:spacing w:line="280" w:lineRule="exact"/>
              <w:rPr>
                <w:szCs w:val="21"/>
              </w:rPr>
            </w:pPr>
            <w:r w:rsidRPr="00123108">
              <w:rPr>
                <w:szCs w:val="21"/>
              </w:rPr>
              <w:t>易发生超装、冒顶、跑料，或贮罐液位过低时，泵将空气抽入罐内及生产系统，形成爆炸性混合物。</w:t>
            </w: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四</w:t>
            </w:r>
          </w:p>
        </w:tc>
        <w:tc>
          <w:tcPr>
            <w:tcW w:w="4413" w:type="dxa"/>
            <w:vAlign w:val="center"/>
          </w:tcPr>
          <w:p w:rsidR="004F34D9" w:rsidRPr="00123108" w:rsidRDefault="004F34D9">
            <w:pPr>
              <w:spacing w:line="280" w:lineRule="exact"/>
              <w:rPr>
                <w:szCs w:val="21"/>
              </w:rPr>
            </w:pPr>
            <w:r w:rsidRPr="00123108">
              <w:rPr>
                <w:szCs w:val="21"/>
              </w:rPr>
              <w:t>装卸场所及设施</w:t>
            </w:r>
          </w:p>
        </w:tc>
        <w:tc>
          <w:tcPr>
            <w:tcW w:w="4246" w:type="dxa"/>
            <w:vAlign w:val="center"/>
          </w:tcPr>
          <w:p w:rsidR="004F34D9" w:rsidRPr="00123108" w:rsidRDefault="004F34D9">
            <w:pPr>
              <w:spacing w:line="280" w:lineRule="exact"/>
              <w:rPr>
                <w:szCs w:val="21"/>
              </w:rPr>
            </w:pP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1</w:t>
            </w:r>
          </w:p>
        </w:tc>
        <w:tc>
          <w:tcPr>
            <w:tcW w:w="4413" w:type="dxa"/>
            <w:vAlign w:val="center"/>
          </w:tcPr>
          <w:p w:rsidR="004F34D9" w:rsidRPr="00123108" w:rsidRDefault="004F34D9">
            <w:pPr>
              <w:spacing w:line="280" w:lineRule="exact"/>
              <w:rPr>
                <w:szCs w:val="21"/>
              </w:rPr>
            </w:pPr>
            <w:r w:rsidRPr="00123108">
              <w:rPr>
                <w:szCs w:val="21"/>
              </w:rPr>
              <w:t>装卸场所布置不符合防火规范要求：装卸站进、出口未分开设置或未设置回车场；停车场地、泵之间防火间距不符合要求等。</w:t>
            </w:r>
          </w:p>
        </w:tc>
        <w:tc>
          <w:tcPr>
            <w:tcW w:w="4246" w:type="dxa"/>
            <w:vAlign w:val="center"/>
          </w:tcPr>
          <w:p w:rsidR="004F34D9" w:rsidRPr="00123108" w:rsidRDefault="004F34D9">
            <w:pPr>
              <w:spacing w:line="280" w:lineRule="exact"/>
              <w:rPr>
                <w:szCs w:val="21"/>
              </w:rPr>
            </w:pPr>
            <w:r w:rsidRPr="00123108">
              <w:rPr>
                <w:szCs w:val="21"/>
              </w:rPr>
              <w:t>装卸作业是动态的，装卸场所布置不规范，易发生事故并可使事故蔓延扩大至贮罐。</w:t>
            </w: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2</w:t>
            </w:r>
          </w:p>
        </w:tc>
        <w:tc>
          <w:tcPr>
            <w:tcW w:w="4413" w:type="dxa"/>
            <w:vAlign w:val="center"/>
          </w:tcPr>
          <w:p w:rsidR="004F34D9" w:rsidRPr="00123108" w:rsidRDefault="004F34D9">
            <w:pPr>
              <w:spacing w:line="280" w:lineRule="exact"/>
              <w:rPr>
                <w:szCs w:val="21"/>
              </w:rPr>
            </w:pPr>
            <w:r w:rsidRPr="00123108">
              <w:rPr>
                <w:szCs w:val="21"/>
              </w:rPr>
              <w:t>采用临时捆扎的软管装卸物料。</w:t>
            </w:r>
          </w:p>
        </w:tc>
        <w:tc>
          <w:tcPr>
            <w:tcW w:w="4246" w:type="dxa"/>
            <w:vAlign w:val="center"/>
          </w:tcPr>
          <w:p w:rsidR="004F34D9" w:rsidRPr="00123108" w:rsidRDefault="004F34D9">
            <w:pPr>
              <w:spacing w:line="280" w:lineRule="exact"/>
              <w:rPr>
                <w:szCs w:val="21"/>
              </w:rPr>
            </w:pPr>
            <w:r w:rsidRPr="00123108">
              <w:rPr>
                <w:szCs w:val="21"/>
              </w:rPr>
              <w:t>接管不牢，装卸时可能脱落导致事故。可燃液体装卸宜采用</w:t>
            </w:r>
            <w:r w:rsidRPr="00123108">
              <w:rPr>
                <w:kern w:val="0"/>
                <w:szCs w:val="21"/>
              </w:rPr>
              <w:t>符合安全技术规范要求的万向充装管道系统代替软管装卸。</w:t>
            </w: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3</w:t>
            </w:r>
          </w:p>
        </w:tc>
        <w:tc>
          <w:tcPr>
            <w:tcW w:w="4413" w:type="dxa"/>
            <w:vAlign w:val="center"/>
          </w:tcPr>
          <w:p w:rsidR="004F34D9" w:rsidRPr="00123108" w:rsidRDefault="004F34D9">
            <w:pPr>
              <w:spacing w:line="280" w:lineRule="exact"/>
              <w:rPr>
                <w:szCs w:val="21"/>
              </w:rPr>
            </w:pPr>
            <w:r w:rsidRPr="00123108">
              <w:rPr>
                <w:szCs w:val="21"/>
              </w:rPr>
              <w:t>可燃物料卸料泵不符合防爆要求。</w:t>
            </w:r>
          </w:p>
        </w:tc>
        <w:tc>
          <w:tcPr>
            <w:tcW w:w="4246" w:type="dxa"/>
            <w:vAlign w:val="center"/>
          </w:tcPr>
          <w:p w:rsidR="004F34D9" w:rsidRPr="00123108" w:rsidRDefault="004F34D9">
            <w:pPr>
              <w:spacing w:line="280" w:lineRule="exact"/>
              <w:rPr>
                <w:szCs w:val="21"/>
              </w:rPr>
            </w:pPr>
            <w:r w:rsidRPr="00123108">
              <w:rPr>
                <w:szCs w:val="21"/>
              </w:rPr>
              <w:t>可燃物料装卸泵应符合防爆要求，否则会导致火灾、爆炸事故。</w:t>
            </w: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4</w:t>
            </w:r>
          </w:p>
        </w:tc>
        <w:tc>
          <w:tcPr>
            <w:tcW w:w="4413" w:type="dxa"/>
            <w:vAlign w:val="center"/>
          </w:tcPr>
          <w:p w:rsidR="004F34D9" w:rsidRPr="00123108" w:rsidRDefault="004F34D9">
            <w:pPr>
              <w:spacing w:line="280" w:lineRule="exact"/>
              <w:rPr>
                <w:szCs w:val="21"/>
              </w:rPr>
            </w:pPr>
            <w:r w:rsidRPr="00123108">
              <w:rPr>
                <w:szCs w:val="21"/>
              </w:rPr>
              <w:t>可燃物料槽车未设置专用静电接地装置。</w:t>
            </w:r>
          </w:p>
        </w:tc>
        <w:tc>
          <w:tcPr>
            <w:tcW w:w="4246" w:type="dxa"/>
            <w:vAlign w:val="center"/>
          </w:tcPr>
          <w:p w:rsidR="004F34D9" w:rsidRPr="00123108" w:rsidRDefault="004F34D9">
            <w:pPr>
              <w:spacing w:line="280" w:lineRule="exact"/>
              <w:rPr>
                <w:szCs w:val="21"/>
              </w:rPr>
            </w:pPr>
            <w:r w:rsidRPr="00123108">
              <w:rPr>
                <w:szCs w:val="21"/>
              </w:rPr>
              <w:t>可燃物料在运输过程中会产生大量静电，装卸前应将其导除，否则可能因静电放电导致火灾、爆炸事故。</w:t>
            </w: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5</w:t>
            </w:r>
          </w:p>
        </w:tc>
        <w:tc>
          <w:tcPr>
            <w:tcW w:w="4413" w:type="dxa"/>
            <w:vAlign w:val="center"/>
          </w:tcPr>
          <w:p w:rsidR="004F34D9" w:rsidRPr="00123108" w:rsidRDefault="004F34D9">
            <w:pPr>
              <w:spacing w:line="280" w:lineRule="exact"/>
              <w:rPr>
                <w:szCs w:val="21"/>
              </w:rPr>
            </w:pPr>
            <w:r w:rsidRPr="00123108">
              <w:rPr>
                <w:szCs w:val="21"/>
              </w:rPr>
              <w:t>机泵超温超压运转，泵体、密封渗漏，操作失误等。</w:t>
            </w:r>
          </w:p>
        </w:tc>
        <w:tc>
          <w:tcPr>
            <w:tcW w:w="4246" w:type="dxa"/>
            <w:vAlign w:val="center"/>
          </w:tcPr>
          <w:p w:rsidR="004F34D9" w:rsidRPr="00123108" w:rsidRDefault="004F34D9">
            <w:pPr>
              <w:spacing w:line="280" w:lineRule="exact"/>
              <w:rPr>
                <w:szCs w:val="21"/>
              </w:rPr>
            </w:pPr>
            <w:r w:rsidRPr="00123108">
              <w:rPr>
                <w:szCs w:val="21"/>
              </w:rPr>
              <w:t>引起跑料、着火及机泵损坏等事故。</w:t>
            </w: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五</w:t>
            </w:r>
          </w:p>
        </w:tc>
        <w:tc>
          <w:tcPr>
            <w:tcW w:w="4413" w:type="dxa"/>
            <w:vAlign w:val="center"/>
          </w:tcPr>
          <w:p w:rsidR="004F34D9" w:rsidRPr="00123108" w:rsidRDefault="004F34D9">
            <w:pPr>
              <w:spacing w:line="280" w:lineRule="exact"/>
              <w:rPr>
                <w:szCs w:val="21"/>
              </w:rPr>
            </w:pPr>
            <w:r w:rsidRPr="00123108">
              <w:rPr>
                <w:szCs w:val="21"/>
              </w:rPr>
              <w:t>不安全行为</w:t>
            </w:r>
          </w:p>
        </w:tc>
        <w:tc>
          <w:tcPr>
            <w:tcW w:w="4246" w:type="dxa"/>
            <w:vAlign w:val="center"/>
          </w:tcPr>
          <w:p w:rsidR="004F34D9" w:rsidRPr="00123108" w:rsidRDefault="004F34D9">
            <w:pPr>
              <w:spacing w:line="280" w:lineRule="exact"/>
              <w:rPr>
                <w:szCs w:val="21"/>
              </w:rPr>
            </w:pP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1</w:t>
            </w:r>
          </w:p>
        </w:tc>
        <w:tc>
          <w:tcPr>
            <w:tcW w:w="4413" w:type="dxa"/>
            <w:vAlign w:val="center"/>
          </w:tcPr>
          <w:p w:rsidR="004F34D9" w:rsidRPr="00123108" w:rsidRDefault="004F34D9">
            <w:pPr>
              <w:spacing w:line="280" w:lineRule="exact"/>
              <w:rPr>
                <w:szCs w:val="21"/>
              </w:rPr>
            </w:pPr>
            <w:r w:rsidRPr="00123108">
              <w:rPr>
                <w:szCs w:val="21"/>
              </w:rPr>
              <w:t>不注意设备设施的维修、保养与检测，导致罐区基础设施、贮罐、贮罐安全装置、电气设施、防雷防静电设施、消防设施等发生故障、失去效用。</w:t>
            </w:r>
          </w:p>
        </w:tc>
        <w:tc>
          <w:tcPr>
            <w:tcW w:w="4246" w:type="dxa"/>
            <w:vAlign w:val="center"/>
          </w:tcPr>
          <w:p w:rsidR="004F34D9" w:rsidRPr="00123108" w:rsidRDefault="004F34D9">
            <w:pPr>
              <w:spacing w:line="280" w:lineRule="exact"/>
              <w:rPr>
                <w:szCs w:val="21"/>
              </w:rPr>
            </w:pPr>
            <w:r w:rsidRPr="00123108">
              <w:rPr>
                <w:szCs w:val="21"/>
              </w:rPr>
              <w:t>发生泄漏或中毒、灼伤、火灾、爆炸。</w:t>
            </w: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2</w:t>
            </w:r>
          </w:p>
        </w:tc>
        <w:tc>
          <w:tcPr>
            <w:tcW w:w="4413" w:type="dxa"/>
            <w:vAlign w:val="center"/>
          </w:tcPr>
          <w:p w:rsidR="004F34D9" w:rsidRPr="00123108" w:rsidRDefault="004F34D9">
            <w:pPr>
              <w:spacing w:line="280" w:lineRule="exact"/>
              <w:rPr>
                <w:szCs w:val="21"/>
              </w:rPr>
            </w:pPr>
            <w:r w:rsidRPr="00123108">
              <w:rPr>
                <w:szCs w:val="21"/>
              </w:rPr>
              <w:t>违章引入点火源：如在罐区不按动火程序违章动火作业，在罐区作业时吸烟，机动车辆不采取防火措施即进入罐区；违章使用不符合防爆要求的电气设施；未采用按规定流速设计、安装的机泵，临时使用其它机泵，物料输送流速过大，在输送过程中产生静电；或临时接管，从贮罐上部喷溅式进料，产生静电并放电；使用易产生火花的工具、穿戴有铁件的衣物和鞋子、穿戴易静电放电的化纤衣物等在罐区作业</w:t>
            </w:r>
            <w:r w:rsidRPr="00123108">
              <w:rPr>
                <w:szCs w:val="21"/>
              </w:rPr>
              <w:lastRenderedPageBreak/>
              <w:t>等。</w:t>
            </w:r>
          </w:p>
        </w:tc>
        <w:tc>
          <w:tcPr>
            <w:tcW w:w="4246" w:type="dxa"/>
            <w:vAlign w:val="center"/>
          </w:tcPr>
          <w:p w:rsidR="004F34D9" w:rsidRPr="00123108" w:rsidRDefault="004F34D9">
            <w:pPr>
              <w:spacing w:line="280" w:lineRule="exact"/>
              <w:rPr>
                <w:szCs w:val="21"/>
              </w:rPr>
            </w:pPr>
            <w:r w:rsidRPr="00123108">
              <w:rPr>
                <w:szCs w:val="21"/>
              </w:rPr>
              <w:lastRenderedPageBreak/>
              <w:t>点火源遇可燃液体，发生火灾、爆炸。</w:t>
            </w: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3</w:t>
            </w:r>
          </w:p>
        </w:tc>
        <w:tc>
          <w:tcPr>
            <w:tcW w:w="4413" w:type="dxa"/>
            <w:vAlign w:val="center"/>
          </w:tcPr>
          <w:p w:rsidR="004F34D9" w:rsidRPr="00123108" w:rsidRDefault="004F34D9">
            <w:pPr>
              <w:spacing w:line="280" w:lineRule="exact"/>
              <w:rPr>
                <w:szCs w:val="21"/>
              </w:rPr>
            </w:pPr>
            <w:r w:rsidRPr="00123108">
              <w:rPr>
                <w:szCs w:val="21"/>
              </w:rPr>
              <w:t>不按规定的装料系数灌装，使贮罐超装，液相上空未留足够的气相空间。</w:t>
            </w:r>
          </w:p>
        </w:tc>
        <w:tc>
          <w:tcPr>
            <w:tcW w:w="4246" w:type="dxa"/>
            <w:vAlign w:val="center"/>
          </w:tcPr>
          <w:p w:rsidR="004F34D9" w:rsidRPr="00123108" w:rsidRDefault="004F34D9">
            <w:pPr>
              <w:spacing w:line="280" w:lineRule="exact"/>
              <w:rPr>
                <w:szCs w:val="21"/>
              </w:rPr>
            </w:pPr>
            <w:r w:rsidRPr="00123108">
              <w:rPr>
                <w:szCs w:val="21"/>
              </w:rPr>
              <w:t>贮罐易因内压发生变形、胀裂。</w:t>
            </w:r>
          </w:p>
        </w:tc>
      </w:tr>
      <w:tr w:rsidR="004F34D9" w:rsidRPr="00123108">
        <w:tc>
          <w:tcPr>
            <w:tcW w:w="515" w:type="dxa"/>
            <w:vAlign w:val="center"/>
          </w:tcPr>
          <w:p w:rsidR="004F34D9" w:rsidRPr="00123108" w:rsidRDefault="004F34D9">
            <w:pPr>
              <w:spacing w:line="280" w:lineRule="exact"/>
              <w:jc w:val="center"/>
              <w:rPr>
                <w:szCs w:val="21"/>
              </w:rPr>
            </w:pPr>
            <w:r w:rsidRPr="00123108">
              <w:rPr>
                <w:szCs w:val="21"/>
              </w:rPr>
              <w:t>4</w:t>
            </w:r>
          </w:p>
        </w:tc>
        <w:tc>
          <w:tcPr>
            <w:tcW w:w="4413" w:type="dxa"/>
            <w:vAlign w:val="center"/>
          </w:tcPr>
          <w:p w:rsidR="004F34D9" w:rsidRPr="00123108" w:rsidRDefault="004F34D9">
            <w:pPr>
              <w:spacing w:line="280" w:lineRule="exact"/>
              <w:rPr>
                <w:szCs w:val="21"/>
              </w:rPr>
            </w:pPr>
            <w:r w:rsidRPr="00123108">
              <w:rPr>
                <w:szCs w:val="21"/>
              </w:rPr>
              <w:t>违章作业造成跑料、冒料：如进料时不注意贮罐液位及高液位报警信号，造成跑料、冒料；卸料时，汽车不按规定熄火，车辆移动拉断料管，造成泄漏等。</w:t>
            </w:r>
          </w:p>
        </w:tc>
        <w:tc>
          <w:tcPr>
            <w:tcW w:w="4246" w:type="dxa"/>
            <w:vAlign w:val="center"/>
          </w:tcPr>
          <w:p w:rsidR="004F34D9" w:rsidRPr="00123108" w:rsidRDefault="004F34D9">
            <w:pPr>
              <w:spacing w:line="280" w:lineRule="exact"/>
              <w:rPr>
                <w:szCs w:val="21"/>
              </w:rPr>
            </w:pPr>
            <w:r w:rsidRPr="00123108">
              <w:rPr>
                <w:szCs w:val="21"/>
              </w:rPr>
              <w:t>发生泄漏或中毒、灼伤、火灾、爆炸。</w:t>
            </w:r>
          </w:p>
        </w:tc>
      </w:tr>
    </w:tbl>
    <w:p w:rsidR="004F34D9" w:rsidRPr="00123108" w:rsidRDefault="004F34D9" w:rsidP="00D06780">
      <w:pPr>
        <w:spacing w:line="500" w:lineRule="exact"/>
        <w:outlineLvl w:val="2"/>
        <w:rPr>
          <w:rFonts w:ascii="宋体" w:hAnsi="宋体" w:hint="eastAsia"/>
          <w:sz w:val="28"/>
          <w:szCs w:val="28"/>
        </w:rPr>
      </w:pPr>
      <w:bookmarkStart w:id="1384" w:name="_Toc190935852"/>
      <w:r w:rsidRPr="00123108">
        <w:rPr>
          <w:rFonts w:ascii="宋体" w:hAnsi="宋体" w:hint="eastAsia"/>
          <w:sz w:val="28"/>
          <w:szCs w:val="28"/>
        </w:rPr>
        <w:t>附件1.4.3 仓库储存</w:t>
      </w:r>
      <w:bookmarkEnd w:id="1384"/>
    </w:p>
    <w:p w:rsidR="004F34D9" w:rsidRPr="00123108" w:rsidRDefault="004F34D9" w:rsidP="00D06780">
      <w:pPr>
        <w:spacing w:line="500" w:lineRule="exact"/>
        <w:ind w:firstLineChars="200" w:firstLine="560"/>
        <w:rPr>
          <w:rFonts w:ascii="宋体" w:hAnsi="宋体" w:hint="eastAsia"/>
          <w:sz w:val="28"/>
          <w:szCs w:val="28"/>
        </w:rPr>
      </w:pPr>
      <w:r w:rsidRPr="00123108">
        <w:rPr>
          <w:rFonts w:ascii="宋体" w:hAnsi="宋体" w:hint="eastAsia"/>
          <w:sz w:val="28"/>
          <w:szCs w:val="28"/>
        </w:rPr>
        <w:t>本项目储存危险化学品的仓库主要包括5#成品仓库、冷库。储存物料及量值见表2.9-4。仓库储存的危险有害因素主要包括：</w:t>
      </w:r>
    </w:p>
    <w:p w:rsidR="004F34D9" w:rsidRPr="00123108" w:rsidRDefault="004F34D9" w:rsidP="00D06780">
      <w:pPr>
        <w:numPr>
          <w:ilvl w:val="0"/>
          <w:numId w:val="56"/>
        </w:numPr>
        <w:tabs>
          <w:tab w:val="clear" w:pos="900"/>
          <w:tab w:val="left" w:pos="1260"/>
        </w:tabs>
        <w:adjustRightInd w:val="0"/>
        <w:snapToGrid w:val="0"/>
        <w:spacing w:line="500" w:lineRule="exact"/>
        <w:ind w:left="0" w:firstLineChars="200" w:firstLine="560"/>
        <w:rPr>
          <w:rFonts w:ascii="宋体" w:hAnsi="宋体" w:hint="eastAsia"/>
          <w:sz w:val="28"/>
          <w:szCs w:val="28"/>
        </w:rPr>
      </w:pPr>
      <w:r w:rsidRPr="00123108">
        <w:rPr>
          <w:rFonts w:ascii="宋体" w:hAnsi="宋体" w:hint="eastAsia"/>
          <w:sz w:val="28"/>
          <w:szCs w:val="28"/>
        </w:rPr>
        <w:t>着火源控制不严，容易引起火灾爆炸事故。着火源是指引起可燃物燃烧的一切热能源，包括明火焰、炽热体、火星、电火花、化学能等。</w:t>
      </w:r>
    </w:p>
    <w:p w:rsidR="004F34D9" w:rsidRPr="00123108" w:rsidRDefault="004F34D9" w:rsidP="00D06780">
      <w:pPr>
        <w:numPr>
          <w:ilvl w:val="0"/>
          <w:numId w:val="56"/>
        </w:numPr>
        <w:tabs>
          <w:tab w:val="clear" w:pos="900"/>
          <w:tab w:val="left" w:pos="1260"/>
        </w:tabs>
        <w:adjustRightInd w:val="0"/>
        <w:snapToGrid w:val="0"/>
        <w:spacing w:line="500" w:lineRule="exact"/>
        <w:ind w:left="0" w:firstLineChars="200" w:firstLine="560"/>
        <w:rPr>
          <w:rFonts w:ascii="宋体" w:hAnsi="宋体" w:hint="eastAsia"/>
          <w:sz w:val="28"/>
          <w:szCs w:val="28"/>
        </w:rPr>
      </w:pPr>
      <w:r w:rsidRPr="00123108">
        <w:rPr>
          <w:rFonts w:ascii="宋体" w:hAnsi="宋体" w:hint="eastAsia"/>
          <w:sz w:val="28"/>
          <w:szCs w:val="28"/>
        </w:rPr>
        <w:t>性质相互抵触的物品混放，接触后发生化学反应，放热引起火灾。</w:t>
      </w:r>
    </w:p>
    <w:p w:rsidR="004F34D9" w:rsidRPr="00123108" w:rsidRDefault="004F34D9" w:rsidP="00D06780">
      <w:pPr>
        <w:numPr>
          <w:ilvl w:val="0"/>
          <w:numId w:val="56"/>
        </w:numPr>
        <w:tabs>
          <w:tab w:val="clear" w:pos="900"/>
          <w:tab w:val="left" w:pos="1260"/>
        </w:tabs>
        <w:adjustRightInd w:val="0"/>
        <w:snapToGrid w:val="0"/>
        <w:spacing w:line="500" w:lineRule="exact"/>
        <w:ind w:left="0" w:firstLineChars="200" w:firstLine="560"/>
        <w:rPr>
          <w:rFonts w:ascii="宋体" w:hAnsi="宋体" w:hint="eastAsia"/>
          <w:sz w:val="28"/>
          <w:szCs w:val="28"/>
        </w:rPr>
      </w:pPr>
      <w:r w:rsidRPr="00123108">
        <w:rPr>
          <w:rFonts w:ascii="宋体" w:hAnsi="宋体" w:hint="eastAsia"/>
          <w:sz w:val="28"/>
          <w:szCs w:val="28"/>
        </w:rPr>
        <w:t>危险化学品存放</w:t>
      </w:r>
      <w:r w:rsidRPr="00123108">
        <w:rPr>
          <w:rFonts w:ascii="宋体" w:hAnsi="宋体"/>
          <w:sz w:val="28"/>
          <w:szCs w:val="28"/>
        </w:rPr>
        <w:t>制度不严、措施不力、操作不当，禁忌物料混放等都有可能引起各类事故。</w:t>
      </w:r>
    </w:p>
    <w:p w:rsidR="004F34D9" w:rsidRPr="00123108" w:rsidRDefault="004F34D9" w:rsidP="00D06780">
      <w:pPr>
        <w:numPr>
          <w:ilvl w:val="0"/>
          <w:numId w:val="56"/>
        </w:numPr>
        <w:tabs>
          <w:tab w:val="clear" w:pos="900"/>
          <w:tab w:val="left" w:pos="1260"/>
        </w:tabs>
        <w:adjustRightInd w:val="0"/>
        <w:snapToGrid w:val="0"/>
        <w:spacing w:line="500" w:lineRule="exact"/>
        <w:ind w:left="0" w:firstLineChars="200" w:firstLine="560"/>
        <w:rPr>
          <w:rFonts w:ascii="宋体" w:hAnsi="宋体"/>
          <w:sz w:val="28"/>
          <w:szCs w:val="28"/>
        </w:rPr>
      </w:pPr>
      <w:r w:rsidRPr="00123108">
        <w:rPr>
          <w:rFonts w:ascii="宋体" w:hAnsi="宋体" w:hint="eastAsia"/>
          <w:sz w:val="28"/>
          <w:szCs w:val="28"/>
        </w:rPr>
        <w:t>应当分类、分堆、分组和分垛，并留出必要的防火间距，否则，一旦发生火灾，损失惨重。</w:t>
      </w:r>
    </w:p>
    <w:p w:rsidR="004F34D9" w:rsidRPr="00123108" w:rsidRDefault="004F34D9" w:rsidP="00D06780">
      <w:pPr>
        <w:numPr>
          <w:ilvl w:val="0"/>
          <w:numId w:val="56"/>
        </w:numPr>
        <w:tabs>
          <w:tab w:val="clear" w:pos="900"/>
          <w:tab w:val="left" w:pos="1260"/>
        </w:tabs>
        <w:adjustRightInd w:val="0"/>
        <w:snapToGrid w:val="0"/>
        <w:spacing w:line="500" w:lineRule="exact"/>
        <w:ind w:left="0" w:firstLineChars="200" w:firstLine="560"/>
        <w:rPr>
          <w:rFonts w:ascii="宋体" w:hAnsi="宋体" w:hint="eastAsia"/>
          <w:sz w:val="28"/>
          <w:szCs w:val="28"/>
        </w:rPr>
      </w:pPr>
      <w:r w:rsidRPr="00123108">
        <w:rPr>
          <w:rFonts w:ascii="宋体" w:hAnsi="宋体" w:hint="eastAsia"/>
          <w:sz w:val="28"/>
          <w:szCs w:val="28"/>
        </w:rPr>
        <w:t>危险化学品仓库的建筑条件差，建筑设施不适应所储存物品的要求也往往导致火灾事故的发生。如通风不良、阳光直射，又不采取隔热、降温措施，使物品受热造成库房内温度过高等。</w:t>
      </w:r>
    </w:p>
    <w:p w:rsidR="004F34D9" w:rsidRPr="00123108" w:rsidRDefault="004F34D9" w:rsidP="00D06780">
      <w:pPr>
        <w:numPr>
          <w:ilvl w:val="0"/>
          <w:numId w:val="56"/>
        </w:numPr>
        <w:tabs>
          <w:tab w:val="clear" w:pos="900"/>
          <w:tab w:val="left" w:pos="1260"/>
        </w:tabs>
        <w:adjustRightInd w:val="0"/>
        <w:snapToGrid w:val="0"/>
        <w:spacing w:line="500" w:lineRule="exact"/>
        <w:ind w:left="0" w:firstLineChars="200" w:firstLine="560"/>
        <w:rPr>
          <w:rFonts w:ascii="宋体" w:hAnsi="宋体" w:hint="eastAsia"/>
          <w:sz w:val="28"/>
          <w:szCs w:val="28"/>
        </w:rPr>
      </w:pPr>
      <w:r w:rsidRPr="00123108">
        <w:rPr>
          <w:rFonts w:ascii="宋体" w:hAnsi="宋体" w:hint="eastAsia"/>
          <w:sz w:val="28"/>
          <w:szCs w:val="28"/>
        </w:rPr>
        <w:t>危险化学品包装容器的损坏，或者包装不符合安全要求都可能发生物料泄漏，从而引起事故。</w:t>
      </w:r>
    </w:p>
    <w:p w:rsidR="004F34D9" w:rsidRPr="00123108" w:rsidRDefault="004F34D9" w:rsidP="00D06780">
      <w:pPr>
        <w:numPr>
          <w:ilvl w:val="0"/>
          <w:numId w:val="56"/>
        </w:numPr>
        <w:tabs>
          <w:tab w:val="clear" w:pos="900"/>
          <w:tab w:val="left" w:pos="1260"/>
        </w:tabs>
        <w:adjustRightInd w:val="0"/>
        <w:snapToGrid w:val="0"/>
        <w:spacing w:line="500" w:lineRule="exact"/>
        <w:ind w:left="0" w:firstLineChars="200" w:firstLine="560"/>
        <w:rPr>
          <w:rFonts w:ascii="宋体" w:hAnsi="宋体" w:hint="eastAsia"/>
          <w:sz w:val="28"/>
          <w:szCs w:val="28"/>
        </w:rPr>
      </w:pPr>
      <w:r w:rsidRPr="00123108">
        <w:rPr>
          <w:rFonts w:ascii="宋体" w:hAnsi="宋体" w:hint="eastAsia"/>
          <w:snapToGrid w:val="0"/>
          <w:sz w:val="28"/>
          <w:szCs w:val="28"/>
        </w:rPr>
        <w:t>部分</w:t>
      </w:r>
      <w:r w:rsidRPr="00123108">
        <w:rPr>
          <w:rFonts w:ascii="宋体" w:hAnsi="宋体" w:hint="eastAsia"/>
          <w:sz w:val="28"/>
          <w:szCs w:val="28"/>
        </w:rPr>
        <w:t>危险化学品对温度要求比较严，在储存保管过程中往往因缺乏养护知识而导致火灾事故。</w:t>
      </w:r>
    </w:p>
    <w:p w:rsidR="004F34D9" w:rsidRPr="00123108" w:rsidRDefault="004F34D9" w:rsidP="00D06780">
      <w:pPr>
        <w:numPr>
          <w:ilvl w:val="0"/>
          <w:numId w:val="56"/>
        </w:numPr>
        <w:tabs>
          <w:tab w:val="clear" w:pos="900"/>
          <w:tab w:val="left" w:pos="1260"/>
        </w:tabs>
        <w:adjustRightInd w:val="0"/>
        <w:snapToGrid w:val="0"/>
        <w:spacing w:line="500" w:lineRule="exact"/>
        <w:ind w:left="0" w:firstLineChars="200" w:firstLine="560"/>
        <w:rPr>
          <w:rFonts w:ascii="宋体" w:hAnsi="宋体" w:hint="eastAsia"/>
          <w:sz w:val="28"/>
          <w:szCs w:val="28"/>
        </w:rPr>
      </w:pPr>
      <w:r w:rsidRPr="00123108">
        <w:rPr>
          <w:rFonts w:ascii="宋体" w:hAnsi="宋体" w:hint="eastAsia"/>
          <w:sz w:val="28"/>
          <w:szCs w:val="28"/>
        </w:rPr>
        <w:t>违反操作规程，如搬运危险化学品没有轻装轻卸，堆垛过高、不稳发生倒塌，易燃液体、过氧化物装卸违反操作规程等，往往造成事故。</w:t>
      </w:r>
    </w:p>
    <w:p w:rsidR="004F34D9" w:rsidRPr="00123108" w:rsidRDefault="004F34D9" w:rsidP="00D06780">
      <w:pPr>
        <w:numPr>
          <w:ilvl w:val="0"/>
          <w:numId w:val="56"/>
        </w:numPr>
        <w:tabs>
          <w:tab w:val="clear" w:pos="900"/>
          <w:tab w:val="left" w:pos="1260"/>
        </w:tabs>
        <w:adjustRightInd w:val="0"/>
        <w:snapToGrid w:val="0"/>
        <w:spacing w:line="500" w:lineRule="exact"/>
        <w:ind w:left="0" w:firstLineChars="200" w:firstLine="560"/>
        <w:rPr>
          <w:rFonts w:ascii="宋体" w:hAnsi="宋体" w:hint="eastAsia"/>
          <w:sz w:val="28"/>
          <w:szCs w:val="28"/>
        </w:rPr>
      </w:pPr>
      <w:r w:rsidRPr="00123108">
        <w:rPr>
          <w:rFonts w:ascii="宋体" w:hAnsi="宋体" w:hint="eastAsia"/>
          <w:sz w:val="28"/>
          <w:szCs w:val="28"/>
        </w:rPr>
        <w:t xml:space="preserve">设备和照明电器不防爆，电气线路安装不当，或年久失修、绝缘老化、破损，有可能因电气产生火花而发生燃烧、爆炸事故。照明灯具烤着可燃物，也有可能引起火灾、爆炸事故。 </w:t>
      </w:r>
    </w:p>
    <w:p w:rsidR="004F34D9" w:rsidRPr="00123108" w:rsidRDefault="004F34D9" w:rsidP="00D06780">
      <w:pPr>
        <w:numPr>
          <w:ilvl w:val="0"/>
          <w:numId w:val="56"/>
        </w:numPr>
        <w:tabs>
          <w:tab w:val="clear" w:pos="900"/>
          <w:tab w:val="left" w:pos="1260"/>
        </w:tabs>
        <w:adjustRightInd w:val="0"/>
        <w:snapToGrid w:val="0"/>
        <w:spacing w:line="500" w:lineRule="exact"/>
        <w:ind w:left="0" w:firstLineChars="200" w:firstLine="560"/>
        <w:rPr>
          <w:rFonts w:ascii="宋体" w:hAnsi="宋体" w:hint="eastAsia"/>
          <w:sz w:val="28"/>
          <w:szCs w:val="28"/>
        </w:rPr>
      </w:pPr>
      <w:r w:rsidRPr="00123108">
        <w:rPr>
          <w:rFonts w:ascii="宋体" w:hAnsi="宋体" w:hint="eastAsia"/>
          <w:sz w:val="28"/>
          <w:szCs w:val="28"/>
        </w:rPr>
        <w:t>着火时因不熟悉危险化学品的性能和灭火方法，使用不当的灭火剂使火灾扩大，常常是使小火造成大火的一个原因。</w:t>
      </w:r>
    </w:p>
    <w:p w:rsidR="004F34D9" w:rsidRPr="00123108" w:rsidRDefault="004F34D9" w:rsidP="00D06780">
      <w:pPr>
        <w:numPr>
          <w:ilvl w:val="0"/>
          <w:numId w:val="56"/>
        </w:numPr>
        <w:tabs>
          <w:tab w:val="clear" w:pos="900"/>
          <w:tab w:val="left" w:pos="1260"/>
        </w:tabs>
        <w:adjustRightInd w:val="0"/>
        <w:snapToGrid w:val="0"/>
        <w:spacing w:line="500" w:lineRule="exact"/>
        <w:ind w:left="0" w:firstLineChars="200" w:firstLine="560"/>
        <w:rPr>
          <w:rFonts w:ascii="宋体" w:hAnsi="宋体" w:hint="eastAsia"/>
          <w:sz w:val="28"/>
          <w:szCs w:val="28"/>
        </w:rPr>
      </w:pPr>
      <w:r w:rsidRPr="00123108">
        <w:rPr>
          <w:rFonts w:ascii="宋体" w:hAnsi="宋体" w:hint="eastAsia"/>
          <w:sz w:val="28"/>
          <w:szCs w:val="28"/>
        </w:rPr>
        <w:lastRenderedPageBreak/>
        <w:t>由于危险化学品仓库防雷、防静电设施缺少或有缺陷，因雷击放电或产生静电火花而发生火灾爆炸事故。</w:t>
      </w:r>
    </w:p>
    <w:p w:rsidR="004F34D9" w:rsidRPr="00123108" w:rsidRDefault="004F34D9" w:rsidP="00D06780">
      <w:pPr>
        <w:pStyle w:val="23"/>
        <w:keepNext w:val="0"/>
        <w:numPr>
          <w:ilvl w:val="0"/>
          <w:numId w:val="56"/>
        </w:numPr>
        <w:tabs>
          <w:tab w:val="clear" w:pos="900"/>
          <w:tab w:val="clear" w:pos="6165"/>
          <w:tab w:val="left" w:pos="1260"/>
        </w:tabs>
        <w:adjustRightInd w:val="0"/>
        <w:snapToGrid w:val="0"/>
        <w:spacing w:line="500" w:lineRule="exact"/>
        <w:ind w:left="0" w:firstLineChars="200" w:firstLine="560"/>
        <w:rPr>
          <w:rFonts w:hint="eastAsia"/>
          <w:sz w:val="28"/>
          <w:szCs w:val="28"/>
        </w:rPr>
      </w:pPr>
      <w:r w:rsidRPr="00123108">
        <w:rPr>
          <w:rFonts w:hint="eastAsia"/>
          <w:sz w:val="28"/>
          <w:szCs w:val="28"/>
        </w:rPr>
        <w:t>仓库内通风条件差，有毒气体积聚，容易造成人员中毒或得职业病。</w:t>
      </w:r>
    </w:p>
    <w:p w:rsidR="004F34D9" w:rsidRPr="00123108" w:rsidRDefault="004F34D9" w:rsidP="00D06780">
      <w:pPr>
        <w:pStyle w:val="23"/>
        <w:keepNext w:val="0"/>
        <w:numPr>
          <w:ilvl w:val="0"/>
          <w:numId w:val="56"/>
        </w:numPr>
        <w:tabs>
          <w:tab w:val="clear" w:pos="900"/>
          <w:tab w:val="clear" w:pos="6165"/>
          <w:tab w:val="left" w:pos="1260"/>
        </w:tabs>
        <w:adjustRightInd w:val="0"/>
        <w:snapToGrid w:val="0"/>
        <w:spacing w:line="500" w:lineRule="exact"/>
        <w:ind w:left="0" w:firstLineChars="200" w:firstLine="560"/>
        <w:rPr>
          <w:rFonts w:hint="eastAsia"/>
          <w:sz w:val="28"/>
          <w:szCs w:val="28"/>
        </w:rPr>
      </w:pPr>
      <w:r w:rsidRPr="00123108">
        <w:rPr>
          <w:sz w:val="28"/>
          <w:szCs w:val="28"/>
        </w:rPr>
        <w:t>若危险化学品</w:t>
      </w:r>
      <w:r w:rsidRPr="00123108">
        <w:rPr>
          <w:rFonts w:hint="eastAsia"/>
          <w:sz w:val="28"/>
          <w:szCs w:val="28"/>
        </w:rPr>
        <w:t>储存</w:t>
      </w:r>
      <w:r w:rsidRPr="00123108">
        <w:rPr>
          <w:sz w:val="28"/>
          <w:szCs w:val="28"/>
        </w:rPr>
        <w:t>品种超出许可范围,对该产品的理化性质和危险性缺乏了解,易导致事故。</w:t>
      </w:r>
    </w:p>
    <w:p w:rsidR="004F34D9" w:rsidRPr="00123108" w:rsidRDefault="004F34D9" w:rsidP="00D06780">
      <w:pPr>
        <w:pStyle w:val="23"/>
        <w:keepNext w:val="0"/>
        <w:numPr>
          <w:ilvl w:val="0"/>
          <w:numId w:val="56"/>
        </w:numPr>
        <w:tabs>
          <w:tab w:val="clear" w:pos="900"/>
          <w:tab w:val="clear" w:pos="6165"/>
          <w:tab w:val="left" w:pos="1260"/>
        </w:tabs>
        <w:adjustRightInd w:val="0"/>
        <w:snapToGrid w:val="0"/>
        <w:spacing w:line="500" w:lineRule="exact"/>
        <w:ind w:left="0" w:firstLineChars="200" w:firstLine="560"/>
        <w:rPr>
          <w:sz w:val="28"/>
          <w:szCs w:val="28"/>
        </w:rPr>
      </w:pPr>
      <w:r w:rsidRPr="00123108">
        <w:rPr>
          <w:sz w:val="28"/>
          <w:szCs w:val="28"/>
        </w:rPr>
        <w:t>若忽视对职工安全培训教育，对所</w:t>
      </w:r>
      <w:r w:rsidRPr="00123108">
        <w:rPr>
          <w:rFonts w:hint="eastAsia"/>
          <w:sz w:val="28"/>
          <w:szCs w:val="28"/>
        </w:rPr>
        <w:t>储存</w:t>
      </w:r>
      <w:r w:rsidRPr="00123108">
        <w:rPr>
          <w:sz w:val="28"/>
          <w:szCs w:val="28"/>
        </w:rPr>
        <w:t>的危化品的理化性质，</w:t>
      </w:r>
      <w:r w:rsidRPr="00123108">
        <w:rPr>
          <w:rFonts w:hint="eastAsia"/>
          <w:sz w:val="28"/>
          <w:szCs w:val="28"/>
        </w:rPr>
        <w:t>对</w:t>
      </w:r>
      <w:r w:rsidRPr="00123108">
        <w:rPr>
          <w:sz w:val="28"/>
          <w:szCs w:val="28"/>
        </w:rPr>
        <w:t>危险化学品相关法律、法规、标准和规范缺乏足够的了解，易造成违章操作，而发生事故；</w:t>
      </w:r>
    </w:p>
    <w:p w:rsidR="004F34D9" w:rsidRPr="00123108" w:rsidRDefault="004F34D9" w:rsidP="00D06780">
      <w:pPr>
        <w:pStyle w:val="23"/>
        <w:keepNext w:val="0"/>
        <w:numPr>
          <w:ilvl w:val="0"/>
          <w:numId w:val="56"/>
        </w:numPr>
        <w:tabs>
          <w:tab w:val="clear" w:pos="900"/>
          <w:tab w:val="clear" w:pos="6165"/>
          <w:tab w:val="left" w:pos="1260"/>
        </w:tabs>
        <w:adjustRightInd w:val="0"/>
        <w:snapToGrid w:val="0"/>
        <w:spacing w:line="500" w:lineRule="exact"/>
        <w:ind w:left="0" w:firstLineChars="200" w:firstLine="560"/>
        <w:rPr>
          <w:rFonts w:hint="eastAsia"/>
          <w:sz w:val="28"/>
          <w:szCs w:val="28"/>
        </w:rPr>
      </w:pPr>
      <w:r w:rsidRPr="00123108">
        <w:rPr>
          <w:rFonts w:hint="eastAsia"/>
          <w:sz w:val="28"/>
          <w:szCs w:val="28"/>
        </w:rPr>
        <w:t>消防通道不畅通，灭火器材失效或没有明确标志，也会延误灾情，造成危险、危害的扩大。</w:t>
      </w:r>
    </w:p>
    <w:p w:rsidR="004F34D9" w:rsidRPr="00123108" w:rsidRDefault="004F34D9" w:rsidP="00D06780">
      <w:pPr>
        <w:numPr>
          <w:ilvl w:val="0"/>
          <w:numId w:val="56"/>
        </w:numPr>
        <w:tabs>
          <w:tab w:val="clear" w:pos="900"/>
          <w:tab w:val="left" w:pos="1260"/>
        </w:tabs>
        <w:adjustRightInd w:val="0"/>
        <w:snapToGrid w:val="0"/>
        <w:spacing w:line="500" w:lineRule="exact"/>
        <w:ind w:left="0" w:firstLineChars="200" w:firstLine="560"/>
        <w:rPr>
          <w:rFonts w:ascii="宋体" w:hAnsi="宋体"/>
          <w:sz w:val="28"/>
          <w:szCs w:val="28"/>
        </w:rPr>
      </w:pPr>
      <w:r w:rsidRPr="00123108">
        <w:rPr>
          <w:rFonts w:ascii="宋体" w:hAnsi="宋体" w:hint="eastAsia"/>
          <w:sz w:val="28"/>
          <w:szCs w:val="28"/>
        </w:rPr>
        <w:t>危险化学品仓库配置的消防设施不符合要求，一旦出事，未能有效扑救而引起的危险、危害。 危险化学品仓库与明火距离过近，超范围储存可能引起的危险、危害。</w:t>
      </w:r>
    </w:p>
    <w:p w:rsidR="004F34D9" w:rsidRPr="00123108" w:rsidRDefault="004F34D9" w:rsidP="00D06780">
      <w:pPr>
        <w:pStyle w:val="23"/>
        <w:keepNext w:val="0"/>
        <w:numPr>
          <w:ilvl w:val="0"/>
          <w:numId w:val="56"/>
        </w:numPr>
        <w:tabs>
          <w:tab w:val="clear" w:pos="900"/>
          <w:tab w:val="clear" w:pos="6165"/>
          <w:tab w:val="left" w:pos="1260"/>
        </w:tabs>
        <w:adjustRightInd w:val="0"/>
        <w:snapToGrid w:val="0"/>
        <w:spacing w:line="500" w:lineRule="exact"/>
        <w:ind w:left="0" w:firstLineChars="200" w:firstLine="560"/>
        <w:rPr>
          <w:rFonts w:hint="eastAsia"/>
          <w:sz w:val="28"/>
          <w:szCs w:val="28"/>
        </w:rPr>
      </w:pPr>
      <w:r w:rsidRPr="00123108">
        <w:rPr>
          <w:rFonts w:hint="eastAsia"/>
          <w:sz w:val="28"/>
          <w:szCs w:val="28"/>
        </w:rPr>
        <w:t>作业人员没有经岗位培训上岗，不熟悉危险化学品特性及事故的处理程序和方法，违章作业可能引起的危险、危害。安全操作规程和管理制度不健全或没有严格执行可能引起的危险、危害。</w:t>
      </w:r>
    </w:p>
    <w:p w:rsidR="004F34D9" w:rsidRPr="00123108" w:rsidRDefault="004F34D9" w:rsidP="00D06780">
      <w:pPr>
        <w:pStyle w:val="23"/>
        <w:keepNext w:val="0"/>
        <w:numPr>
          <w:ilvl w:val="0"/>
          <w:numId w:val="56"/>
        </w:numPr>
        <w:tabs>
          <w:tab w:val="clear" w:pos="900"/>
          <w:tab w:val="clear" w:pos="6165"/>
          <w:tab w:val="left" w:pos="1260"/>
        </w:tabs>
        <w:adjustRightInd w:val="0"/>
        <w:snapToGrid w:val="0"/>
        <w:spacing w:line="500" w:lineRule="exact"/>
        <w:ind w:left="0" w:firstLineChars="200" w:firstLine="560"/>
        <w:rPr>
          <w:rFonts w:hint="eastAsia"/>
          <w:sz w:val="28"/>
          <w:szCs w:val="28"/>
        </w:rPr>
      </w:pPr>
      <w:r w:rsidRPr="00123108">
        <w:rPr>
          <w:rFonts w:hint="eastAsia"/>
          <w:sz w:val="28"/>
          <w:szCs w:val="28"/>
        </w:rPr>
        <w:t>仓库物料储存过程中，若未按要求进行堆垛管理，容易引发坍塌事故。</w:t>
      </w:r>
    </w:p>
    <w:p w:rsidR="004F34D9" w:rsidRPr="00123108" w:rsidRDefault="004F34D9" w:rsidP="00D06780">
      <w:pPr>
        <w:spacing w:line="500" w:lineRule="exact"/>
        <w:outlineLvl w:val="2"/>
        <w:rPr>
          <w:rFonts w:ascii="宋体" w:hAnsi="宋体" w:cs="宋体" w:hint="eastAsia"/>
          <w:b/>
          <w:bCs/>
          <w:sz w:val="28"/>
          <w:szCs w:val="28"/>
        </w:rPr>
      </w:pPr>
      <w:bookmarkStart w:id="1385" w:name="_Toc1388"/>
      <w:bookmarkStart w:id="1386" w:name="_Toc19281"/>
      <w:bookmarkStart w:id="1387" w:name="_Toc24779"/>
      <w:bookmarkStart w:id="1388" w:name="_Toc4411"/>
      <w:bookmarkStart w:id="1389" w:name="_Toc190935853"/>
      <w:bookmarkEnd w:id="1373"/>
      <w:bookmarkEnd w:id="1374"/>
      <w:bookmarkEnd w:id="1377"/>
      <w:bookmarkEnd w:id="1378"/>
      <w:bookmarkEnd w:id="1379"/>
      <w:r w:rsidRPr="00123108">
        <w:rPr>
          <w:rFonts w:ascii="宋体" w:hAnsi="宋体" w:cs="宋体" w:hint="eastAsia"/>
          <w:b/>
          <w:bCs/>
          <w:sz w:val="28"/>
          <w:szCs w:val="28"/>
          <w:lang w:val="zh-CN"/>
        </w:rPr>
        <w:t>附件</w:t>
      </w:r>
      <w:r w:rsidRPr="00123108">
        <w:rPr>
          <w:rFonts w:ascii="宋体" w:hAnsi="宋体" w:cs="宋体" w:hint="eastAsia"/>
          <w:b/>
          <w:bCs/>
          <w:sz w:val="28"/>
          <w:szCs w:val="28"/>
        </w:rPr>
        <w:t>1.4.4 管道输送过程危险有害因素分析</w:t>
      </w:r>
      <w:bookmarkEnd w:id="1385"/>
      <w:bookmarkEnd w:id="1386"/>
      <w:bookmarkEnd w:id="1387"/>
      <w:bookmarkEnd w:id="1389"/>
    </w:p>
    <w:p w:rsidR="004F34D9" w:rsidRPr="00123108" w:rsidRDefault="004F34D9" w:rsidP="00D06780">
      <w:pPr>
        <w:spacing w:line="500" w:lineRule="exact"/>
        <w:ind w:firstLineChars="200" w:firstLine="560"/>
        <w:rPr>
          <w:rFonts w:ascii="宋体" w:hAnsi="宋体" w:cs="宋体"/>
          <w:sz w:val="28"/>
          <w:szCs w:val="28"/>
          <w:lang w:val="zh-CN"/>
        </w:rPr>
      </w:pPr>
      <w:bookmarkStart w:id="1390" w:name="厂外管线危险分析"/>
      <w:r w:rsidRPr="00123108">
        <w:rPr>
          <w:rFonts w:ascii="宋体" w:hAnsi="宋体" w:cs="宋体" w:hint="eastAsia"/>
          <w:sz w:val="28"/>
          <w:szCs w:val="28"/>
        </w:rPr>
        <w:t>管道输送过程中主要危险性分析如下</w:t>
      </w:r>
      <w:bookmarkEnd w:id="1390"/>
      <w:r w:rsidRPr="00123108">
        <w:rPr>
          <w:rFonts w:ascii="宋体" w:hAnsi="宋体" w:cs="宋体" w:hint="eastAsia"/>
          <w:sz w:val="28"/>
          <w:szCs w:val="28"/>
        </w:rPr>
        <w:t>：</w:t>
      </w:r>
    </w:p>
    <w:p w:rsidR="004F34D9" w:rsidRPr="00123108" w:rsidRDefault="004F34D9" w:rsidP="00D06780">
      <w:pPr>
        <w:spacing w:line="500" w:lineRule="exact"/>
        <w:ind w:firstLineChars="200" w:firstLine="560"/>
        <w:rPr>
          <w:rFonts w:ascii="宋体" w:hAnsi="宋体" w:cs="宋体"/>
          <w:sz w:val="28"/>
          <w:szCs w:val="28"/>
        </w:rPr>
      </w:pPr>
      <w:r w:rsidRPr="00123108">
        <w:rPr>
          <w:rFonts w:ascii="宋体" w:hAnsi="宋体" w:cs="宋体" w:hint="eastAsia"/>
          <w:sz w:val="28"/>
          <w:szCs w:val="28"/>
        </w:rPr>
        <w:t>（1）物料在管道输送过程中，由于所输送介质的危险特性，若管道本身及管道附件的材质不良、选型不合理，管道施工质量达不到要求，管道及其附件的维护保养等不及时或不到位，有可能导致输送介质泄漏，而引起火灾、爆炸、中毒、腐蚀等事故发生。</w:t>
      </w:r>
    </w:p>
    <w:p w:rsidR="004F34D9" w:rsidRPr="00123108" w:rsidRDefault="004F34D9" w:rsidP="00D06780">
      <w:pPr>
        <w:spacing w:line="500" w:lineRule="exact"/>
        <w:ind w:firstLineChars="200" w:firstLine="560"/>
        <w:rPr>
          <w:rFonts w:ascii="宋体" w:hAnsi="宋体" w:cs="宋体"/>
          <w:sz w:val="28"/>
          <w:szCs w:val="28"/>
        </w:rPr>
      </w:pPr>
      <w:r w:rsidRPr="00123108">
        <w:rPr>
          <w:rFonts w:ascii="宋体" w:hAnsi="宋体" w:cs="宋体" w:hint="eastAsia"/>
          <w:sz w:val="28"/>
          <w:szCs w:val="28"/>
        </w:rPr>
        <w:t>（2）输送易液体时若输送速度超过其安全流速，将会产生和积聚静电，则可能由于防静电措施的缺陷，进而有可能存在火灾的危险，严重时将会引发爆炸、中毒等事故的发生。</w:t>
      </w:r>
    </w:p>
    <w:p w:rsidR="004F34D9" w:rsidRPr="00123108" w:rsidRDefault="004F34D9" w:rsidP="00D06780">
      <w:pPr>
        <w:pStyle w:val="36"/>
        <w:spacing w:line="500" w:lineRule="exact"/>
        <w:ind w:firstLine="560"/>
        <w:rPr>
          <w:rFonts w:cs="宋体"/>
          <w:sz w:val="28"/>
          <w:szCs w:val="28"/>
        </w:rPr>
      </w:pPr>
      <w:r w:rsidRPr="00123108">
        <w:rPr>
          <w:rFonts w:cs="宋体" w:hint="eastAsia"/>
          <w:sz w:val="28"/>
          <w:szCs w:val="28"/>
        </w:rPr>
        <w:lastRenderedPageBreak/>
        <w:t>（3）针对管廊的危险性分析如下：</w:t>
      </w:r>
    </w:p>
    <w:p w:rsidR="004F34D9" w:rsidRPr="00123108" w:rsidRDefault="004F34D9" w:rsidP="00D06780">
      <w:pPr>
        <w:spacing w:line="500" w:lineRule="exact"/>
        <w:ind w:firstLineChars="200" w:firstLine="560"/>
        <w:rPr>
          <w:rFonts w:ascii="宋体" w:hAnsi="宋体" w:cs="宋体"/>
          <w:bCs/>
          <w:sz w:val="28"/>
          <w:szCs w:val="28"/>
        </w:rPr>
      </w:pPr>
      <w:r w:rsidRPr="00123108">
        <w:rPr>
          <w:rFonts w:ascii="宋体" w:hAnsi="宋体" w:cs="宋体" w:hint="eastAsia"/>
          <w:bCs/>
          <w:sz w:val="28"/>
          <w:szCs w:val="28"/>
        </w:rPr>
        <w:t>①地质报告不准确、提出的设计条件不完善等引起的桩基设计缺陷，可能造成管廊不均匀沉降，管廊基础不均匀沉降或沉降量超标引起管廊局部或整体下沉，导致管道损坏，引起物料泄漏，发生火灾、中毒事故。</w:t>
      </w:r>
    </w:p>
    <w:p w:rsidR="004F34D9" w:rsidRPr="00123108" w:rsidRDefault="004F34D9" w:rsidP="00D06780">
      <w:pPr>
        <w:spacing w:line="500" w:lineRule="exact"/>
        <w:ind w:firstLineChars="200" w:firstLine="560"/>
        <w:rPr>
          <w:rFonts w:ascii="宋体" w:hAnsi="宋体" w:cs="宋体"/>
          <w:bCs/>
          <w:sz w:val="28"/>
          <w:szCs w:val="28"/>
        </w:rPr>
      </w:pPr>
      <w:r w:rsidRPr="00123108">
        <w:rPr>
          <w:rFonts w:ascii="宋体" w:hAnsi="宋体" w:cs="宋体" w:hint="eastAsia"/>
          <w:bCs/>
          <w:sz w:val="28"/>
          <w:szCs w:val="28"/>
        </w:rPr>
        <w:t>②钢梁柱钢桁架强度、刚度不够、管廊跨距过大，管廊可能因结构及管道重量、物料重量、固定荷载、可变荷载和环境荷载、蒸气管道热胀冷缩等组合作用下，使构件和连接件破坏，导致管道损坏，物料泄漏甚至发生火灾、中毒事故。</w:t>
      </w:r>
    </w:p>
    <w:p w:rsidR="004F34D9" w:rsidRPr="00123108" w:rsidRDefault="004F34D9" w:rsidP="00D06780">
      <w:pPr>
        <w:spacing w:line="500" w:lineRule="exact"/>
        <w:ind w:firstLineChars="200" w:firstLine="560"/>
        <w:rPr>
          <w:rFonts w:ascii="宋体" w:hAnsi="宋体" w:cs="宋体"/>
          <w:bCs/>
          <w:sz w:val="28"/>
          <w:szCs w:val="28"/>
        </w:rPr>
      </w:pPr>
      <w:r w:rsidRPr="00123108">
        <w:rPr>
          <w:rFonts w:ascii="宋体" w:hAnsi="宋体" w:cs="宋体" w:hint="eastAsia"/>
          <w:bCs/>
          <w:sz w:val="28"/>
          <w:szCs w:val="28"/>
        </w:rPr>
        <w:t>③管廊宽度不够，使管道与管道间距不能够满足安全要求，有可能因可燃物泄漏、火花等，致发生火灾爆炸事故。</w:t>
      </w:r>
    </w:p>
    <w:p w:rsidR="004F34D9" w:rsidRPr="00123108" w:rsidRDefault="004F34D9" w:rsidP="00D06780">
      <w:pPr>
        <w:spacing w:line="500" w:lineRule="exact"/>
        <w:ind w:firstLineChars="200" w:firstLine="560"/>
        <w:rPr>
          <w:rFonts w:ascii="宋体" w:hAnsi="宋体" w:cs="宋体"/>
          <w:bCs/>
          <w:sz w:val="28"/>
          <w:szCs w:val="28"/>
        </w:rPr>
      </w:pPr>
      <w:r w:rsidRPr="00123108">
        <w:rPr>
          <w:rFonts w:ascii="宋体" w:hAnsi="宋体" w:cs="宋体" w:hint="eastAsia"/>
          <w:bCs/>
          <w:sz w:val="28"/>
          <w:szCs w:val="28"/>
        </w:rPr>
        <w:t>④管架下层梁底距地面净高不足、没设置限高标记，易发生车辆撞坏管廊等事故，有可能引起火灾爆炸事故。</w:t>
      </w:r>
    </w:p>
    <w:p w:rsidR="004F34D9" w:rsidRPr="00123108" w:rsidRDefault="004F34D9" w:rsidP="00D06780">
      <w:pPr>
        <w:spacing w:line="500" w:lineRule="exact"/>
        <w:ind w:firstLineChars="200" w:firstLine="560"/>
        <w:rPr>
          <w:rFonts w:ascii="宋体" w:hAnsi="宋体" w:cs="宋体"/>
          <w:bCs/>
          <w:sz w:val="28"/>
          <w:szCs w:val="28"/>
        </w:rPr>
      </w:pPr>
      <w:r w:rsidRPr="00123108">
        <w:rPr>
          <w:rFonts w:ascii="宋体" w:hAnsi="宋体" w:cs="宋体" w:hint="eastAsia"/>
          <w:bCs/>
          <w:sz w:val="28"/>
          <w:szCs w:val="28"/>
        </w:rPr>
        <w:t>⑤由于该管廊的重要性和管道所输送的物料存在易燃、易爆、腐蚀等危险性，钢结构防腐不当或失效，在爆炸区域范围内的主管廊的钢结构部分不做防火处理，钢结构会因周围环境的腐蚀而损坏或因局部火灾钢结构变形而致管架垮塌。</w:t>
      </w:r>
    </w:p>
    <w:p w:rsidR="004F34D9" w:rsidRPr="00123108" w:rsidRDefault="004F34D9" w:rsidP="00D06780">
      <w:pPr>
        <w:spacing w:line="500" w:lineRule="exact"/>
        <w:ind w:firstLineChars="200" w:firstLine="560"/>
        <w:rPr>
          <w:rFonts w:ascii="宋体" w:hAnsi="宋体" w:cs="宋体"/>
          <w:bCs/>
          <w:sz w:val="28"/>
          <w:szCs w:val="28"/>
        </w:rPr>
      </w:pPr>
      <w:r w:rsidRPr="00123108">
        <w:rPr>
          <w:rFonts w:ascii="宋体" w:hAnsi="宋体" w:cs="宋体" w:hint="eastAsia"/>
          <w:bCs/>
          <w:sz w:val="28"/>
          <w:szCs w:val="28"/>
        </w:rPr>
        <w:t>⑥柔性设计缺陷：管系对约束点（如管端设备接口处等）产生附加作用力和力矩。该作用力和力矩过大，在管道和设备或管道组成件的连接处易发生泄漏或损坏；也会导致与管道相连接的设备内部产生局部峰值应力和变形，甚至无法正常运行或引起机件的损坏。</w:t>
      </w:r>
    </w:p>
    <w:p w:rsidR="004F34D9" w:rsidRPr="00123108" w:rsidRDefault="004F34D9" w:rsidP="00D06780">
      <w:pPr>
        <w:spacing w:line="500" w:lineRule="exact"/>
        <w:ind w:firstLineChars="200" w:firstLine="560"/>
        <w:rPr>
          <w:rFonts w:ascii="宋体" w:hAnsi="宋体" w:cs="宋体"/>
          <w:bCs/>
          <w:sz w:val="28"/>
          <w:szCs w:val="28"/>
        </w:rPr>
      </w:pPr>
      <w:r w:rsidRPr="00123108">
        <w:rPr>
          <w:rFonts w:ascii="宋体" w:hAnsi="宋体" w:cs="宋体" w:hint="eastAsia"/>
          <w:bCs/>
          <w:sz w:val="28"/>
          <w:szCs w:val="28"/>
        </w:rPr>
        <w:t>⑦基础防腐设计及管架防腐工作未到位。可能因腐蚀（化学介质腐蚀，大气腐蚀、海水腐蚀、土壤腐蚀、杂散电流腐蚀、细菌腐蚀、磨损腐蚀、应力腐蚀和接触腐蚀等）造成管架破坏或寿命下降。</w:t>
      </w:r>
    </w:p>
    <w:p w:rsidR="004F34D9" w:rsidRPr="00123108" w:rsidRDefault="004F34D9" w:rsidP="00D06780">
      <w:pPr>
        <w:spacing w:line="500" w:lineRule="exact"/>
        <w:ind w:firstLineChars="200" w:firstLine="560"/>
        <w:rPr>
          <w:rFonts w:ascii="宋体" w:hAnsi="宋体" w:cs="宋体"/>
          <w:bCs/>
          <w:sz w:val="28"/>
          <w:szCs w:val="28"/>
        </w:rPr>
      </w:pPr>
      <w:r w:rsidRPr="00123108">
        <w:rPr>
          <w:rFonts w:ascii="宋体" w:hAnsi="宋体" w:cs="宋体" w:hint="eastAsia"/>
          <w:bCs/>
          <w:sz w:val="28"/>
          <w:szCs w:val="28"/>
        </w:rPr>
        <w:t>⑧防雷、防静电设计缺陷可能引起雷电危害。管架、管道等有可能遭受雷击或产生静电，引起火灾、设备损坏和人身伤害事故。</w:t>
      </w:r>
    </w:p>
    <w:p w:rsidR="004F34D9" w:rsidRPr="00123108" w:rsidRDefault="004F34D9" w:rsidP="00D06780">
      <w:pPr>
        <w:spacing w:line="500" w:lineRule="exact"/>
        <w:ind w:firstLineChars="200" w:firstLine="560"/>
        <w:rPr>
          <w:rFonts w:ascii="宋体" w:hAnsi="宋体" w:cs="宋体" w:hint="eastAsia"/>
          <w:bCs/>
          <w:sz w:val="28"/>
          <w:szCs w:val="28"/>
        </w:rPr>
      </w:pPr>
      <w:r w:rsidRPr="00123108">
        <w:rPr>
          <w:rFonts w:ascii="宋体" w:hAnsi="宋体" w:cs="宋体" w:hint="eastAsia"/>
          <w:bCs/>
          <w:sz w:val="28"/>
          <w:szCs w:val="28"/>
        </w:rPr>
        <w:t>⑨接柱、接梁（网架）处未设置操作平台，可能造成坠落伤害。任一根管线的相邻两个截止阀之间应设放空阀、安全泄放阀等自动或手动泄压阀门，以防管道内气体或液体膨胀造成管道破裂或泄漏事故。</w:t>
      </w:r>
    </w:p>
    <w:p w:rsidR="004F34D9" w:rsidRPr="00123108" w:rsidRDefault="004F34D9" w:rsidP="00D06780">
      <w:pPr>
        <w:pStyle w:val="2"/>
        <w:spacing w:line="500" w:lineRule="exact"/>
        <w:jc w:val="both"/>
        <w:rPr>
          <w:rFonts w:ascii="宋体" w:eastAsia="宋体" w:cs="宋体" w:hint="eastAsia"/>
          <w:sz w:val="28"/>
          <w:szCs w:val="28"/>
        </w:rPr>
      </w:pPr>
      <w:bookmarkStart w:id="1391" w:name="_Toc463640857"/>
      <w:bookmarkStart w:id="1392" w:name="_Toc463640700"/>
      <w:bookmarkStart w:id="1393" w:name="_Toc465881116"/>
      <w:bookmarkStart w:id="1394" w:name="_Toc39652944"/>
      <w:bookmarkStart w:id="1395" w:name="_Toc190935854"/>
      <w:r w:rsidRPr="00123108">
        <w:rPr>
          <w:rFonts w:ascii="宋体" w:eastAsia="宋体" w:cs="宋体" w:hint="eastAsia"/>
          <w:sz w:val="28"/>
          <w:szCs w:val="28"/>
        </w:rPr>
        <w:lastRenderedPageBreak/>
        <w:t>附件1.5  建构筑物危险有害因素分析</w:t>
      </w:r>
      <w:bookmarkEnd w:id="1391"/>
      <w:bookmarkEnd w:id="1392"/>
      <w:bookmarkEnd w:id="1393"/>
      <w:bookmarkEnd w:id="1394"/>
      <w:bookmarkEnd w:id="1395"/>
    </w:p>
    <w:p w:rsidR="004F34D9" w:rsidRPr="00123108" w:rsidRDefault="004F34D9" w:rsidP="00D06780">
      <w:pPr>
        <w:numPr>
          <w:ilvl w:val="0"/>
          <w:numId w:val="57"/>
        </w:numPr>
        <w:tabs>
          <w:tab w:val="left" w:pos="1155"/>
        </w:tabs>
        <w:spacing w:line="500" w:lineRule="exact"/>
        <w:ind w:left="0" w:firstLineChars="200" w:firstLine="560"/>
        <w:rPr>
          <w:rFonts w:hint="eastAsia"/>
          <w:sz w:val="28"/>
          <w:szCs w:val="28"/>
        </w:rPr>
      </w:pPr>
      <w:r w:rsidRPr="00123108">
        <w:rPr>
          <w:rFonts w:hint="eastAsia"/>
          <w:sz w:val="28"/>
          <w:szCs w:val="28"/>
        </w:rPr>
        <w:t>如果不符合生产工艺要求的建筑物，可能引起事故或在事故发生后，导致不应有的严重后果。</w:t>
      </w:r>
    </w:p>
    <w:p w:rsidR="004F34D9" w:rsidRPr="00123108" w:rsidRDefault="004F34D9" w:rsidP="00D06780">
      <w:pPr>
        <w:numPr>
          <w:ilvl w:val="0"/>
          <w:numId w:val="57"/>
        </w:numPr>
        <w:tabs>
          <w:tab w:val="left" w:pos="1155"/>
        </w:tabs>
        <w:spacing w:line="500" w:lineRule="exact"/>
        <w:ind w:left="0" w:firstLineChars="200" w:firstLine="560"/>
        <w:rPr>
          <w:sz w:val="28"/>
          <w:szCs w:val="28"/>
        </w:rPr>
      </w:pPr>
      <w:r w:rsidRPr="00123108">
        <w:rPr>
          <w:rFonts w:hint="eastAsia"/>
          <w:sz w:val="28"/>
          <w:szCs w:val="28"/>
        </w:rPr>
        <w:t>如果建（构）筑物未设置有效的防雷设施，雷雨季节就有可能受雷电危害，造成设备毁坏，人员伤亡。该项目中的生产场所和储存场所均具有火灾、中毒、腐蚀性等危险，火灾危险性类别为甲类</w:t>
      </w:r>
      <w:r w:rsidR="003D6E32" w:rsidRPr="00123108">
        <w:rPr>
          <w:rFonts w:hint="eastAsia"/>
          <w:sz w:val="28"/>
          <w:szCs w:val="28"/>
        </w:rPr>
        <w:t>、乙类</w:t>
      </w:r>
      <w:r w:rsidRPr="00123108">
        <w:rPr>
          <w:rFonts w:hint="eastAsia"/>
          <w:sz w:val="28"/>
          <w:szCs w:val="28"/>
        </w:rPr>
        <w:t>。对于甲</w:t>
      </w:r>
      <w:r w:rsidR="003D6E32" w:rsidRPr="00123108">
        <w:rPr>
          <w:rFonts w:hint="eastAsia"/>
          <w:sz w:val="28"/>
          <w:szCs w:val="28"/>
        </w:rPr>
        <w:t>、乙</w:t>
      </w:r>
      <w:r w:rsidRPr="00123108">
        <w:rPr>
          <w:rFonts w:hint="eastAsia"/>
          <w:sz w:val="28"/>
          <w:szCs w:val="28"/>
        </w:rPr>
        <w:t>类物料的生产、储存场所，防雷和防直击雷设施应及时检测。否则，一旦发生雷击招致的火灾事故，会迅速穿顶，甚至造成屋架倒塌等危险危害。</w:t>
      </w:r>
    </w:p>
    <w:p w:rsidR="004F34D9" w:rsidRPr="00123108" w:rsidRDefault="004F34D9" w:rsidP="00D06780">
      <w:pPr>
        <w:numPr>
          <w:ilvl w:val="0"/>
          <w:numId w:val="57"/>
        </w:numPr>
        <w:tabs>
          <w:tab w:val="left" w:pos="1155"/>
        </w:tabs>
        <w:spacing w:line="500" w:lineRule="exact"/>
        <w:ind w:left="0" w:firstLineChars="200" w:firstLine="560"/>
        <w:rPr>
          <w:sz w:val="28"/>
          <w:szCs w:val="28"/>
        </w:rPr>
      </w:pPr>
      <w:bookmarkStart w:id="1396" w:name="_Toc349747222"/>
      <w:bookmarkEnd w:id="1368"/>
      <w:bookmarkEnd w:id="1369"/>
      <w:bookmarkEnd w:id="1370"/>
      <w:bookmarkEnd w:id="1371"/>
      <w:bookmarkEnd w:id="1372"/>
      <w:bookmarkEnd w:id="1375"/>
      <w:bookmarkEnd w:id="1388"/>
      <w:r w:rsidRPr="00123108">
        <w:rPr>
          <w:sz w:val="28"/>
          <w:szCs w:val="28"/>
        </w:rPr>
        <w:t>建（构）筑物内的各种通道（包括操作通道、安全通道、运输通道、检修通道等）、安全出口的数目、安全疏散距离、门和疏散走道以及楼梯的宽度及楼梯间的类型、门的开启方向等如果不符合规范要求，将无法满足事故状态下人员、物资等的安全疏散需要。</w:t>
      </w:r>
      <w:r w:rsidRPr="00123108">
        <w:rPr>
          <w:rFonts w:hint="eastAsia"/>
          <w:sz w:val="28"/>
          <w:szCs w:val="28"/>
        </w:rPr>
        <w:t>安全出口如堆放货物等亦容易造成应急出口堵塞，紧急情况下人员难以安全撤离，人员受到伤害的可能会增大。</w:t>
      </w:r>
    </w:p>
    <w:p w:rsidR="004F34D9" w:rsidRPr="00123108" w:rsidRDefault="004F34D9" w:rsidP="00D06780">
      <w:pPr>
        <w:numPr>
          <w:ilvl w:val="0"/>
          <w:numId w:val="57"/>
        </w:numPr>
        <w:tabs>
          <w:tab w:val="left" w:pos="1155"/>
        </w:tabs>
        <w:spacing w:line="500" w:lineRule="exact"/>
        <w:ind w:left="0" w:firstLineChars="200" w:firstLine="560"/>
        <w:rPr>
          <w:sz w:val="28"/>
          <w:szCs w:val="28"/>
        </w:rPr>
      </w:pPr>
      <w:r w:rsidRPr="00123108">
        <w:rPr>
          <w:sz w:val="28"/>
          <w:szCs w:val="28"/>
        </w:rPr>
        <w:t>建（构）筑物的采暖、通风、保温、采光、照明等如果不符合国家规范要求，其危险和有害因素可影响作业人员健康、影响安全生产。</w:t>
      </w:r>
      <w:r w:rsidRPr="00123108">
        <w:rPr>
          <w:rFonts w:hint="eastAsia"/>
          <w:sz w:val="28"/>
          <w:szCs w:val="28"/>
        </w:rPr>
        <w:t>如果厂房采光不足，光线昏暗，操作人员误操作的可能性会大大增加，从而大大增加事故的可能性。如果厂房通风设计不良，微量泄漏的危险物质难以在短时间内消散，甚至可能在厂房局部积聚，从而发生火灾、爆炸和人员中毒事故。</w:t>
      </w:r>
    </w:p>
    <w:p w:rsidR="004F34D9" w:rsidRPr="00123108" w:rsidRDefault="004F34D9" w:rsidP="00D06780">
      <w:pPr>
        <w:numPr>
          <w:ilvl w:val="0"/>
          <w:numId w:val="57"/>
        </w:numPr>
        <w:tabs>
          <w:tab w:val="left" w:pos="1155"/>
        </w:tabs>
        <w:spacing w:line="500" w:lineRule="exact"/>
        <w:ind w:left="0" w:firstLineChars="200" w:firstLine="560"/>
        <w:rPr>
          <w:sz w:val="28"/>
          <w:szCs w:val="28"/>
        </w:rPr>
      </w:pPr>
      <w:r w:rsidRPr="00123108">
        <w:rPr>
          <w:sz w:val="28"/>
          <w:szCs w:val="28"/>
        </w:rPr>
        <w:t>建（构）筑物若消防设施配置不足，如消火栓、灭火器等配置不足，在发生火灾情况时无法得到扑救，可能会使危险扩大。</w:t>
      </w:r>
    </w:p>
    <w:p w:rsidR="004F34D9" w:rsidRPr="00123108" w:rsidRDefault="004F34D9" w:rsidP="00D06780">
      <w:pPr>
        <w:numPr>
          <w:ilvl w:val="0"/>
          <w:numId w:val="57"/>
        </w:numPr>
        <w:tabs>
          <w:tab w:val="left" w:pos="1155"/>
        </w:tabs>
        <w:spacing w:line="500" w:lineRule="exact"/>
        <w:ind w:left="0" w:firstLineChars="200" w:firstLine="560"/>
        <w:rPr>
          <w:sz w:val="28"/>
          <w:szCs w:val="28"/>
        </w:rPr>
      </w:pPr>
      <w:r w:rsidRPr="00123108">
        <w:rPr>
          <w:sz w:val="28"/>
          <w:szCs w:val="28"/>
        </w:rPr>
        <w:t>缺少必要的事故应急照明，有可能造成作业人员和事故应急处理人员伤害。</w:t>
      </w:r>
    </w:p>
    <w:p w:rsidR="004F34D9" w:rsidRPr="00123108" w:rsidRDefault="004F34D9" w:rsidP="00D06780">
      <w:pPr>
        <w:numPr>
          <w:ilvl w:val="0"/>
          <w:numId w:val="57"/>
        </w:numPr>
        <w:tabs>
          <w:tab w:val="left" w:pos="1155"/>
        </w:tabs>
        <w:spacing w:line="500" w:lineRule="exact"/>
        <w:ind w:left="0" w:firstLineChars="200" w:firstLine="560"/>
        <w:rPr>
          <w:sz w:val="28"/>
          <w:szCs w:val="28"/>
        </w:rPr>
      </w:pPr>
      <w:r w:rsidRPr="00123108">
        <w:rPr>
          <w:rFonts w:hint="eastAsia"/>
          <w:sz w:val="28"/>
          <w:szCs w:val="28"/>
        </w:rPr>
        <w:t>厂房的耐火等级应根据生产火灾危险性类别进行选择，如果厂房的耐火等级选择过低，一旦发生火灾事故，火势容易蔓延，扑救和人员疏散都比较困难，事故后果加重。生产厂房每个防火分区的建筑面积应与该厂房的层数、耐火等级相适应。如果生产厂房的建筑面积选择过大、层数过高，发生火灾事故时，扑救和人员疏散都比较困难，使事故后果加重。</w:t>
      </w:r>
    </w:p>
    <w:p w:rsidR="004F34D9" w:rsidRPr="00123108" w:rsidRDefault="004F34D9" w:rsidP="00D06780">
      <w:pPr>
        <w:numPr>
          <w:ilvl w:val="0"/>
          <w:numId w:val="57"/>
        </w:numPr>
        <w:tabs>
          <w:tab w:val="left" w:pos="1155"/>
        </w:tabs>
        <w:spacing w:line="500" w:lineRule="exact"/>
        <w:ind w:left="0" w:firstLineChars="200" w:firstLine="560"/>
        <w:rPr>
          <w:sz w:val="28"/>
          <w:szCs w:val="28"/>
        </w:rPr>
      </w:pPr>
      <w:r w:rsidRPr="00123108">
        <w:rPr>
          <w:rFonts w:hint="eastAsia"/>
          <w:sz w:val="28"/>
          <w:szCs w:val="28"/>
        </w:rPr>
        <w:t>厂房内的管、沟应合理设置。如果厂房内设置管、沟且其盖板不严</w:t>
      </w:r>
      <w:r w:rsidRPr="00123108">
        <w:rPr>
          <w:rFonts w:hint="eastAsia"/>
          <w:sz w:val="28"/>
          <w:szCs w:val="28"/>
        </w:rPr>
        <w:lastRenderedPageBreak/>
        <w:t>密时，可燃气体、蒸气等可能在地沟内积聚，当厂房内存在火源（厂房内火源较易发生，如明火、地面摩擦、静电火花、电气火花、碰撞火花等）时，极易发生火灾、爆炸事故。若厂房内设置的管、沟如果与相邻厂房的管、沟相通时，火灾事故容易蔓延。如果管、沟直接排入下水道，则易燃液体、蒸气等可能进入下水道并在下水道内积聚，遇火源时容易发生火灾、爆炸事故。</w:t>
      </w:r>
    </w:p>
    <w:p w:rsidR="004F34D9" w:rsidRPr="00123108" w:rsidRDefault="004F34D9" w:rsidP="00D06780">
      <w:pPr>
        <w:pStyle w:val="2"/>
        <w:spacing w:line="500" w:lineRule="exact"/>
        <w:jc w:val="both"/>
        <w:rPr>
          <w:rFonts w:ascii="宋体" w:eastAsia="宋体" w:cs="宋体" w:hint="eastAsia"/>
          <w:sz w:val="28"/>
          <w:szCs w:val="28"/>
        </w:rPr>
      </w:pPr>
      <w:bookmarkStart w:id="1397" w:name="_Toc422337981"/>
      <w:bookmarkStart w:id="1398" w:name="_Toc469519404"/>
      <w:bookmarkStart w:id="1399" w:name="_Toc423335688"/>
      <w:bookmarkStart w:id="1400" w:name="_Toc423074304"/>
      <w:bookmarkStart w:id="1401" w:name="_Toc6663"/>
      <w:bookmarkStart w:id="1402" w:name="_Toc422384501"/>
      <w:bookmarkStart w:id="1403" w:name="_Toc780"/>
      <w:bookmarkStart w:id="1404" w:name="_Toc190935855"/>
      <w:r w:rsidRPr="00123108">
        <w:rPr>
          <w:rFonts w:ascii="宋体" w:eastAsia="宋体" w:cs="宋体" w:hint="eastAsia"/>
          <w:sz w:val="28"/>
          <w:szCs w:val="28"/>
        </w:rPr>
        <w:t>附件1.6  公用工程的危险有害因素分析</w:t>
      </w:r>
      <w:bookmarkEnd w:id="1396"/>
      <w:bookmarkEnd w:id="1397"/>
      <w:bookmarkEnd w:id="1398"/>
      <w:bookmarkEnd w:id="1399"/>
      <w:bookmarkEnd w:id="1400"/>
      <w:bookmarkEnd w:id="1401"/>
      <w:bookmarkEnd w:id="1402"/>
      <w:bookmarkEnd w:id="1403"/>
      <w:bookmarkEnd w:id="1404"/>
    </w:p>
    <w:p w:rsidR="004F34D9" w:rsidRPr="00123108" w:rsidRDefault="004F34D9" w:rsidP="00D06780">
      <w:pPr>
        <w:spacing w:line="500" w:lineRule="exact"/>
        <w:outlineLvl w:val="2"/>
        <w:rPr>
          <w:rFonts w:ascii="宋体" w:hAnsi="宋体" w:cs="宋体" w:hint="eastAsia"/>
          <w:b/>
          <w:bCs/>
          <w:sz w:val="28"/>
          <w:szCs w:val="28"/>
          <w:lang w:val="zh-CN"/>
        </w:rPr>
      </w:pPr>
      <w:bookmarkStart w:id="1405" w:name="_Toc469519405"/>
      <w:bookmarkStart w:id="1406" w:name="_Toc26738"/>
      <w:bookmarkStart w:id="1407" w:name="_Toc2227"/>
      <w:bookmarkStart w:id="1408" w:name="_Toc349747223"/>
      <w:bookmarkStart w:id="1409" w:name="_Toc326751842"/>
      <w:bookmarkStart w:id="1410" w:name="_Toc423074309"/>
      <w:bookmarkStart w:id="1411" w:name="_Toc422384506"/>
      <w:bookmarkStart w:id="1412" w:name="_Toc423335693"/>
      <w:bookmarkStart w:id="1413" w:name="_Toc349206867"/>
      <w:bookmarkStart w:id="1414" w:name="_Toc422337986"/>
      <w:bookmarkStart w:id="1415" w:name="_Toc323131567"/>
      <w:bookmarkStart w:id="1416" w:name="_Toc190935856"/>
      <w:r w:rsidRPr="00123108">
        <w:rPr>
          <w:rFonts w:ascii="宋体" w:hAnsi="宋体" w:cs="宋体" w:hint="eastAsia"/>
          <w:b/>
          <w:bCs/>
          <w:sz w:val="28"/>
          <w:szCs w:val="28"/>
          <w:lang w:val="zh-CN"/>
        </w:rPr>
        <w:t>附件</w:t>
      </w:r>
      <w:r w:rsidRPr="00123108">
        <w:rPr>
          <w:rFonts w:ascii="宋体" w:hAnsi="宋体" w:cs="宋体" w:hint="eastAsia"/>
          <w:b/>
          <w:bCs/>
          <w:sz w:val="28"/>
          <w:szCs w:val="28"/>
        </w:rPr>
        <w:t>1</w:t>
      </w:r>
      <w:r w:rsidRPr="00123108">
        <w:rPr>
          <w:rFonts w:ascii="宋体" w:hAnsi="宋体" w:cs="宋体" w:hint="eastAsia"/>
          <w:b/>
          <w:bCs/>
          <w:sz w:val="28"/>
          <w:szCs w:val="28"/>
          <w:lang w:val="zh-CN"/>
        </w:rPr>
        <w:t xml:space="preserve">.6.1 </w:t>
      </w:r>
      <w:r w:rsidRPr="00123108">
        <w:rPr>
          <w:rFonts w:ascii="宋体" w:hAnsi="宋体" w:cs="宋体" w:hint="eastAsia"/>
          <w:b/>
          <w:bCs/>
          <w:sz w:val="28"/>
          <w:szCs w:val="28"/>
        </w:rPr>
        <w:t xml:space="preserve"> </w:t>
      </w:r>
      <w:r w:rsidRPr="00123108">
        <w:rPr>
          <w:rFonts w:ascii="宋体" w:hAnsi="宋体" w:cs="宋体" w:hint="eastAsia"/>
          <w:b/>
          <w:bCs/>
          <w:sz w:val="28"/>
          <w:szCs w:val="28"/>
          <w:lang w:val="zh-CN"/>
        </w:rPr>
        <w:t>供电</w:t>
      </w:r>
      <w:bookmarkEnd w:id="1405"/>
      <w:bookmarkEnd w:id="1406"/>
      <w:bookmarkEnd w:id="1407"/>
      <w:bookmarkEnd w:id="1416"/>
    </w:p>
    <w:p w:rsidR="004F34D9" w:rsidRPr="00123108" w:rsidRDefault="004F34D9" w:rsidP="00D06780">
      <w:pPr>
        <w:spacing w:line="500" w:lineRule="exact"/>
        <w:ind w:firstLineChars="200" w:firstLine="560"/>
        <w:rPr>
          <w:rFonts w:ascii="宋体" w:hAnsi="宋体"/>
          <w:sz w:val="28"/>
          <w:szCs w:val="28"/>
        </w:rPr>
      </w:pPr>
      <w:r w:rsidRPr="00123108">
        <w:rPr>
          <w:rFonts w:ascii="宋体" w:hAnsi="宋体" w:hint="eastAsia"/>
          <w:sz w:val="28"/>
          <w:szCs w:val="28"/>
        </w:rPr>
        <w:t>变配电所是装置</w:t>
      </w:r>
      <w:r w:rsidRPr="00123108">
        <w:rPr>
          <w:rFonts w:ascii="宋体" w:hAnsi="宋体"/>
          <w:sz w:val="28"/>
          <w:szCs w:val="28"/>
        </w:rPr>
        <w:t>用电的枢纽，一方面，</w:t>
      </w:r>
      <w:r w:rsidRPr="00123108">
        <w:rPr>
          <w:rFonts w:ascii="宋体" w:hAnsi="宋体" w:hint="eastAsia"/>
          <w:sz w:val="28"/>
          <w:szCs w:val="28"/>
        </w:rPr>
        <w:t>变配电所</w:t>
      </w:r>
      <w:r w:rsidRPr="00123108">
        <w:rPr>
          <w:rFonts w:ascii="宋体" w:hAnsi="宋体"/>
          <w:sz w:val="28"/>
          <w:szCs w:val="28"/>
        </w:rPr>
        <w:t>发生事故，会导致各生产、辅助场所供电异常或突然停电，从而使生产、辅助场所发生安全事故。另一方面，</w:t>
      </w:r>
      <w:r w:rsidRPr="00123108">
        <w:rPr>
          <w:rFonts w:ascii="宋体" w:hAnsi="宋体" w:hint="eastAsia"/>
          <w:sz w:val="28"/>
          <w:szCs w:val="28"/>
        </w:rPr>
        <w:t>变配电所</w:t>
      </w:r>
      <w:r w:rsidRPr="00123108">
        <w:rPr>
          <w:rFonts w:ascii="宋体" w:hAnsi="宋体"/>
          <w:sz w:val="28"/>
          <w:szCs w:val="28"/>
        </w:rPr>
        <w:t>也存在发生电气火灾、触电等安全事故的危险。电气火灾主要由电气线路或装置绝缘损坏、短路、过载、电气火花引燃可燃物引起。触电主要由电气设施绝缘损坏、屏护不当或违章作业造成。</w:t>
      </w:r>
    </w:p>
    <w:p w:rsidR="004F34D9" w:rsidRPr="00123108" w:rsidRDefault="004F34D9" w:rsidP="00D06780">
      <w:pPr>
        <w:spacing w:line="500" w:lineRule="exact"/>
        <w:ind w:firstLineChars="200" w:firstLine="560"/>
        <w:rPr>
          <w:rFonts w:ascii="宋体" w:hAnsi="宋体"/>
          <w:sz w:val="28"/>
          <w:szCs w:val="28"/>
        </w:rPr>
      </w:pPr>
      <w:r w:rsidRPr="00123108">
        <w:rPr>
          <w:rFonts w:ascii="宋体" w:hAnsi="宋体" w:hint="eastAsia"/>
          <w:sz w:val="28"/>
          <w:szCs w:val="28"/>
        </w:rPr>
        <w:t>系统供电能力不足，未设置两路进线或未设置应急电源，在突发停电时容易造成生产系统正常生产中断，反应失控引发火灾、爆炸、中毒等一系列严重后果。</w:t>
      </w:r>
    </w:p>
    <w:p w:rsidR="004F34D9" w:rsidRPr="00123108" w:rsidRDefault="004F34D9" w:rsidP="00D06780">
      <w:pPr>
        <w:spacing w:line="500" w:lineRule="exact"/>
        <w:outlineLvl w:val="2"/>
        <w:rPr>
          <w:rFonts w:ascii="宋体" w:hAnsi="宋体" w:cs="宋体" w:hint="eastAsia"/>
          <w:b/>
          <w:bCs/>
          <w:sz w:val="28"/>
          <w:szCs w:val="28"/>
          <w:lang w:val="zh-CN"/>
        </w:rPr>
      </w:pPr>
      <w:bookmarkStart w:id="1417" w:name="_Toc10696"/>
      <w:bookmarkStart w:id="1418" w:name="_Toc469519406"/>
      <w:bookmarkStart w:id="1419" w:name="_Toc30375"/>
      <w:bookmarkStart w:id="1420" w:name="_Toc190935857"/>
      <w:r w:rsidRPr="00123108">
        <w:rPr>
          <w:rFonts w:ascii="宋体" w:hAnsi="宋体" w:cs="宋体" w:hint="eastAsia"/>
          <w:b/>
          <w:bCs/>
          <w:sz w:val="28"/>
          <w:szCs w:val="28"/>
          <w:lang w:val="zh-CN"/>
        </w:rPr>
        <w:t>附件</w:t>
      </w:r>
      <w:r w:rsidRPr="00123108">
        <w:rPr>
          <w:rFonts w:ascii="宋体" w:hAnsi="宋体" w:cs="宋体" w:hint="eastAsia"/>
          <w:b/>
          <w:bCs/>
          <w:sz w:val="28"/>
          <w:szCs w:val="28"/>
        </w:rPr>
        <w:t>1</w:t>
      </w:r>
      <w:r w:rsidRPr="00123108">
        <w:rPr>
          <w:rFonts w:ascii="宋体" w:hAnsi="宋体" w:cs="宋体" w:hint="eastAsia"/>
          <w:b/>
          <w:bCs/>
          <w:sz w:val="28"/>
          <w:szCs w:val="28"/>
          <w:lang w:val="zh-CN"/>
        </w:rPr>
        <w:t xml:space="preserve">.6.2 </w:t>
      </w:r>
      <w:r w:rsidRPr="00123108">
        <w:rPr>
          <w:rFonts w:ascii="宋体" w:hAnsi="宋体" w:cs="宋体" w:hint="eastAsia"/>
          <w:b/>
          <w:bCs/>
          <w:sz w:val="28"/>
          <w:szCs w:val="28"/>
        </w:rPr>
        <w:t xml:space="preserve"> </w:t>
      </w:r>
      <w:r w:rsidRPr="00123108">
        <w:rPr>
          <w:rFonts w:ascii="宋体" w:hAnsi="宋体" w:cs="宋体" w:hint="eastAsia"/>
          <w:b/>
          <w:bCs/>
          <w:sz w:val="28"/>
          <w:szCs w:val="28"/>
          <w:lang w:val="zh-CN"/>
        </w:rPr>
        <w:t>给排水</w:t>
      </w:r>
      <w:bookmarkEnd w:id="1417"/>
      <w:bookmarkEnd w:id="1418"/>
      <w:bookmarkEnd w:id="1419"/>
      <w:bookmarkEnd w:id="1420"/>
    </w:p>
    <w:p w:rsidR="004F34D9" w:rsidRPr="00123108" w:rsidRDefault="004F34D9" w:rsidP="00D06780">
      <w:pPr>
        <w:autoSpaceDE w:val="0"/>
        <w:autoSpaceDN w:val="0"/>
        <w:adjustRightInd w:val="0"/>
        <w:spacing w:line="500" w:lineRule="exact"/>
        <w:ind w:firstLineChars="200" w:firstLine="560"/>
        <w:jc w:val="left"/>
        <w:rPr>
          <w:rFonts w:ascii="宋体" w:hAnsi="宋体"/>
          <w:sz w:val="28"/>
          <w:szCs w:val="28"/>
        </w:rPr>
      </w:pPr>
      <w:r w:rsidRPr="00123108">
        <w:rPr>
          <w:rFonts w:ascii="宋体" w:hAnsi="宋体" w:hint="eastAsia"/>
          <w:sz w:val="28"/>
          <w:szCs w:val="28"/>
        </w:rPr>
        <w:t>保</w:t>
      </w:r>
      <w:r w:rsidRPr="00123108">
        <w:rPr>
          <w:rFonts w:ascii="宋体" w:hAnsi="宋体"/>
          <w:sz w:val="28"/>
          <w:szCs w:val="28"/>
        </w:rPr>
        <w:t>障工艺水、冷却水的正常供应是安全生产的重要前提条件，供水不正常，换热失效，将导致系统超温、超压或危险物质泄漏，从而引发火灾、爆炸、中毒和窒息、灼烫等重大事故。</w:t>
      </w:r>
    </w:p>
    <w:p w:rsidR="004F34D9" w:rsidRPr="00123108" w:rsidRDefault="004F34D9" w:rsidP="00D06780">
      <w:pPr>
        <w:spacing w:line="500" w:lineRule="exact"/>
        <w:ind w:firstLineChars="200" w:firstLine="560"/>
        <w:rPr>
          <w:rFonts w:ascii="宋体" w:hAnsi="宋体"/>
          <w:sz w:val="28"/>
          <w:szCs w:val="28"/>
        </w:rPr>
      </w:pPr>
      <w:r w:rsidRPr="00123108">
        <w:rPr>
          <w:rFonts w:ascii="宋体" w:hAnsi="宋体"/>
          <w:sz w:val="28"/>
          <w:szCs w:val="28"/>
        </w:rPr>
        <w:t>发生事故时，消防水不能及时有效地供应，初起火灾无法及时扑救，有关设备无法冷却，将导致事故蔓延扩大，造成严重后果。</w:t>
      </w:r>
    </w:p>
    <w:p w:rsidR="004F34D9" w:rsidRPr="00123108" w:rsidRDefault="004F34D9" w:rsidP="00D06780">
      <w:pPr>
        <w:spacing w:line="500" w:lineRule="exact"/>
        <w:ind w:firstLineChars="200" w:firstLine="560"/>
        <w:rPr>
          <w:rFonts w:ascii="宋体" w:hAnsi="宋体"/>
          <w:sz w:val="28"/>
          <w:szCs w:val="28"/>
        </w:rPr>
      </w:pPr>
      <w:r w:rsidRPr="00123108">
        <w:rPr>
          <w:rFonts w:ascii="宋体" w:hAnsi="宋体" w:hint="eastAsia"/>
          <w:sz w:val="28"/>
          <w:szCs w:val="28"/>
        </w:rPr>
        <w:t>本项目生产过程中需要使用易燃易爆，产生的工业污水中难以避免地混杂有易燃或有毒的物质，由于污水管网遍及厂区，在一定条件下，这些易燃液体或气体因气化在下水道系统和净化设施内与空气形成爆炸性混合物。可能会蔓延至整个厂区，导致大范围的火灾、爆炸事故。污水处理系统危险性辨识如下：</w:t>
      </w:r>
    </w:p>
    <w:p w:rsidR="004F34D9" w:rsidRPr="00123108" w:rsidRDefault="004F34D9" w:rsidP="00D06780">
      <w:pPr>
        <w:numPr>
          <w:ilvl w:val="0"/>
          <w:numId w:val="58"/>
        </w:numPr>
        <w:spacing w:line="500" w:lineRule="exact"/>
        <w:ind w:left="0" w:firstLineChars="200" w:firstLine="560"/>
        <w:rPr>
          <w:rFonts w:ascii="宋体" w:hAnsi="宋体"/>
          <w:sz w:val="28"/>
          <w:szCs w:val="28"/>
        </w:rPr>
      </w:pPr>
      <w:r w:rsidRPr="00123108">
        <w:rPr>
          <w:rFonts w:ascii="宋体" w:hAnsi="宋体"/>
          <w:sz w:val="28"/>
          <w:szCs w:val="28"/>
        </w:rPr>
        <w:t>储存、使用</w:t>
      </w:r>
      <w:r w:rsidRPr="00123108">
        <w:rPr>
          <w:rFonts w:ascii="宋体" w:hAnsi="宋体" w:hint="eastAsia"/>
          <w:sz w:val="28"/>
          <w:szCs w:val="28"/>
        </w:rPr>
        <w:t>可</w:t>
      </w:r>
      <w:r w:rsidRPr="00123108">
        <w:rPr>
          <w:rFonts w:ascii="宋体" w:hAnsi="宋体"/>
          <w:sz w:val="28"/>
          <w:szCs w:val="28"/>
        </w:rPr>
        <w:t>燃液体的场所的排水管沟未采取有效的阻隔措施，发生泄漏，尤其着火液体泄漏时，将会通过排水管沟蔓延至其它场所。</w:t>
      </w:r>
    </w:p>
    <w:p w:rsidR="004F34D9" w:rsidRPr="00123108" w:rsidRDefault="004F34D9" w:rsidP="00D06780">
      <w:pPr>
        <w:numPr>
          <w:ilvl w:val="0"/>
          <w:numId w:val="58"/>
        </w:numPr>
        <w:spacing w:line="500" w:lineRule="exact"/>
        <w:ind w:left="0" w:firstLineChars="200" w:firstLine="560"/>
        <w:rPr>
          <w:rFonts w:ascii="宋体" w:hAnsi="宋体"/>
          <w:sz w:val="28"/>
          <w:szCs w:val="28"/>
        </w:rPr>
      </w:pPr>
      <w:r w:rsidRPr="00123108">
        <w:rPr>
          <w:rFonts w:ascii="宋体" w:hAnsi="宋体"/>
          <w:sz w:val="28"/>
          <w:szCs w:val="28"/>
        </w:rPr>
        <w:lastRenderedPageBreak/>
        <w:t>工艺排水中带有易燃或有毒物质，或者因为泄漏，危险物质进入排水系统，可引发火灾、爆炸、中毒事故。</w:t>
      </w:r>
    </w:p>
    <w:p w:rsidR="004F34D9" w:rsidRPr="00123108" w:rsidRDefault="004F34D9" w:rsidP="00D06780">
      <w:pPr>
        <w:numPr>
          <w:ilvl w:val="0"/>
          <w:numId w:val="58"/>
        </w:numPr>
        <w:spacing w:line="500" w:lineRule="exact"/>
        <w:ind w:left="0" w:firstLineChars="200" w:firstLine="560"/>
        <w:rPr>
          <w:rFonts w:ascii="宋体" w:hAnsi="宋体"/>
          <w:sz w:val="28"/>
          <w:szCs w:val="28"/>
        </w:rPr>
      </w:pPr>
      <w:r w:rsidRPr="00123108">
        <w:rPr>
          <w:rFonts w:ascii="宋体" w:hAnsi="宋体" w:hint="eastAsia"/>
          <w:sz w:val="28"/>
          <w:szCs w:val="28"/>
        </w:rPr>
        <w:t>如生产设备系统的密闭性损坏或违反操作规程造成溢料时，泄漏的易燃、易爆的液体或气体常易</w:t>
      </w:r>
      <w:r w:rsidR="003D6E32" w:rsidRPr="00123108">
        <w:rPr>
          <w:rFonts w:ascii="宋体" w:hAnsi="宋体" w:hint="eastAsia"/>
          <w:sz w:val="28"/>
          <w:szCs w:val="28"/>
        </w:rPr>
        <w:t>混入污水而进入下水道系统</w:t>
      </w:r>
      <w:r w:rsidRPr="00123108">
        <w:rPr>
          <w:rFonts w:ascii="宋体" w:hAnsi="宋体" w:hint="eastAsia"/>
          <w:sz w:val="28"/>
          <w:szCs w:val="28"/>
        </w:rPr>
        <w:t>。</w:t>
      </w:r>
    </w:p>
    <w:p w:rsidR="004F34D9" w:rsidRPr="00123108" w:rsidRDefault="004F34D9" w:rsidP="00D06780">
      <w:pPr>
        <w:numPr>
          <w:ilvl w:val="0"/>
          <w:numId w:val="58"/>
        </w:numPr>
        <w:spacing w:line="500" w:lineRule="exact"/>
        <w:ind w:left="0" w:firstLineChars="200" w:firstLine="560"/>
        <w:rPr>
          <w:rFonts w:ascii="宋体" w:hAnsi="宋体"/>
          <w:sz w:val="28"/>
          <w:szCs w:val="28"/>
        </w:rPr>
      </w:pPr>
      <w:r w:rsidRPr="00123108">
        <w:rPr>
          <w:rFonts w:ascii="宋体" w:hAnsi="宋体" w:hint="eastAsia"/>
          <w:sz w:val="28"/>
          <w:szCs w:val="28"/>
        </w:rPr>
        <w:t>高温污水和蒸汽排入下水道，造成污水系统温度升高，可燃液体蒸发，形成爆炸性混合物。</w:t>
      </w:r>
    </w:p>
    <w:p w:rsidR="004F34D9" w:rsidRPr="00123108" w:rsidRDefault="004F34D9" w:rsidP="00D06780">
      <w:pPr>
        <w:numPr>
          <w:ilvl w:val="0"/>
          <w:numId w:val="58"/>
        </w:numPr>
        <w:spacing w:line="500" w:lineRule="exact"/>
        <w:ind w:left="0" w:firstLineChars="200" w:firstLine="560"/>
        <w:rPr>
          <w:rFonts w:ascii="宋体" w:hAnsi="宋体"/>
          <w:sz w:val="28"/>
          <w:szCs w:val="28"/>
        </w:rPr>
      </w:pPr>
      <w:r w:rsidRPr="00123108">
        <w:rPr>
          <w:rFonts w:ascii="宋体" w:hAnsi="宋体" w:hint="eastAsia"/>
          <w:sz w:val="28"/>
          <w:szCs w:val="28"/>
        </w:rPr>
        <w:t>洗涤、冲刷的污水，往往含有多种火灾危险性物质。这类污水也是下水道系统中形成蒸气（或气体）与空气的爆炸性混合物的来源。污水管道贯通整个企业区，发生的火灾或爆炸往往会沿着污水处理系统传播，导致连锁式的破坏。</w:t>
      </w:r>
    </w:p>
    <w:p w:rsidR="004F34D9" w:rsidRPr="00123108" w:rsidRDefault="004F34D9" w:rsidP="00D06780">
      <w:pPr>
        <w:numPr>
          <w:ilvl w:val="0"/>
          <w:numId w:val="58"/>
        </w:numPr>
        <w:spacing w:line="500" w:lineRule="exact"/>
        <w:ind w:left="0" w:firstLineChars="200" w:firstLine="560"/>
        <w:rPr>
          <w:rFonts w:ascii="宋体" w:hAnsi="宋体"/>
          <w:sz w:val="28"/>
          <w:szCs w:val="28"/>
        </w:rPr>
      </w:pPr>
      <w:r w:rsidRPr="00123108">
        <w:rPr>
          <w:rFonts w:ascii="宋体" w:hAnsi="宋体"/>
          <w:sz w:val="28"/>
          <w:szCs w:val="28"/>
        </w:rPr>
        <w:t>污水未得到有效处理，或者无消防扑救水储存设施，污水流入地表水体中，将导致严重的环保事故。</w:t>
      </w:r>
    </w:p>
    <w:p w:rsidR="004F34D9" w:rsidRPr="00123108" w:rsidRDefault="004F34D9" w:rsidP="00D06780">
      <w:pPr>
        <w:spacing w:line="500" w:lineRule="exact"/>
        <w:outlineLvl w:val="2"/>
        <w:rPr>
          <w:rFonts w:ascii="宋体" w:hAnsi="宋体" w:cs="宋体" w:hint="eastAsia"/>
          <w:b/>
          <w:bCs/>
          <w:sz w:val="28"/>
          <w:szCs w:val="28"/>
          <w:lang w:val="zh-CN"/>
        </w:rPr>
      </w:pPr>
      <w:bookmarkStart w:id="1421" w:name="_Toc469519407"/>
      <w:bookmarkStart w:id="1422" w:name="_Toc14234"/>
      <w:bookmarkStart w:id="1423" w:name="_Toc12574"/>
      <w:bookmarkStart w:id="1424" w:name="_Toc190935858"/>
      <w:r w:rsidRPr="00123108">
        <w:rPr>
          <w:rFonts w:ascii="宋体" w:hAnsi="宋体" w:cs="宋体" w:hint="eastAsia"/>
          <w:b/>
          <w:bCs/>
          <w:sz w:val="28"/>
          <w:szCs w:val="28"/>
          <w:lang w:val="zh-CN"/>
        </w:rPr>
        <w:t>附件</w:t>
      </w:r>
      <w:r w:rsidRPr="00123108">
        <w:rPr>
          <w:rFonts w:ascii="宋体" w:hAnsi="宋体" w:cs="宋体" w:hint="eastAsia"/>
          <w:b/>
          <w:bCs/>
          <w:sz w:val="28"/>
          <w:szCs w:val="28"/>
        </w:rPr>
        <w:t>1</w:t>
      </w:r>
      <w:r w:rsidRPr="00123108">
        <w:rPr>
          <w:rFonts w:ascii="宋体" w:hAnsi="宋体" w:cs="宋体" w:hint="eastAsia"/>
          <w:b/>
          <w:bCs/>
          <w:sz w:val="28"/>
          <w:szCs w:val="28"/>
          <w:lang w:val="zh-CN"/>
        </w:rPr>
        <w:t>.6.3</w:t>
      </w:r>
      <w:r w:rsidRPr="00123108">
        <w:rPr>
          <w:rFonts w:ascii="宋体" w:hAnsi="宋体" w:cs="宋体" w:hint="eastAsia"/>
          <w:b/>
          <w:bCs/>
          <w:sz w:val="28"/>
          <w:szCs w:val="28"/>
        </w:rPr>
        <w:t xml:space="preserve"> </w:t>
      </w:r>
      <w:r w:rsidRPr="00123108">
        <w:rPr>
          <w:rFonts w:ascii="宋体" w:hAnsi="宋体" w:cs="宋体" w:hint="eastAsia"/>
          <w:b/>
          <w:bCs/>
          <w:sz w:val="28"/>
          <w:szCs w:val="28"/>
          <w:lang w:val="zh-CN"/>
        </w:rPr>
        <w:t xml:space="preserve"> 供热</w:t>
      </w:r>
      <w:bookmarkEnd w:id="1421"/>
      <w:bookmarkEnd w:id="1422"/>
      <w:bookmarkEnd w:id="1423"/>
      <w:bookmarkEnd w:id="1424"/>
    </w:p>
    <w:p w:rsidR="004F34D9" w:rsidRPr="00123108" w:rsidRDefault="004F34D9" w:rsidP="00D06780">
      <w:pPr>
        <w:spacing w:line="500" w:lineRule="exact"/>
        <w:ind w:firstLineChars="200" w:firstLine="560"/>
        <w:rPr>
          <w:rFonts w:ascii="宋体" w:hAnsi="宋体"/>
          <w:sz w:val="28"/>
          <w:szCs w:val="28"/>
        </w:rPr>
      </w:pPr>
      <w:r w:rsidRPr="00123108">
        <w:rPr>
          <w:rFonts w:ascii="宋体" w:hAnsi="宋体"/>
          <w:sz w:val="28"/>
          <w:szCs w:val="28"/>
        </w:rPr>
        <w:t>蒸汽系统的管道属压力管道，如果设备、管道本身存在缺陷，不能承压；管道内表面被蒸汽冲刷严重，造成管壁减薄，强度失效；或因仪表失灵、安全泄压装置失灵、操作失误等，可使管道、容器超压，发生爆炸（裂）。因蒸汽与化学品相比，无易燃、有毒、腐蚀性等危险特性，企业一般易忽视其危险性，但蒸汽管道发生爆炸（裂）事故的情况近几年的确较多，所以，本项目不应忽视其危险性。若供热系统不稳定，容易造成反应失控，继而引发火灾爆炸等事故。</w:t>
      </w:r>
    </w:p>
    <w:p w:rsidR="004F34D9" w:rsidRPr="00123108" w:rsidRDefault="004F34D9" w:rsidP="00D06780">
      <w:pPr>
        <w:spacing w:line="500" w:lineRule="exact"/>
        <w:outlineLvl w:val="2"/>
        <w:rPr>
          <w:rFonts w:ascii="宋体" w:hAnsi="宋体" w:cs="宋体" w:hint="eastAsia"/>
          <w:b/>
          <w:bCs/>
          <w:sz w:val="28"/>
          <w:szCs w:val="28"/>
          <w:lang w:val="zh-CN"/>
        </w:rPr>
      </w:pPr>
      <w:bookmarkStart w:id="1425" w:name="_Toc6474"/>
      <w:bookmarkStart w:id="1426" w:name="_Toc469519408"/>
      <w:bookmarkStart w:id="1427" w:name="_Toc27198"/>
      <w:bookmarkStart w:id="1428" w:name="_Toc190935859"/>
      <w:r w:rsidRPr="00123108">
        <w:rPr>
          <w:rFonts w:ascii="宋体" w:hAnsi="宋体" w:cs="宋体" w:hint="eastAsia"/>
          <w:b/>
          <w:bCs/>
          <w:sz w:val="28"/>
          <w:szCs w:val="28"/>
          <w:lang w:val="zh-CN"/>
        </w:rPr>
        <w:t>附件</w:t>
      </w:r>
      <w:r w:rsidRPr="00123108">
        <w:rPr>
          <w:rFonts w:ascii="宋体" w:hAnsi="宋体" w:cs="宋体" w:hint="eastAsia"/>
          <w:b/>
          <w:bCs/>
          <w:sz w:val="28"/>
          <w:szCs w:val="28"/>
        </w:rPr>
        <w:t>1</w:t>
      </w:r>
      <w:r w:rsidRPr="00123108">
        <w:rPr>
          <w:rFonts w:ascii="宋体" w:hAnsi="宋体" w:cs="宋体" w:hint="eastAsia"/>
          <w:b/>
          <w:bCs/>
          <w:sz w:val="28"/>
          <w:szCs w:val="28"/>
          <w:lang w:val="zh-CN"/>
        </w:rPr>
        <w:t>.6.4</w:t>
      </w:r>
      <w:r w:rsidRPr="00123108">
        <w:rPr>
          <w:rFonts w:ascii="宋体" w:hAnsi="宋体" w:cs="宋体" w:hint="eastAsia"/>
          <w:b/>
          <w:bCs/>
          <w:sz w:val="28"/>
          <w:szCs w:val="28"/>
        </w:rPr>
        <w:t xml:space="preserve"> </w:t>
      </w:r>
      <w:r w:rsidRPr="00123108">
        <w:rPr>
          <w:rFonts w:ascii="宋体" w:hAnsi="宋体" w:cs="宋体" w:hint="eastAsia"/>
          <w:b/>
          <w:bCs/>
          <w:sz w:val="28"/>
          <w:szCs w:val="28"/>
          <w:lang w:val="zh-CN"/>
        </w:rPr>
        <w:t xml:space="preserve"> 压缩空气/氮气</w:t>
      </w:r>
      <w:bookmarkEnd w:id="1425"/>
      <w:bookmarkEnd w:id="1426"/>
      <w:bookmarkEnd w:id="1427"/>
      <w:bookmarkEnd w:id="1428"/>
    </w:p>
    <w:p w:rsidR="004F34D9" w:rsidRPr="00123108" w:rsidRDefault="004F34D9" w:rsidP="00D06780">
      <w:pPr>
        <w:spacing w:line="500" w:lineRule="exact"/>
        <w:ind w:firstLineChars="200" w:firstLine="560"/>
        <w:rPr>
          <w:rFonts w:ascii="宋体" w:hAnsi="宋体"/>
          <w:sz w:val="28"/>
          <w:szCs w:val="28"/>
        </w:rPr>
      </w:pPr>
      <w:bookmarkStart w:id="1429" w:name="_Toc469519409"/>
      <w:bookmarkStart w:id="1430" w:name="_Toc2373"/>
      <w:r w:rsidRPr="00123108">
        <w:rPr>
          <w:rFonts w:ascii="宋体" w:hAnsi="宋体"/>
          <w:sz w:val="28"/>
          <w:szCs w:val="28"/>
        </w:rPr>
        <w:t>生产装置采用自动控制系统，供气安全十分重要，尤其是气动阀之类的自动控制阀，如果供气不能保证，就可能导致阀门该开时打不开，该关时关不上，使自动控制失灵，发生安全事故。</w:t>
      </w:r>
    </w:p>
    <w:p w:rsidR="004F34D9" w:rsidRPr="00123108" w:rsidRDefault="004F34D9" w:rsidP="00D06780">
      <w:pPr>
        <w:spacing w:line="500" w:lineRule="exact"/>
        <w:outlineLvl w:val="2"/>
        <w:rPr>
          <w:rFonts w:ascii="宋体" w:hAnsi="宋体" w:cs="宋体" w:hint="eastAsia"/>
          <w:b/>
          <w:bCs/>
          <w:sz w:val="28"/>
          <w:szCs w:val="28"/>
          <w:lang w:val="zh-CN"/>
        </w:rPr>
      </w:pPr>
      <w:bookmarkStart w:id="1431" w:name="_Toc264"/>
      <w:bookmarkStart w:id="1432" w:name="_Toc469519410"/>
      <w:bookmarkStart w:id="1433" w:name="_Toc32101"/>
      <w:bookmarkStart w:id="1434" w:name="_Toc190935860"/>
      <w:bookmarkEnd w:id="1429"/>
      <w:bookmarkEnd w:id="1430"/>
      <w:r w:rsidRPr="00123108">
        <w:rPr>
          <w:rFonts w:ascii="宋体" w:hAnsi="宋体" w:cs="宋体" w:hint="eastAsia"/>
          <w:b/>
          <w:bCs/>
          <w:sz w:val="28"/>
          <w:szCs w:val="28"/>
          <w:lang w:val="zh-CN"/>
        </w:rPr>
        <w:t>附件</w:t>
      </w:r>
      <w:r w:rsidRPr="00123108">
        <w:rPr>
          <w:rFonts w:ascii="宋体" w:hAnsi="宋体" w:cs="宋体" w:hint="eastAsia"/>
          <w:b/>
          <w:bCs/>
          <w:sz w:val="28"/>
          <w:szCs w:val="28"/>
        </w:rPr>
        <w:t>1</w:t>
      </w:r>
      <w:r w:rsidRPr="00123108">
        <w:rPr>
          <w:rFonts w:ascii="宋体" w:hAnsi="宋体" w:cs="宋体" w:hint="eastAsia"/>
          <w:b/>
          <w:bCs/>
          <w:sz w:val="28"/>
          <w:szCs w:val="28"/>
          <w:lang w:val="zh-CN"/>
        </w:rPr>
        <w:t xml:space="preserve">.6.5 </w:t>
      </w:r>
      <w:r w:rsidRPr="00123108">
        <w:rPr>
          <w:rFonts w:ascii="宋体" w:hAnsi="宋体" w:cs="宋体" w:hint="eastAsia"/>
          <w:b/>
          <w:bCs/>
          <w:sz w:val="28"/>
          <w:szCs w:val="28"/>
        </w:rPr>
        <w:t xml:space="preserve"> </w:t>
      </w:r>
      <w:bookmarkEnd w:id="1433"/>
      <w:r w:rsidRPr="00123108">
        <w:rPr>
          <w:rFonts w:ascii="宋体" w:hAnsi="宋体" w:cs="宋体" w:hint="eastAsia"/>
          <w:b/>
          <w:bCs/>
          <w:sz w:val="28"/>
          <w:szCs w:val="28"/>
          <w:lang w:val="zh-CN"/>
        </w:rPr>
        <w:t>RTO</w:t>
      </w:r>
      <w:bookmarkEnd w:id="1434"/>
    </w:p>
    <w:p w:rsidR="004F34D9" w:rsidRPr="00123108" w:rsidRDefault="004F34D9" w:rsidP="00D06780">
      <w:pPr>
        <w:spacing w:line="500" w:lineRule="exact"/>
        <w:ind w:firstLine="560"/>
        <w:rPr>
          <w:rFonts w:ascii="宋体" w:hAnsi="宋体" w:cs="宋体" w:hint="eastAsia"/>
          <w:sz w:val="28"/>
          <w:szCs w:val="28"/>
        </w:rPr>
      </w:pPr>
      <w:r w:rsidRPr="00123108">
        <w:rPr>
          <w:rFonts w:ascii="宋体" w:hAnsi="宋体" w:cs="宋体" w:hint="eastAsia"/>
          <w:sz w:val="28"/>
          <w:szCs w:val="28"/>
        </w:rPr>
        <w:t>新桥化工配备有RTO废气回收处理设施，用以处理生产装置在正常生产、事故、开停车及紧急状况下排放的可燃性气体，以保护设备和人身安全。</w:t>
      </w:r>
    </w:p>
    <w:p w:rsidR="004F34D9" w:rsidRPr="00123108" w:rsidRDefault="004F34D9" w:rsidP="00D06780">
      <w:pPr>
        <w:snapToGrid w:val="0"/>
        <w:spacing w:line="500" w:lineRule="exact"/>
        <w:ind w:firstLineChars="202" w:firstLine="566"/>
        <w:rPr>
          <w:rFonts w:ascii="宋体" w:hAnsi="宋体" w:cs="宋体" w:hint="eastAsia"/>
          <w:kern w:val="0"/>
          <w:sz w:val="28"/>
          <w:szCs w:val="28"/>
        </w:rPr>
      </w:pPr>
      <w:r w:rsidRPr="00123108">
        <w:rPr>
          <w:rFonts w:ascii="宋体" w:hAnsi="宋体" w:cs="宋体" w:hint="eastAsia"/>
          <w:kern w:val="0"/>
          <w:sz w:val="28"/>
          <w:szCs w:val="28"/>
        </w:rPr>
        <w:t>若绝大部分是反应釜冲料，以及反应釜、储罐的气体等</w:t>
      </w:r>
      <w:r w:rsidRPr="00123108">
        <w:rPr>
          <w:rFonts w:ascii="宋体" w:hAnsi="宋体" w:cs="宋体" w:hint="eastAsia"/>
          <w:kern w:val="0"/>
          <w:sz w:val="28"/>
          <w:szCs w:val="28"/>
          <w:lang w:eastAsia="zh-Hans"/>
        </w:rPr>
        <w:t>未经冷凝或</w:t>
      </w:r>
      <w:r w:rsidRPr="00123108">
        <w:rPr>
          <w:rFonts w:ascii="宋体" w:hAnsi="宋体" w:cs="宋体" w:hint="eastAsia"/>
          <w:kern w:val="0"/>
          <w:sz w:val="28"/>
          <w:szCs w:val="28"/>
        </w:rPr>
        <w:t>冷凝</w:t>
      </w:r>
      <w:r w:rsidRPr="00123108">
        <w:rPr>
          <w:rFonts w:ascii="宋体" w:hAnsi="宋体" w:cs="宋体" w:hint="eastAsia"/>
          <w:kern w:val="0"/>
          <w:sz w:val="28"/>
          <w:szCs w:val="28"/>
        </w:rPr>
        <w:lastRenderedPageBreak/>
        <w:t>器故障或冷凝能力不足所产生的高浓度废气，若进入</w:t>
      </w:r>
      <w:r w:rsidRPr="00123108">
        <w:rPr>
          <w:rFonts w:ascii="宋体" w:hAnsi="宋体" w:cs="宋体" w:hint="eastAsia"/>
          <w:kern w:val="0"/>
          <w:sz w:val="28"/>
          <w:szCs w:val="28"/>
          <w:lang w:eastAsia="zh-Hans"/>
        </w:rPr>
        <w:t>废气管网内废气达到</w:t>
      </w:r>
      <w:r w:rsidRPr="00123108">
        <w:rPr>
          <w:rFonts w:ascii="宋体" w:hAnsi="宋体" w:cs="宋体" w:hint="eastAsia"/>
          <w:kern w:val="0"/>
          <w:sz w:val="28"/>
          <w:szCs w:val="28"/>
        </w:rPr>
        <w:t>爆炸</w:t>
      </w:r>
      <w:r w:rsidRPr="00123108">
        <w:rPr>
          <w:rFonts w:ascii="宋体" w:hAnsi="宋体" w:cs="宋体" w:hint="eastAsia"/>
          <w:kern w:val="0"/>
          <w:sz w:val="28"/>
          <w:szCs w:val="28"/>
          <w:lang w:eastAsia="zh-Hans"/>
        </w:rPr>
        <w:t>极限</w:t>
      </w:r>
      <w:r w:rsidRPr="00123108">
        <w:rPr>
          <w:rFonts w:ascii="宋体" w:hAnsi="宋体" w:cs="宋体" w:hint="eastAsia"/>
          <w:kern w:val="0"/>
          <w:sz w:val="28"/>
          <w:szCs w:val="28"/>
        </w:rPr>
        <w:t>，遇静电（管道静电和抽风机橡胶连接件静电）或RTO等炉膛明火产生气体爆炸。</w:t>
      </w:r>
    </w:p>
    <w:p w:rsidR="004F34D9" w:rsidRPr="00123108" w:rsidRDefault="004F34D9" w:rsidP="00D06780">
      <w:pPr>
        <w:spacing w:line="500" w:lineRule="exact"/>
        <w:outlineLvl w:val="2"/>
        <w:rPr>
          <w:rFonts w:ascii="宋体" w:hAnsi="宋体" w:cs="宋体" w:hint="eastAsia"/>
          <w:b/>
          <w:bCs/>
          <w:sz w:val="28"/>
          <w:szCs w:val="28"/>
          <w:lang w:val="zh-CN"/>
        </w:rPr>
      </w:pPr>
      <w:bookmarkStart w:id="1435" w:name="_Toc25339"/>
      <w:bookmarkStart w:id="1436" w:name="_Toc190935861"/>
      <w:r w:rsidRPr="00123108">
        <w:rPr>
          <w:rFonts w:ascii="宋体" w:hAnsi="宋体" w:cs="宋体" w:hint="eastAsia"/>
          <w:b/>
          <w:bCs/>
          <w:sz w:val="28"/>
          <w:szCs w:val="28"/>
          <w:lang w:val="zh-CN"/>
        </w:rPr>
        <w:t>附件</w:t>
      </w:r>
      <w:r w:rsidRPr="00123108">
        <w:rPr>
          <w:rFonts w:ascii="宋体" w:hAnsi="宋体" w:cs="宋体" w:hint="eastAsia"/>
          <w:b/>
          <w:bCs/>
          <w:sz w:val="28"/>
          <w:szCs w:val="28"/>
        </w:rPr>
        <w:t>1</w:t>
      </w:r>
      <w:r w:rsidRPr="00123108">
        <w:rPr>
          <w:rFonts w:ascii="宋体" w:hAnsi="宋体" w:cs="宋体" w:hint="eastAsia"/>
          <w:b/>
          <w:bCs/>
          <w:sz w:val="28"/>
          <w:szCs w:val="28"/>
          <w:lang w:val="zh-CN"/>
        </w:rPr>
        <w:t>.6.6</w:t>
      </w:r>
      <w:r w:rsidRPr="00123108">
        <w:rPr>
          <w:rFonts w:ascii="宋体" w:hAnsi="宋体" w:cs="宋体" w:hint="eastAsia"/>
          <w:b/>
          <w:bCs/>
          <w:sz w:val="28"/>
          <w:szCs w:val="28"/>
        </w:rPr>
        <w:t xml:space="preserve">  </w:t>
      </w:r>
      <w:r w:rsidRPr="00123108">
        <w:rPr>
          <w:rFonts w:ascii="宋体" w:hAnsi="宋体" w:cs="宋体" w:hint="eastAsia"/>
          <w:b/>
          <w:bCs/>
          <w:sz w:val="28"/>
          <w:szCs w:val="28"/>
          <w:lang w:val="zh-CN"/>
        </w:rPr>
        <w:t>三废处理</w:t>
      </w:r>
      <w:bookmarkEnd w:id="1431"/>
      <w:bookmarkEnd w:id="1432"/>
      <w:bookmarkEnd w:id="1435"/>
      <w:bookmarkEnd w:id="1436"/>
    </w:p>
    <w:p w:rsidR="004F34D9" w:rsidRPr="00123108" w:rsidRDefault="004F34D9" w:rsidP="00D06780">
      <w:pPr>
        <w:tabs>
          <w:tab w:val="left" w:pos="0"/>
        </w:tabs>
        <w:adjustRightInd w:val="0"/>
        <w:snapToGrid w:val="0"/>
        <w:spacing w:line="500" w:lineRule="exact"/>
        <w:ind w:firstLineChars="200" w:firstLine="560"/>
        <w:rPr>
          <w:rFonts w:ascii="宋体" w:hAnsi="宋体" w:cs="宋体"/>
          <w:sz w:val="28"/>
          <w:szCs w:val="28"/>
        </w:rPr>
      </w:pPr>
      <w:r w:rsidRPr="00123108">
        <w:rPr>
          <w:rFonts w:ascii="宋体" w:hAnsi="宋体" w:cs="宋体" w:hint="eastAsia"/>
          <w:sz w:val="28"/>
          <w:szCs w:val="28"/>
        </w:rPr>
        <w:t>（1）生产过程不可避免会产生废水，废气、废渣。三废产物一般为易燃、易爆、有毒，若处理不当，会引起火灾、中毒危险、危害外，同时也会对环境造成严重污染。</w:t>
      </w:r>
    </w:p>
    <w:p w:rsidR="004F34D9" w:rsidRPr="00123108" w:rsidRDefault="004F34D9" w:rsidP="00D06780">
      <w:pPr>
        <w:tabs>
          <w:tab w:val="left" w:pos="0"/>
        </w:tabs>
        <w:adjustRightInd w:val="0"/>
        <w:snapToGrid w:val="0"/>
        <w:spacing w:line="500" w:lineRule="exact"/>
        <w:ind w:firstLineChars="200" w:firstLine="560"/>
        <w:rPr>
          <w:rFonts w:ascii="宋体" w:hAnsi="宋体" w:cs="宋体"/>
          <w:sz w:val="28"/>
          <w:szCs w:val="28"/>
        </w:rPr>
      </w:pPr>
      <w:r w:rsidRPr="00123108">
        <w:rPr>
          <w:rFonts w:ascii="宋体" w:hAnsi="宋体" w:cs="宋体" w:hint="eastAsia"/>
          <w:sz w:val="28"/>
          <w:szCs w:val="28"/>
        </w:rPr>
        <w:t>（2）</w:t>
      </w:r>
      <w:r w:rsidR="003D6E32" w:rsidRPr="00123108">
        <w:rPr>
          <w:rFonts w:ascii="宋体" w:hAnsi="宋体" w:cs="宋体" w:hint="eastAsia"/>
          <w:sz w:val="28"/>
          <w:szCs w:val="28"/>
        </w:rPr>
        <w:t>由于生产过程涉及的主要物料属于易燃</w:t>
      </w:r>
      <w:r w:rsidRPr="00123108">
        <w:rPr>
          <w:rFonts w:ascii="宋体" w:hAnsi="宋体" w:cs="宋体" w:hint="eastAsia"/>
          <w:sz w:val="28"/>
          <w:szCs w:val="28"/>
        </w:rPr>
        <w:t>、易爆、有毒、有腐蚀性，因此各生产装置在反应过程中产生的废气也为易燃、易爆、有毒、有腐蚀窒息性气体，产生的废气如无组织排放或没有按规范要求设置气体吸收装置等都易对环境造成一定的污染，对人体造成一定的毒害。生产过程中涉及的可燃气体在电缆沟或污水排放系统中积聚，遇火源极易引发火灾、爆炸的危险。若未设置尾气处理装置或未正常运作，一旦发生泄漏，容易引发人员中毒等事故。</w:t>
      </w:r>
    </w:p>
    <w:p w:rsidR="004F34D9" w:rsidRPr="00123108" w:rsidRDefault="004F34D9" w:rsidP="00D06780">
      <w:pPr>
        <w:tabs>
          <w:tab w:val="left" w:pos="0"/>
        </w:tabs>
        <w:adjustRightInd w:val="0"/>
        <w:snapToGrid w:val="0"/>
        <w:spacing w:line="500" w:lineRule="exact"/>
        <w:ind w:firstLineChars="200" w:firstLine="560"/>
        <w:rPr>
          <w:rFonts w:ascii="宋体" w:hAnsi="宋体" w:cs="宋体"/>
          <w:sz w:val="28"/>
          <w:szCs w:val="28"/>
        </w:rPr>
      </w:pPr>
      <w:r w:rsidRPr="00123108">
        <w:rPr>
          <w:rFonts w:ascii="宋体" w:hAnsi="宋体" w:cs="宋体" w:hint="eastAsia"/>
          <w:sz w:val="28"/>
          <w:szCs w:val="28"/>
        </w:rPr>
        <w:t>（3）废渣中含有有毒有害及易燃易爆物质，若未委托有资质单位进行处理，容易引发人员中毒、火灾爆炸等事故。</w:t>
      </w:r>
    </w:p>
    <w:p w:rsidR="004F34D9" w:rsidRPr="00123108" w:rsidRDefault="004F34D9" w:rsidP="00D06780">
      <w:pPr>
        <w:pStyle w:val="2"/>
        <w:spacing w:line="500" w:lineRule="exact"/>
        <w:jc w:val="both"/>
        <w:rPr>
          <w:rFonts w:ascii="宋体" w:eastAsia="宋体" w:cs="宋体" w:hint="eastAsia"/>
          <w:sz w:val="28"/>
          <w:szCs w:val="28"/>
        </w:rPr>
      </w:pPr>
      <w:bookmarkStart w:id="1437" w:name="_Toc469519411"/>
      <w:bookmarkStart w:id="1438" w:name="_Toc28199"/>
      <w:bookmarkStart w:id="1439" w:name="_Toc471"/>
      <w:bookmarkStart w:id="1440" w:name="_Toc190935862"/>
      <w:r w:rsidRPr="00123108">
        <w:rPr>
          <w:rFonts w:ascii="宋体" w:eastAsia="宋体" w:cs="宋体" w:hint="eastAsia"/>
          <w:sz w:val="28"/>
          <w:szCs w:val="28"/>
        </w:rPr>
        <w:t>附件1.7 心理、生理性和行为性危险、有害因素</w:t>
      </w:r>
      <w:bookmarkEnd w:id="1408"/>
      <w:bookmarkEnd w:id="1409"/>
      <w:bookmarkEnd w:id="1410"/>
      <w:bookmarkEnd w:id="1411"/>
      <w:bookmarkEnd w:id="1412"/>
      <w:bookmarkEnd w:id="1413"/>
      <w:bookmarkEnd w:id="1414"/>
      <w:bookmarkEnd w:id="1415"/>
      <w:bookmarkEnd w:id="1437"/>
      <w:bookmarkEnd w:id="1438"/>
      <w:bookmarkEnd w:id="1439"/>
      <w:bookmarkEnd w:id="1440"/>
    </w:p>
    <w:p w:rsidR="004F34D9" w:rsidRPr="00123108" w:rsidRDefault="004F34D9" w:rsidP="00D06780">
      <w:pPr>
        <w:tabs>
          <w:tab w:val="left" w:pos="0"/>
        </w:tabs>
        <w:adjustRightInd w:val="0"/>
        <w:snapToGrid w:val="0"/>
        <w:spacing w:line="500" w:lineRule="exact"/>
        <w:ind w:firstLineChars="200" w:firstLine="560"/>
        <w:rPr>
          <w:rFonts w:ascii="宋体" w:hAnsi="宋体" w:cs="宋体"/>
          <w:b/>
          <w:sz w:val="28"/>
          <w:szCs w:val="28"/>
        </w:rPr>
      </w:pPr>
      <w:r w:rsidRPr="00123108">
        <w:rPr>
          <w:rFonts w:ascii="宋体" w:hAnsi="宋体" w:cs="宋体" w:hint="eastAsia"/>
          <w:sz w:val="28"/>
          <w:szCs w:val="28"/>
        </w:rPr>
        <w:t>由于不正确的工作态度、技能或知识不足、健康或生理状态不佳和劳动条件（设施条件、工作环境、劳动强度和工作时间）影响等造成的不安全行为容易引起事故。人的心理、生理状态和人的行为主要危险、有害因素见附表1.7-1。</w:t>
      </w:r>
    </w:p>
    <w:p w:rsidR="004F34D9" w:rsidRPr="00123108" w:rsidRDefault="004F34D9" w:rsidP="00D06780">
      <w:pPr>
        <w:snapToGrid w:val="0"/>
        <w:spacing w:line="500" w:lineRule="exact"/>
        <w:jc w:val="center"/>
        <w:rPr>
          <w:rFonts w:ascii="黑体" w:eastAsia="黑体" w:hAnsi="黑体" w:cs="宋体"/>
          <w:b/>
          <w:sz w:val="28"/>
          <w:szCs w:val="28"/>
        </w:rPr>
      </w:pPr>
      <w:bookmarkStart w:id="1441" w:name="_Toc28866"/>
      <w:r w:rsidRPr="00123108">
        <w:rPr>
          <w:rFonts w:ascii="黑体" w:eastAsia="黑体" w:hAnsi="黑体" w:cs="宋体" w:hint="eastAsia"/>
          <w:b/>
          <w:sz w:val="28"/>
          <w:szCs w:val="28"/>
        </w:rPr>
        <w:t>附表</w:t>
      </w:r>
      <w:r w:rsidRPr="00123108">
        <w:rPr>
          <w:rFonts w:ascii="黑体" w:eastAsia="黑体" w:hAnsi="黑体" w:cs="宋体" w:hint="eastAsia"/>
          <w:b/>
          <w:bCs/>
          <w:sz w:val="28"/>
          <w:szCs w:val="32"/>
        </w:rPr>
        <w:t xml:space="preserve">1.7-1  </w:t>
      </w:r>
      <w:r w:rsidRPr="00123108">
        <w:rPr>
          <w:rFonts w:ascii="黑体" w:eastAsia="黑体" w:hAnsi="黑体" w:cs="宋体" w:hint="eastAsia"/>
          <w:b/>
          <w:sz w:val="28"/>
          <w:szCs w:val="28"/>
        </w:rPr>
        <w:t>心理、生理性和行为性危险、有害因素主要分类</w:t>
      </w:r>
      <w:bookmarkEnd w:id="1441"/>
    </w:p>
    <w:tbl>
      <w:tblPr>
        <w:tblW w:w="917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4"/>
        <w:gridCol w:w="5032"/>
        <w:gridCol w:w="2888"/>
      </w:tblGrid>
      <w:tr w:rsidR="004F34D9" w:rsidRPr="00123108">
        <w:tc>
          <w:tcPr>
            <w:tcW w:w="1254" w:type="dxa"/>
            <w:vAlign w:val="center"/>
          </w:tcPr>
          <w:p w:rsidR="004F34D9" w:rsidRPr="00123108" w:rsidRDefault="004F34D9">
            <w:pPr>
              <w:spacing w:line="320" w:lineRule="exact"/>
              <w:jc w:val="center"/>
              <w:rPr>
                <w:rFonts w:ascii="宋体" w:hAnsi="宋体" w:cs="宋体"/>
                <w:szCs w:val="21"/>
              </w:rPr>
            </w:pPr>
            <w:r w:rsidRPr="00123108">
              <w:rPr>
                <w:rFonts w:ascii="宋体" w:hAnsi="宋体" w:cs="宋体" w:hint="eastAsia"/>
                <w:szCs w:val="21"/>
              </w:rPr>
              <w:t>危险有害因素</w:t>
            </w:r>
          </w:p>
        </w:tc>
        <w:tc>
          <w:tcPr>
            <w:tcW w:w="5032" w:type="dxa"/>
            <w:vAlign w:val="center"/>
          </w:tcPr>
          <w:p w:rsidR="004F34D9" w:rsidRPr="00123108" w:rsidRDefault="004F34D9">
            <w:pPr>
              <w:spacing w:line="320" w:lineRule="exact"/>
              <w:jc w:val="center"/>
              <w:rPr>
                <w:rFonts w:ascii="宋体" w:hAnsi="宋体" w:cs="宋体"/>
                <w:szCs w:val="21"/>
              </w:rPr>
            </w:pPr>
            <w:r w:rsidRPr="00123108">
              <w:rPr>
                <w:rFonts w:ascii="宋体" w:hAnsi="宋体" w:cs="宋体" w:hint="eastAsia"/>
                <w:szCs w:val="21"/>
              </w:rPr>
              <w:t>主要分类</w:t>
            </w:r>
          </w:p>
        </w:tc>
        <w:tc>
          <w:tcPr>
            <w:tcW w:w="2888" w:type="dxa"/>
            <w:vAlign w:val="center"/>
          </w:tcPr>
          <w:p w:rsidR="004F34D9" w:rsidRPr="00123108" w:rsidRDefault="004F34D9">
            <w:pPr>
              <w:spacing w:line="320" w:lineRule="exact"/>
              <w:jc w:val="center"/>
              <w:rPr>
                <w:rFonts w:ascii="宋体" w:hAnsi="宋体" w:cs="宋体"/>
                <w:szCs w:val="21"/>
              </w:rPr>
            </w:pPr>
            <w:r w:rsidRPr="00123108">
              <w:rPr>
                <w:rFonts w:ascii="宋体" w:hAnsi="宋体" w:cs="宋体" w:hint="eastAsia"/>
                <w:szCs w:val="21"/>
              </w:rPr>
              <w:t>体现及造成后果</w:t>
            </w:r>
          </w:p>
        </w:tc>
      </w:tr>
      <w:tr w:rsidR="004F34D9" w:rsidRPr="00123108">
        <w:tc>
          <w:tcPr>
            <w:tcW w:w="1254" w:type="dxa"/>
            <w:vAlign w:val="center"/>
          </w:tcPr>
          <w:p w:rsidR="004F34D9" w:rsidRPr="00123108" w:rsidRDefault="004F34D9">
            <w:pPr>
              <w:spacing w:line="320" w:lineRule="exact"/>
              <w:jc w:val="center"/>
              <w:rPr>
                <w:rFonts w:ascii="宋体" w:hAnsi="宋体" w:cs="宋体"/>
                <w:szCs w:val="21"/>
              </w:rPr>
            </w:pPr>
            <w:r w:rsidRPr="00123108">
              <w:rPr>
                <w:rFonts w:ascii="宋体" w:hAnsi="宋体" w:cs="宋体" w:hint="eastAsia"/>
                <w:szCs w:val="21"/>
              </w:rPr>
              <w:t>心理、生理性危险和有害因素</w:t>
            </w:r>
          </w:p>
        </w:tc>
        <w:tc>
          <w:tcPr>
            <w:tcW w:w="5032" w:type="dxa"/>
            <w:vAlign w:val="center"/>
          </w:tcPr>
          <w:p w:rsidR="004F34D9" w:rsidRPr="00123108" w:rsidRDefault="004F34D9">
            <w:pPr>
              <w:numPr>
                <w:ilvl w:val="0"/>
                <w:numId w:val="59"/>
              </w:numPr>
              <w:tabs>
                <w:tab w:val="clear" w:pos="435"/>
                <w:tab w:val="left" w:pos="252"/>
              </w:tabs>
              <w:spacing w:line="320" w:lineRule="exact"/>
              <w:ind w:left="0" w:firstLine="0"/>
              <w:rPr>
                <w:rFonts w:ascii="宋体" w:hAnsi="宋体" w:cs="宋体"/>
                <w:szCs w:val="21"/>
              </w:rPr>
            </w:pPr>
            <w:r w:rsidRPr="00123108">
              <w:rPr>
                <w:rFonts w:ascii="宋体" w:hAnsi="宋体" w:cs="宋体" w:hint="eastAsia"/>
                <w:szCs w:val="21"/>
              </w:rPr>
              <w:t>负荷超限（包括体力负荷、听力负荷、视力负荷、心理负荷等）健康状况作业；</w:t>
            </w:r>
          </w:p>
          <w:p w:rsidR="004F34D9" w:rsidRPr="00123108" w:rsidRDefault="004F34D9">
            <w:pPr>
              <w:tabs>
                <w:tab w:val="left" w:pos="72"/>
                <w:tab w:val="left" w:pos="432"/>
              </w:tabs>
              <w:spacing w:line="320" w:lineRule="exact"/>
              <w:ind w:left="75"/>
              <w:rPr>
                <w:rFonts w:ascii="宋体" w:hAnsi="宋体" w:cs="宋体"/>
                <w:szCs w:val="21"/>
              </w:rPr>
            </w:pPr>
            <w:r w:rsidRPr="00123108">
              <w:rPr>
                <w:rFonts w:ascii="宋体" w:hAnsi="宋体" w:cs="宋体" w:hint="eastAsia"/>
                <w:szCs w:val="21"/>
              </w:rPr>
              <w:t>2.从事禁忌作业</w:t>
            </w:r>
          </w:p>
          <w:p w:rsidR="004F34D9" w:rsidRPr="00123108" w:rsidRDefault="004F34D9">
            <w:pPr>
              <w:tabs>
                <w:tab w:val="left" w:pos="72"/>
                <w:tab w:val="left" w:pos="432"/>
              </w:tabs>
              <w:spacing w:line="320" w:lineRule="exact"/>
              <w:ind w:left="75"/>
              <w:rPr>
                <w:rFonts w:ascii="宋体" w:hAnsi="宋体" w:cs="宋体"/>
                <w:szCs w:val="21"/>
              </w:rPr>
            </w:pPr>
            <w:r w:rsidRPr="00123108">
              <w:rPr>
                <w:rFonts w:ascii="宋体" w:hAnsi="宋体" w:cs="宋体" w:hint="eastAsia"/>
                <w:szCs w:val="21"/>
              </w:rPr>
              <w:t>3.心理异常（包括情绪异常、冒险心理、过度紧其他心理异常）</w:t>
            </w:r>
          </w:p>
          <w:p w:rsidR="004F34D9" w:rsidRPr="00123108" w:rsidRDefault="004F34D9">
            <w:pPr>
              <w:tabs>
                <w:tab w:val="left" w:pos="72"/>
                <w:tab w:val="left" w:pos="432"/>
              </w:tabs>
              <w:spacing w:line="320" w:lineRule="exact"/>
              <w:ind w:left="75"/>
              <w:rPr>
                <w:rFonts w:ascii="宋体" w:hAnsi="宋体" w:cs="宋体"/>
                <w:szCs w:val="21"/>
              </w:rPr>
            </w:pPr>
            <w:r w:rsidRPr="00123108">
              <w:rPr>
                <w:rFonts w:ascii="宋体" w:hAnsi="宋体" w:cs="宋体" w:hint="eastAsia"/>
                <w:szCs w:val="21"/>
              </w:rPr>
              <w:t>4.辨识功能缺陷（包括感知延迟、辨识错误、其他功能缺陷）</w:t>
            </w:r>
          </w:p>
        </w:tc>
        <w:tc>
          <w:tcPr>
            <w:tcW w:w="2888" w:type="dxa"/>
            <w:vAlign w:val="center"/>
          </w:tcPr>
          <w:p w:rsidR="004F34D9" w:rsidRPr="00123108" w:rsidRDefault="004F34D9">
            <w:pPr>
              <w:spacing w:line="320" w:lineRule="exact"/>
              <w:rPr>
                <w:rFonts w:ascii="宋体" w:hAnsi="宋体" w:cs="宋体"/>
                <w:szCs w:val="21"/>
              </w:rPr>
            </w:pPr>
            <w:r w:rsidRPr="00123108">
              <w:rPr>
                <w:rFonts w:ascii="宋体" w:hAnsi="宋体" w:cs="宋体" w:hint="eastAsia"/>
                <w:szCs w:val="21"/>
              </w:rPr>
              <w:t>作业人员在疲劳、劳损、伤害等情况下继续作业；受伤、带病作业；女工在经期、孕期从事禁忌作业；嗅觉迟钝、色盲；未成年人从事高危作业等。从而导致人为事故发生。</w:t>
            </w:r>
          </w:p>
        </w:tc>
      </w:tr>
      <w:tr w:rsidR="004F34D9" w:rsidRPr="00123108">
        <w:tc>
          <w:tcPr>
            <w:tcW w:w="1254" w:type="dxa"/>
            <w:vAlign w:val="center"/>
          </w:tcPr>
          <w:p w:rsidR="004F34D9" w:rsidRPr="00123108" w:rsidRDefault="004F34D9">
            <w:pPr>
              <w:spacing w:line="320" w:lineRule="exact"/>
              <w:jc w:val="center"/>
              <w:rPr>
                <w:rFonts w:ascii="宋体" w:hAnsi="宋体" w:cs="宋体"/>
                <w:szCs w:val="21"/>
              </w:rPr>
            </w:pPr>
            <w:r w:rsidRPr="00123108">
              <w:rPr>
                <w:rFonts w:ascii="宋体" w:hAnsi="宋体" w:cs="宋体" w:hint="eastAsia"/>
                <w:szCs w:val="21"/>
              </w:rPr>
              <w:lastRenderedPageBreak/>
              <w:t>行为性危险和有害因素</w:t>
            </w:r>
          </w:p>
        </w:tc>
        <w:tc>
          <w:tcPr>
            <w:tcW w:w="5032" w:type="dxa"/>
            <w:vAlign w:val="center"/>
          </w:tcPr>
          <w:p w:rsidR="004F34D9" w:rsidRPr="00123108" w:rsidRDefault="004F34D9">
            <w:pPr>
              <w:tabs>
                <w:tab w:val="left" w:pos="840"/>
              </w:tabs>
              <w:spacing w:line="320" w:lineRule="exact"/>
              <w:rPr>
                <w:rFonts w:ascii="宋体" w:hAnsi="宋体" w:cs="宋体"/>
                <w:szCs w:val="21"/>
              </w:rPr>
            </w:pPr>
            <w:r w:rsidRPr="00123108">
              <w:rPr>
                <w:rFonts w:ascii="宋体" w:hAnsi="宋体" w:cs="宋体" w:hint="eastAsia"/>
                <w:szCs w:val="21"/>
              </w:rPr>
              <w:t>1.指挥错误；2.指挥失误；3.操作错误4.违章指挥；5.监护失误；6.误操作；7.其他错误；8.违章作业</w:t>
            </w:r>
          </w:p>
        </w:tc>
        <w:tc>
          <w:tcPr>
            <w:tcW w:w="2888" w:type="dxa"/>
            <w:vAlign w:val="center"/>
          </w:tcPr>
          <w:p w:rsidR="004F34D9" w:rsidRPr="00123108" w:rsidRDefault="004F34D9">
            <w:pPr>
              <w:spacing w:line="320" w:lineRule="exact"/>
              <w:rPr>
                <w:rFonts w:ascii="宋体" w:hAnsi="宋体" w:cs="宋体"/>
                <w:szCs w:val="21"/>
              </w:rPr>
            </w:pPr>
            <w:r w:rsidRPr="00123108">
              <w:rPr>
                <w:rFonts w:ascii="宋体" w:hAnsi="宋体" w:cs="宋体" w:hint="eastAsia"/>
                <w:szCs w:val="21"/>
              </w:rPr>
              <w:t>操作中发生人为失误，导致人为事故发生。</w:t>
            </w:r>
          </w:p>
        </w:tc>
      </w:tr>
    </w:tbl>
    <w:p w:rsidR="004F34D9" w:rsidRPr="00123108" w:rsidRDefault="004F34D9" w:rsidP="00D06780">
      <w:pPr>
        <w:pStyle w:val="2"/>
        <w:spacing w:line="500" w:lineRule="exact"/>
        <w:jc w:val="both"/>
        <w:rPr>
          <w:rFonts w:ascii="宋体" w:cs="宋体" w:hint="eastAsia"/>
          <w:b w:val="0"/>
          <w:bCs w:val="0"/>
          <w:sz w:val="28"/>
        </w:rPr>
      </w:pPr>
      <w:bookmarkStart w:id="1442" w:name="_Toc11168"/>
      <w:bookmarkStart w:id="1443" w:name="_Toc469519412"/>
      <w:bookmarkStart w:id="1444" w:name="_Toc349747224"/>
      <w:bookmarkStart w:id="1445" w:name="_Toc423335694"/>
      <w:bookmarkStart w:id="1446" w:name="_Toc422337987"/>
      <w:bookmarkStart w:id="1447" w:name="_Toc30074"/>
      <w:bookmarkStart w:id="1448" w:name="_Toc423074310"/>
      <w:bookmarkStart w:id="1449" w:name="_Toc422384507"/>
      <w:bookmarkStart w:id="1450" w:name="_Toc86050032"/>
      <w:bookmarkStart w:id="1451" w:name="_Toc190935863"/>
      <w:r w:rsidRPr="00123108">
        <w:rPr>
          <w:rFonts w:ascii="宋体" w:eastAsia="宋体" w:cs="宋体" w:hint="eastAsia"/>
          <w:sz w:val="28"/>
          <w:szCs w:val="28"/>
        </w:rPr>
        <w:t>附件1.8  装置开、停车危险有害因素</w:t>
      </w:r>
      <w:bookmarkEnd w:id="1442"/>
      <w:bookmarkEnd w:id="1443"/>
      <w:bookmarkEnd w:id="1444"/>
      <w:bookmarkEnd w:id="1445"/>
      <w:bookmarkEnd w:id="1446"/>
      <w:bookmarkEnd w:id="1447"/>
      <w:bookmarkEnd w:id="1448"/>
      <w:bookmarkEnd w:id="1449"/>
      <w:bookmarkEnd w:id="1451"/>
    </w:p>
    <w:p w:rsidR="004F34D9" w:rsidRPr="00123108" w:rsidRDefault="004F34D9" w:rsidP="00D06780">
      <w:pPr>
        <w:spacing w:line="500" w:lineRule="exact"/>
        <w:ind w:firstLineChars="200" w:firstLine="560"/>
        <w:rPr>
          <w:rFonts w:ascii="宋体" w:hAnsi="宋体" w:cs="宋体"/>
          <w:sz w:val="28"/>
        </w:rPr>
      </w:pPr>
      <w:bookmarkStart w:id="1452" w:name="_Toc422384508"/>
      <w:bookmarkStart w:id="1453" w:name="_Toc423335695"/>
      <w:bookmarkStart w:id="1454" w:name="_Toc422337988"/>
      <w:bookmarkStart w:id="1455" w:name="_Toc423074311"/>
      <w:r w:rsidRPr="00123108">
        <w:rPr>
          <w:rFonts w:ascii="宋体" w:hAnsi="宋体" w:cs="宋体" w:hint="eastAsia"/>
          <w:sz w:val="28"/>
        </w:rPr>
        <w:t>为了维持正常生产使生产装置能够“安、稳、长、满、优”运行，装置、设备要定期进行计划检修，及时消除缺陷和隐患，以提高装置和设备的可靠程度。在装置的停车、检修和开工过程中，如果安全措施不到位或违章指挥和操作，会发生火灾、爆炸、中毒、高处坠落、物体打击、触电等事故。在检修中如果未确定装置完全停车，带压操作，易燃有毒、腐蚀性的物料喷射出来，造成灼伤和中毒等人身伤害事故，同时产生静电而易引起火灾爆炸事故。</w:t>
      </w:r>
    </w:p>
    <w:p w:rsidR="004F34D9" w:rsidRPr="00123108" w:rsidRDefault="004F34D9" w:rsidP="00D06780">
      <w:pPr>
        <w:pStyle w:val="2"/>
        <w:spacing w:line="500" w:lineRule="exact"/>
        <w:jc w:val="both"/>
        <w:rPr>
          <w:rFonts w:ascii="宋体" w:eastAsia="宋体" w:cs="宋体" w:hint="eastAsia"/>
          <w:sz w:val="28"/>
          <w:szCs w:val="28"/>
        </w:rPr>
      </w:pPr>
      <w:bookmarkStart w:id="1456" w:name="_Toc31643"/>
      <w:bookmarkStart w:id="1457" w:name="_Toc469519413"/>
      <w:bookmarkStart w:id="1458" w:name="_Toc17001"/>
      <w:bookmarkStart w:id="1459" w:name="_Toc190935864"/>
      <w:r w:rsidRPr="00123108">
        <w:rPr>
          <w:rFonts w:ascii="宋体" w:eastAsia="宋体" w:cs="宋体" w:hint="eastAsia"/>
          <w:sz w:val="28"/>
          <w:szCs w:val="28"/>
        </w:rPr>
        <w:t>附件1.9  检维修作业危险有害因素</w:t>
      </w:r>
      <w:bookmarkEnd w:id="1452"/>
      <w:bookmarkEnd w:id="1453"/>
      <w:bookmarkEnd w:id="1454"/>
      <w:bookmarkEnd w:id="1455"/>
      <w:bookmarkEnd w:id="1456"/>
      <w:bookmarkEnd w:id="1457"/>
      <w:bookmarkEnd w:id="1458"/>
      <w:bookmarkEnd w:id="1459"/>
    </w:p>
    <w:p w:rsidR="004F34D9" w:rsidRPr="00123108" w:rsidRDefault="004F34D9" w:rsidP="00D06780">
      <w:pPr>
        <w:pStyle w:val="2fd"/>
        <w:spacing w:line="500" w:lineRule="exact"/>
        <w:ind w:firstLine="560"/>
        <w:rPr>
          <w:rFonts w:ascii="宋体" w:hAnsi="宋体"/>
          <w:sz w:val="28"/>
          <w:szCs w:val="28"/>
        </w:rPr>
      </w:pPr>
      <w:bookmarkStart w:id="1460" w:name="_Toc423335696"/>
      <w:bookmarkStart w:id="1461" w:name="_Toc422337989"/>
      <w:bookmarkStart w:id="1462" w:name="_Toc349747225"/>
      <w:bookmarkStart w:id="1463" w:name="_Toc422384509"/>
      <w:bookmarkStart w:id="1464" w:name="_Toc423074312"/>
      <w:bookmarkEnd w:id="1450"/>
      <w:r w:rsidRPr="00123108">
        <w:rPr>
          <w:rFonts w:ascii="宋体" w:hAnsi="宋体" w:hint="eastAsia"/>
          <w:sz w:val="28"/>
          <w:szCs w:val="28"/>
        </w:rPr>
        <w:t>（1）</w:t>
      </w:r>
      <w:r w:rsidRPr="00123108">
        <w:rPr>
          <w:rFonts w:ascii="宋体" w:hAnsi="宋体"/>
          <w:sz w:val="28"/>
          <w:szCs w:val="28"/>
        </w:rPr>
        <w:t>在检修时容易出现危险化学品物料泄漏或在</w:t>
      </w:r>
      <w:r w:rsidRPr="00123108">
        <w:rPr>
          <w:rFonts w:ascii="宋体" w:hAnsi="宋体" w:hint="eastAsia"/>
          <w:sz w:val="28"/>
          <w:szCs w:val="28"/>
        </w:rPr>
        <w:t>储罐、</w:t>
      </w:r>
      <w:r w:rsidRPr="00123108">
        <w:rPr>
          <w:rFonts w:ascii="宋体" w:hAnsi="宋体"/>
          <w:sz w:val="28"/>
          <w:szCs w:val="28"/>
        </w:rPr>
        <w:t>设备</w:t>
      </w:r>
      <w:r w:rsidRPr="00123108">
        <w:rPr>
          <w:rFonts w:ascii="宋体" w:hAnsi="宋体" w:hint="eastAsia"/>
          <w:sz w:val="28"/>
          <w:szCs w:val="28"/>
        </w:rPr>
        <w:t>、</w:t>
      </w:r>
      <w:r w:rsidRPr="00123108">
        <w:rPr>
          <w:rFonts w:ascii="宋体" w:hAnsi="宋体"/>
          <w:sz w:val="28"/>
          <w:szCs w:val="28"/>
        </w:rPr>
        <w:t>管道中残存，在试车阶段则可能因设备中混入空气，形成爆炸性混合气体，一旦发生火灾</w:t>
      </w:r>
      <w:r w:rsidRPr="00123108">
        <w:rPr>
          <w:rFonts w:ascii="宋体" w:hAnsi="宋体" w:hint="eastAsia"/>
          <w:sz w:val="28"/>
          <w:szCs w:val="28"/>
        </w:rPr>
        <w:t>、爆炸事故往往</w:t>
      </w:r>
      <w:r w:rsidRPr="00123108">
        <w:rPr>
          <w:rFonts w:ascii="宋体" w:hAnsi="宋体"/>
          <w:sz w:val="28"/>
          <w:szCs w:val="28"/>
        </w:rPr>
        <w:t>损失严重。</w:t>
      </w:r>
    </w:p>
    <w:p w:rsidR="004F34D9" w:rsidRPr="00123108" w:rsidRDefault="004F34D9" w:rsidP="00D06780">
      <w:pPr>
        <w:pStyle w:val="2fd"/>
        <w:spacing w:line="500" w:lineRule="exact"/>
        <w:ind w:firstLine="560"/>
        <w:rPr>
          <w:rFonts w:ascii="宋体" w:hAnsi="宋体"/>
          <w:sz w:val="28"/>
          <w:szCs w:val="28"/>
        </w:rPr>
      </w:pPr>
      <w:r w:rsidRPr="00123108">
        <w:rPr>
          <w:rFonts w:ascii="宋体" w:hAnsi="宋体" w:hint="eastAsia"/>
          <w:sz w:val="28"/>
          <w:szCs w:val="28"/>
        </w:rPr>
        <w:t>（2）</w:t>
      </w:r>
      <w:r w:rsidRPr="00123108">
        <w:rPr>
          <w:rFonts w:ascii="宋体" w:hAnsi="宋体"/>
          <w:sz w:val="28"/>
          <w:szCs w:val="28"/>
        </w:rPr>
        <w:t>化工企业生产往往工艺过程较复杂，生产连续性较强，操作条件较严格，若某一环节或设备发生故障，即会破坏正常的生产链，造成事故。本项目部分生产设备处于加温、冷却及腐蚀、磨损等状态，设备检修使原本处于正常状态的连续生产中断，设备（如阀门、开关等）状态和工艺参数发生变化，检修完毕后存在设备状态及工艺参数返回正常值的过程，这一过程中容易出现操作失误及设备故障，造成火灾、爆炸事故。</w:t>
      </w:r>
    </w:p>
    <w:p w:rsidR="004F34D9" w:rsidRPr="00123108" w:rsidRDefault="004F34D9" w:rsidP="00D06780">
      <w:pPr>
        <w:pStyle w:val="2fd"/>
        <w:spacing w:line="500" w:lineRule="exact"/>
        <w:ind w:firstLine="560"/>
        <w:rPr>
          <w:rFonts w:ascii="宋体" w:hAnsi="宋体" w:hint="eastAsia"/>
          <w:sz w:val="28"/>
          <w:szCs w:val="28"/>
        </w:rPr>
      </w:pPr>
      <w:r w:rsidRPr="00123108">
        <w:rPr>
          <w:rFonts w:ascii="宋体" w:hAnsi="宋体" w:hint="eastAsia"/>
          <w:sz w:val="28"/>
          <w:szCs w:val="28"/>
        </w:rPr>
        <w:t>（3）</w:t>
      </w:r>
      <w:r w:rsidRPr="00123108">
        <w:rPr>
          <w:rFonts w:ascii="宋体" w:hAnsi="宋体"/>
          <w:sz w:val="28"/>
          <w:szCs w:val="28"/>
        </w:rPr>
        <w:t>设备</w:t>
      </w:r>
      <w:r w:rsidRPr="00123108">
        <w:rPr>
          <w:rFonts w:ascii="宋体" w:hAnsi="宋体" w:hint="eastAsia"/>
          <w:sz w:val="28"/>
          <w:szCs w:val="28"/>
        </w:rPr>
        <w:t>、</w:t>
      </w:r>
      <w:r w:rsidRPr="00123108">
        <w:rPr>
          <w:rFonts w:ascii="宋体" w:hAnsi="宋体"/>
          <w:sz w:val="28"/>
          <w:szCs w:val="28"/>
        </w:rPr>
        <w:t>管道多采用金属材料，检修过程离不开动火、敲打，有时还需要进入</w:t>
      </w:r>
      <w:r w:rsidRPr="00123108">
        <w:rPr>
          <w:rFonts w:ascii="宋体" w:hAnsi="宋体" w:hint="eastAsia"/>
          <w:sz w:val="28"/>
          <w:szCs w:val="28"/>
        </w:rPr>
        <w:t>容器</w:t>
      </w:r>
      <w:r w:rsidRPr="00123108">
        <w:rPr>
          <w:rFonts w:ascii="宋体" w:hAnsi="宋体"/>
          <w:sz w:val="28"/>
          <w:szCs w:val="28"/>
        </w:rPr>
        <w:t>内或上下立体交错作业，极易产生静电及火花等着火源，大大增加了检修的火灾危险性。</w:t>
      </w:r>
    </w:p>
    <w:p w:rsidR="002A6C60" w:rsidRPr="00123108" w:rsidRDefault="002A6C60" w:rsidP="002A6C60">
      <w:pPr>
        <w:pStyle w:val="2fd"/>
        <w:spacing w:line="500" w:lineRule="exact"/>
        <w:ind w:firstLine="560"/>
        <w:rPr>
          <w:rFonts w:ascii="宋体" w:hAnsi="宋体"/>
          <w:sz w:val="28"/>
          <w:szCs w:val="28"/>
        </w:rPr>
      </w:pPr>
      <w:r w:rsidRPr="00123108">
        <w:rPr>
          <w:rFonts w:ascii="宋体" w:hAnsi="宋体" w:hint="eastAsia"/>
          <w:sz w:val="28"/>
          <w:szCs w:val="28"/>
        </w:rPr>
        <w:t>（4）动火作业：动火作业使用的乙炔、氧气气瓶具有爆炸危险性。其次，在有燃烧、爆炸危险的场所或设施上（内）动火作业前未进行隔绝、清洗、置换、通风、监测、监护等措施，未按规定程序办理动火作业许可，可导致火灾、爆炸事故。</w:t>
      </w:r>
    </w:p>
    <w:p w:rsidR="002A6C60" w:rsidRPr="00123108" w:rsidRDefault="002A6C60" w:rsidP="002A6C60">
      <w:pPr>
        <w:pStyle w:val="2fd"/>
        <w:spacing w:line="500" w:lineRule="exact"/>
        <w:ind w:firstLine="560"/>
        <w:rPr>
          <w:rFonts w:ascii="宋体" w:hAnsi="宋体" w:hint="eastAsia"/>
          <w:sz w:val="28"/>
          <w:szCs w:val="28"/>
        </w:rPr>
      </w:pPr>
      <w:r w:rsidRPr="00123108">
        <w:rPr>
          <w:rFonts w:ascii="宋体" w:hAnsi="宋体" w:hint="eastAsia"/>
          <w:sz w:val="28"/>
          <w:szCs w:val="28"/>
        </w:rPr>
        <w:t>（5）有限空间作业：进入设备、池井内等有限空间前，未采取分析、检</w:t>
      </w:r>
      <w:r w:rsidRPr="00123108">
        <w:rPr>
          <w:rFonts w:ascii="宋体" w:hAnsi="宋体" w:hint="eastAsia"/>
          <w:sz w:val="28"/>
          <w:szCs w:val="28"/>
        </w:rPr>
        <w:lastRenderedPageBreak/>
        <w:t>测、清洗、置换、隔离等措施，如设备内的惰性气体或有毒有害气体置换不彻底，未进行敞开处理并通足够的空气，未进行氧气浓度分析或分析不合格，设备外无人监护，进入设备内作业的人员极易发生中毒和窒息事故。作业过程中未采取必要的劳动防护措施也是导致事故发生的重要原因。</w:t>
      </w:r>
    </w:p>
    <w:p w:rsidR="002A6C60" w:rsidRPr="00123108" w:rsidRDefault="002A6C60" w:rsidP="002A6C60">
      <w:pPr>
        <w:pStyle w:val="2fd"/>
        <w:spacing w:line="500" w:lineRule="exact"/>
        <w:ind w:firstLine="560"/>
        <w:rPr>
          <w:rFonts w:ascii="宋体" w:hAnsi="宋体" w:hint="eastAsia"/>
          <w:sz w:val="28"/>
          <w:szCs w:val="28"/>
        </w:rPr>
      </w:pPr>
      <w:r w:rsidRPr="00123108">
        <w:rPr>
          <w:rFonts w:ascii="宋体" w:hAnsi="宋体" w:hint="eastAsia"/>
          <w:sz w:val="28"/>
          <w:szCs w:val="28"/>
        </w:rPr>
        <w:t>（6）盲板抽堵作业：</w:t>
      </w:r>
      <w:r w:rsidR="009A62CB" w:rsidRPr="00123108">
        <w:rPr>
          <w:rFonts w:ascii="宋体" w:hAnsi="宋体" w:hint="eastAsia"/>
          <w:sz w:val="28"/>
          <w:szCs w:val="28"/>
        </w:rPr>
        <w:t>抽堵盲板作业未按盲板抽堵作业证执行；未按管道内介质性质、压力、温度选用适用盲板；未对盲板进行编号或未及时存档；作业人员未穿戴防护用品；高处抽堵盲板未按高处作业管理等引发事故。</w:t>
      </w:r>
    </w:p>
    <w:p w:rsidR="009A62CB" w:rsidRPr="00123108" w:rsidRDefault="009A62CB" w:rsidP="002A6C60">
      <w:pPr>
        <w:pStyle w:val="2fd"/>
        <w:spacing w:line="500" w:lineRule="exact"/>
        <w:ind w:firstLine="560"/>
        <w:rPr>
          <w:rFonts w:ascii="宋体" w:hAnsi="宋体" w:hint="eastAsia"/>
          <w:sz w:val="28"/>
          <w:szCs w:val="28"/>
        </w:rPr>
      </w:pPr>
      <w:r w:rsidRPr="00123108">
        <w:rPr>
          <w:rFonts w:ascii="宋体" w:hAnsi="宋体" w:hint="eastAsia"/>
          <w:sz w:val="28"/>
          <w:szCs w:val="28"/>
        </w:rPr>
        <w:t>（7）高处作业：高处作业人员患有职业禁忌或其他不适宜高处作业情况下登高作业；天气情况 的条件下登高作业；涉及动火及抽堵盲板作业等未办理相关作业许可；登高作业未落实安全措施；相关人员未培训；未派监护人或监护人未能履行监护职责等，均会因高处作业引发事故。</w:t>
      </w:r>
    </w:p>
    <w:p w:rsidR="004F34D9" w:rsidRPr="00123108" w:rsidRDefault="004F34D9" w:rsidP="00D06780">
      <w:pPr>
        <w:pStyle w:val="2fd"/>
        <w:spacing w:line="500" w:lineRule="exact"/>
        <w:ind w:firstLine="560"/>
        <w:rPr>
          <w:rFonts w:ascii="宋体" w:hAnsi="宋体"/>
          <w:sz w:val="28"/>
          <w:szCs w:val="28"/>
        </w:rPr>
      </w:pPr>
      <w:r w:rsidRPr="00123108">
        <w:rPr>
          <w:rFonts w:ascii="宋体" w:hAnsi="宋体" w:hint="eastAsia"/>
          <w:sz w:val="28"/>
          <w:szCs w:val="28"/>
        </w:rPr>
        <w:t>（</w:t>
      </w:r>
      <w:r w:rsidR="009A62CB" w:rsidRPr="00123108">
        <w:rPr>
          <w:rFonts w:ascii="宋体" w:hAnsi="宋体" w:hint="eastAsia"/>
          <w:sz w:val="28"/>
          <w:szCs w:val="28"/>
        </w:rPr>
        <w:t>8</w:t>
      </w:r>
      <w:r w:rsidRPr="00123108">
        <w:rPr>
          <w:rFonts w:ascii="宋体" w:hAnsi="宋体" w:hint="eastAsia"/>
          <w:sz w:val="28"/>
          <w:szCs w:val="28"/>
        </w:rPr>
        <w:t>）检修管理</w:t>
      </w:r>
    </w:p>
    <w:p w:rsidR="004F34D9" w:rsidRPr="00123108" w:rsidRDefault="004F34D9" w:rsidP="00D06780">
      <w:pPr>
        <w:pStyle w:val="2fd"/>
        <w:spacing w:line="500" w:lineRule="exact"/>
        <w:ind w:firstLine="560"/>
        <w:rPr>
          <w:rFonts w:ascii="宋体" w:hAnsi="宋体"/>
          <w:sz w:val="28"/>
          <w:szCs w:val="28"/>
        </w:rPr>
      </w:pPr>
      <w:r w:rsidRPr="00123108">
        <w:rPr>
          <w:rFonts w:ascii="宋体" w:hAnsi="宋体" w:hint="eastAsia"/>
          <w:sz w:val="28"/>
          <w:szCs w:val="28"/>
        </w:rPr>
        <w:t>①在设备检修前，未明确检修工作负责人和安全管理责任人、未建立安全管理制度、未执行相应的动火作业证制度、未落实安全责任制均有可能因管理不善引发事故。</w:t>
      </w:r>
    </w:p>
    <w:p w:rsidR="004F34D9" w:rsidRPr="00123108" w:rsidRDefault="004F34D9" w:rsidP="00D06780">
      <w:pPr>
        <w:pStyle w:val="2fd"/>
        <w:spacing w:line="500" w:lineRule="exact"/>
        <w:ind w:firstLine="560"/>
        <w:rPr>
          <w:rFonts w:ascii="宋体" w:hAnsi="宋体"/>
          <w:sz w:val="28"/>
          <w:szCs w:val="28"/>
        </w:rPr>
      </w:pPr>
      <w:r w:rsidRPr="00123108">
        <w:rPr>
          <w:rFonts w:ascii="宋体" w:hAnsi="宋体" w:hint="eastAsia"/>
          <w:sz w:val="28"/>
          <w:szCs w:val="28"/>
        </w:rPr>
        <w:t>②设备检修前未对装置进行针对性的危害识别，未对装置停工情况进行检查均有可能因不了解情况野蛮施工引发事故。</w:t>
      </w:r>
    </w:p>
    <w:p w:rsidR="004F34D9" w:rsidRPr="00123108" w:rsidRDefault="004F34D9" w:rsidP="00D06780">
      <w:pPr>
        <w:pStyle w:val="2fd"/>
        <w:spacing w:line="500" w:lineRule="exact"/>
        <w:ind w:firstLine="560"/>
        <w:rPr>
          <w:rFonts w:ascii="宋体" w:hAnsi="宋体"/>
          <w:sz w:val="28"/>
          <w:szCs w:val="28"/>
        </w:rPr>
      </w:pPr>
      <w:r w:rsidRPr="00123108">
        <w:rPr>
          <w:rFonts w:ascii="宋体" w:hAnsi="宋体" w:hint="eastAsia"/>
          <w:sz w:val="28"/>
          <w:szCs w:val="28"/>
        </w:rPr>
        <w:t>③设备检修前未将物料全部回收到指定的容器、随意排放易燃、易爆、有毒、有腐蚀物料，可能引发火灾、爆炸、中毒、灼烫等事故。</w:t>
      </w:r>
    </w:p>
    <w:p w:rsidR="004F34D9" w:rsidRPr="00123108" w:rsidRDefault="004F34D9" w:rsidP="00D06780">
      <w:pPr>
        <w:pStyle w:val="2fd"/>
        <w:spacing w:line="500" w:lineRule="exact"/>
        <w:ind w:firstLine="560"/>
        <w:rPr>
          <w:rFonts w:ascii="宋体" w:hAnsi="宋体"/>
          <w:sz w:val="28"/>
          <w:szCs w:val="28"/>
        </w:rPr>
      </w:pPr>
      <w:r w:rsidRPr="00123108">
        <w:rPr>
          <w:rFonts w:ascii="宋体" w:hAnsi="宋体" w:hint="eastAsia"/>
          <w:sz w:val="28"/>
          <w:szCs w:val="28"/>
        </w:rPr>
        <w:t>⑤设备吹扫时未关闭压力表、安全阀，未关严机泵的前后截止阀及放空阀均有导致安全附件、泵体因杂质的吹入而损坏引发事故。</w:t>
      </w:r>
    </w:p>
    <w:p w:rsidR="004F34D9" w:rsidRPr="00123108" w:rsidRDefault="004F34D9" w:rsidP="00D06780">
      <w:pPr>
        <w:pStyle w:val="2fd"/>
        <w:spacing w:line="500" w:lineRule="exact"/>
        <w:ind w:firstLine="560"/>
        <w:rPr>
          <w:rFonts w:ascii="宋体" w:hAnsi="宋体"/>
          <w:sz w:val="28"/>
          <w:szCs w:val="28"/>
        </w:rPr>
      </w:pPr>
      <w:r w:rsidRPr="00123108">
        <w:rPr>
          <w:rFonts w:ascii="宋体" w:hAnsi="宋体" w:hint="eastAsia"/>
          <w:sz w:val="28"/>
          <w:szCs w:val="28"/>
        </w:rPr>
        <w:t>⑥检修前未对与运行时设备、管道及系统相连处、留有易燃、易爆、有毒等有害介质的容器出入口或与设备连接处插加盲板或者盲板质量不过关均有可能在设备检修时因物料的泄漏、冲料引发火灾、中毒等事故。</w:t>
      </w:r>
    </w:p>
    <w:p w:rsidR="004F34D9" w:rsidRPr="00123108" w:rsidRDefault="004F34D9" w:rsidP="00D06780">
      <w:pPr>
        <w:pStyle w:val="2fd"/>
        <w:spacing w:line="500" w:lineRule="exact"/>
        <w:ind w:firstLine="560"/>
        <w:rPr>
          <w:rFonts w:ascii="宋体" w:hAnsi="宋体"/>
          <w:sz w:val="28"/>
          <w:szCs w:val="28"/>
        </w:rPr>
      </w:pPr>
      <w:r w:rsidRPr="00123108">
        <w:rPr>
          <w:rFonts w:ascii="宋体" w:hAnsi="宋体" w:hint="eastAsia"/>
          <w:sz w:val="28"/>
          <w:szCs w:val="28"/>
        </w:rPr>
        <w:t>⑦在对存有易燃、易爆物料容器、设备、管线进行作业时采用不防爆工具，使用汽油或者挥发性溶剂洗刷机具，可燃污液、有毒有害物质排入下水道、明沟、地面均有可能引发火灾、爆炸、中毒等事故。</w:t>
      </w:r>
    </w:p>
    <w:p w:rsidR="004F34D9" w:rsidRPr="00123108" w:rsidRDefault="004F34D9" w:rsidP="00D06780">
      <w:pPr>
        <w:pStyle w:val="2fd"/>
        <w:spacing w:line="500" w:lineRule="exact"/>
        <w:ind w:firstLine="560"/>
        <w:rPr>
          <w:rFonts w:ascii="宋体" w:hAnsi="宋体"/>
          <w:sz w:val="28"/>
          <w:szCs w:val="28"/>
        </w:rPr>
      </w:pPr>
      <w:r w:rsidRPr="00123108">
        <w:rPr>
          <w:rFonts w:ascii="宋体" w:hAnsi="宋体" w:hint="eastAsia"/>
          <w:sz w:val="28"/>
          <w:szCs w:val="28"/>
        </w:rPr>
        <w:t>⑧未对检修现场进行清理、存有大量易燃易爆等物品，有可能在使用氧</w:t>
      </w:r>
      <w:r w:rsidRPr="00123108">
        <w:rPr>
          <w:rFonts w:ascii="宋体" w:hAnsi="宋体" w:hint="eastAsia"/>
          <w:sz w:val="28"/>
          <w:szCs w:val="28"/>
        </w:rPr>
        <w:lastRenderedPageBreak/>
        <w:t>气、乙炔等明火作业时引发火灾、爆炸等事故。</w:t>
      </w:r>
    </w:p>
    <w:p w:rsidR="004F34D9" w:rsidRPr="00123108" w:rsidRDefault="004F34D9" w:rsidP="00D06780">
      <w:pPr>
        <w:pStyle w:val="2fd"/>
        <w:spacing w:line="500" w:lineRule="exact"/>
        <w:ind w:firstLine="560"/>
        <w:rPr>
          <w:rFonts w:ascii="宋体" w:hAnsi="宋体"/>
          <w:sz w:val="28"/>
          <w:szCs w:val="28"/>
        </w:rPr>
      </w:pPr>
      <w:r w:rsidRPr="00123108">
        <w:rPr>
          <w:rFonts w:ascii="宋体" w:hAnsi="宋体" w:hint="eastAsia"/>
          <w:sz w:val="28"/>
          <w:szCs w:val="28"/>
        </w:rPr>
        <w:t>⑨对检修现场损坏、拆除的栏杆、平台未加临时的防护措施、作业人员未穿戴好劳动安全保护用品有可能引发高处坠落、物体打击等事故。</w:t>
      </w:r>
    </w:p>
    <w:p w:rsidR="004F34D9" w:rsidRPr="00123108" w:rsidRDefault="004F34D9" w:rsidP="00D06780">
      <w:pPr>
        <w:pStyle w:val="2fd"/>
        <w:spacing w:line="500" w:lineRule="exact"/>
        <w:ind w:firstLine="560"/>
        <w:rPr>
          <w:rFonts w:ascii="宋体" w:hAnsi="宋体"/>
          <w:sz w:val="28"/>
          <w:szCs w:val="28"/>
        </w:rPr>
      </w:pPr>
      <w:r w:rsidRPr="00123108">
        <w:rPr>
          <w:rFonts w:ascii="宋体" w:hAnsi="宋体" w:hint="eastAsia"/>
          <w:sz w:val="28"/>
          <w:szCs w:val="28"/>
        </w:rPr>
        <w:t>⑩起重作业时违反“起重十不吊”等要求。</w:t>
      </w:r>
    </w:p>
    <w:p w:rsidR="004F34D9" w:rsidRPr="00123108" w:rsidRDefault="004F34D9" w:rsidP="00D06780">
      <w:pPr>
        <w:pStyle w:val="2"/>
        <w:spacing w:line="500" w:lineRule="exact"/>
        <w:jc w:val="both"/>
        <w:rPr>
          <w:rFonts w:ascii="宋体" w:eastAsia="宋体" w:cs="宋体" w:hint="eastAsia"/>
          <w:sz w:val="28"/>
          <w:szCs w:val="28"/>
        </w:rPr>
      </w:pPr>
      <w:bookmarkStart w:id="1465" w:name="_Toc469519414"/>
      <w:bookmarkStart w:id="1466" w:name="_Toc2120"/>
      <w:bookmarkStart w:id="1467" w:name="_Toc16979"/>
      <w:bookmarkStart w:id="1468" w:name="_Toc190935865"/>
      <w:r w:rsidRPr="00123108">
        <w:rPr>
          <w:rFonts w:ascii="宋体" w:eastAsia="宋体" w:cs="宋体" w:hint="eastAsia"/>
          <w:sz w:val="28"/>
          <w:szCs w:val="28"/>
        </w:rPr>
        <w:t>附件1.10  地质条件危险性分析</w:t>
      </w:r>
      <w:bookmarkEnd w:id="1460"/>
      <w:bookmarkEnd w:id="1461"/>
      <w:bookmarkEnd w:id="1462"/>
      <w:bookmarkEnd w:id="1463"/>
      <w:bookmarkEnd w:id="1464"/>
      <w:bookmarkEnd w:id="1465"/>
      <w:bookmarkEnd w:id="1466"/>
      <w:bookmarkEnd w:id="1467"/>
      <w:bookmarkEnd w:id="1468"/>
    </w:p>
    <w:p w:rsidR="004F34D9" w:rsidRPr="00123108" w:rsidRDefault="004F34D9" w:rsidP="00D06780">
      <w:pPr>
        <w:pStyle w:val="2fd"/>
        <w:spacing w:line="500" w:lineRule="exact"/>
        <w:ind w:firstLine="560"/>
        <w:rPr>
          <w:rFonts w:ascii="宋体" w:hAnsi="宋体"/>
          <w:sz w:val="28"/>
          <w:szCs w:val="28"/>
        </w:rPr>
      </w:pPr>
      <w:r w:rsidRPr="00123108">
        <w:rPr>
          <w:rFonts w:ascii="宋体" w:hAnsi="宋体" w:hint="eastAsia"/>
          <w:sz w:val="28"/>
          <w:szCs w:val="28"/>
        </w:rPr>
        <w:t>企业所使用介质有多种属易燃易爆、毒害性物质，存在着由于地质条件的不良、打桩深度不够、地下水对桩基等的侵蚀等原因，造成建筑物、设备、设施等的沉降，特别是不均匀沉降，将会造成建筑物的倒塌、设备设施等的倾斜和倒塌、高处物品坠落等，进而可能引起易燃易爆物质的泄漏，甚至进一步引起火灾爆炸、中毒等重大事故的发生。特别是储罐、反应器等重大设备、设施的倒塌或损坏，将会造成较严重的事故后果。</w:t>
      </w:r>
    </w:p>
    <w:p w:rsidR="004F34D9" w:rsidRPr="00123108" w:rsidRDefault="004F34D9" w:rsidP="00D06780">
      <w:pPr>
        <w:pStyle w:val="2"/>
        <w:spacing w:line="500" w:lineRule="exact"/>
        <w:jc w:val="both"/>
        <w:rPr>
          <w:rFonts w:ascii="宋体" w:eastAsia="宋体" w:cs="宋体"/>
          <w:sz w:val="28"/>
          <w:szCs w:val="28"/>
        </w:rPr>
      </w:pPr>
      <w:bookmarkStart w:id="1469" w:name="_Toc469519415"/>
      <w:bookmarkStart w:id="1470" w:name="_Toc14038"/>
      <w:bookmarkStart w:id="1471" w:name="_Toc11810"/>
      <w:bookmarkStart w:id="1472" w:name="_Toc190935866"/>
      <w:r w:rsidRPr="00123108">
        <w:rPr>
          <w:rFonts w:ascii="宋体" w:eastAsia="宋体" w:cs="宋体" w:hint="eastAsia"/>
          <w:sz w:val="28"/>
          <w:szCs w:val="28"/>
        </w:rPr>
        <w:t>附件1.1</w:t>
      </w:r>
      <w:bookmarkStart w:id="1473" w:name="_Toc371429780"/>
      <w:bookmarkStart w:id="1474" w:name="_Toc436741568"/>
      <w:r w:rsidRPr="00123108">
        <w:rPr>
          <w:rFonts w:ascii="宋体" w:eastAsia="宋体" w:cs="宋体" w:hint="eastAsia"/>
          <w:sz w:val="28"/>
          <w:szCs w:val="28"/>
        </w:rPr>
        <w:t xml:space="preserve">1 </w:t>
      </w:r>
      <w:bookmarkStart w:id="1475" w:name="_Toc71582947"/>
      <w:bookmarkStart w:id="1476" w:name="_Toc471821374"/>
      <w:r w:rsidRPr="00123108">
        <w:rPr>
          <w:rFonts w:ascii="宋体" w:eastAsia="宋体" w:cs="宋体" w:hint="eastAsia"/>
          <w:sz w:val="28"/>
          <w:szCs w:val="28"/>
        </w:rPr>
        <w:t>其它危险、有害因素</w:t>
      </w:r>
      <w:bookmarkEnd w:id="1472"/>
      <w:bookmarkEnd w:id="1475"/>
      <w:bookmarkEnd w:id="1476"/>
    </w:p>
    <w:p w:rsidR="004F34D9" w:rsidRPr="00123108" w:rsidRDefault="004F34D9" w:rsidP="00D06780">
      <w:pPr>
        <w:pStyle w:val="3"/>
        <w:spacing w:line="500" w:lineRule="exact"/>
        <w:jc w:val="both"/>
        <w:rPr>
          <w:sz w:val="28"/>
          <w:szCs w:val="28"/>
        </w:rPr>
      </w:pPr>
      <w:bookmarkStart w:id="1477" w:name="_Toc71582948"/>
      <w:bookmarkStart w:id="1478" w:name="_Toc190935867"/>
      <w:r w:rsidRPr="00123108">
        <w:rPr>
          <w:rFonts w:hint="eastAsia"/>
          <w:sz w:val="28"/>
          <w:szCs w:val="28"/>
        </w:rPr>
        <w:t>附件1.11</w:t>
      </w:r>
      <w:r w:rsidRPr="00123108">
        <w:rPr>
          <w:sz w:val="28"/>
          <w:szCs w:val="28"/>
        </w:rPr>
        <w:t>.</w:t>
      </w:r>
      <w:r w:rsidRPr="00123108">
        <w:rPr>
          <w:rFonts w:hint="eastAsia"/>
          <w:sz w:val="28"/>
          <w:szCs w:val="28"/>
        </w:rPr>
        <w:t>1  电气伤害</w:t>
      </w:r>
      <w:bookmarkEnd w:id="1477"/>
      <w:bookmarkEnd w:id="1478"/>
    </w:p>
    <w:p w:rsidR="004F34D9" w:rsidRPr="00123108" w:rsidRDefault="004F34D9" w:rsidP="00D06780">
      <w:pPr>
        <w:spacing w:line="500" w:lineRule="exact"/>
        <w:ind w:firstLine="560"/>
        <w:rPr>
          <w:rFonts w:ascii="宋体" w:hAnsi="宋体"/>
          <w:sz w:val="28"/>
        </w:rPr>
      </w:pPr>
      <w:r w:rsidRPr="00123108">
        <w:rPr>
          <w:rFonts w:ascii="宋体" w:hAnsi="宋体" w:hint="eastAsia"/>
          <w:sz w:val="28"/>
        </w:rPr>
        <w:t>（1）雷电伤害：生产装置所处区域，有雷击危险的可能。雷击危险可能导致火灾、爆炸、设备损坏、人员触电伤亡等事故。</w:t>
      </w:r>
    </w:p>
    <w:p w:rsidR="004F34D9" w:rsidRPr="00123108" w:rsidRDefault="004F34D9" w:rsidP="00D06780">
      <w:pPr>
        <w:spacing w:line="500" w:lineRule="exact"/>
        <w:ind w:firstLine="560"/>
        <w:rPr>
          <w:rFonts w:ascii="宋体" w:hAnsi="宋体"/>
          <w:sz w:val="28"/>
        </w:rPr>
      </w:pPr>
      <w:r w:rsidRPr="00123108">
        <w:rPr>
          <w:rFonts w:ascii="宋体" w:hAnsi="宋体" w:hint="eastAsia"/>
          <w:sz w:val="28"/>
        </w:rPr>
        <w:t>（2）静电危险：物料在生产、运输、输送、装卸过程中，因流动易产生和积聚静电，如在物料输送过程中，设备和管道的导静电措施不到位，静电火花可能引发火灾、爆炸，人体也可能因静电电击引起精神紧张而摔倒、坠落，造成二次事故。</w:t>
      </w:r>
    </w:p>
    <w:p w:rsidR="004F34D9" w:rsidRPr="00123108" w:rsidRDefault="004F34D9" w:rsidP="00D06780">
      <w:pPr>
        <w:spacing w:line="500" w:lineRule="exact"/>
        <w:ind w:firstLine="560"/>
        <w:rPr>
          <w:rFonts w:ascii="宋体" w:hAnsi="宋体"/>
          <w:sz w:val="28"/>
        </w:rPr>
      </w:pPr>
      <w:r w:rsidRPr="00123108">
        <w:rPr>
          <w:rFonts w:ascii="宋体" w:hAnsi="宋体" w:hint="eastAsia"/>
          <w:sz w:val="28"/>
        </w:rPr>
        <w:t>（3）漏电伤害：该厂有动力、照明配电箱等电器设备，在江南地区春夏之交的多雨、潮湿季节，由于电器绝缘不好引起漏电，有可能引起人员的触电事故。另外，危险物料集中的场所附近，由于电气线路短路等原因也可能引起火花而导致火灾、爆炸事故发生。</w:t>
      </w:r>
    </w:p>
    <w:p w:rsidR="004F34D9" w:rsidRPr="00123108" w:rsidRDefault="004F34D9" w:rsidP="00D06780">
      <w:pPr>
        <w:spacing w:line="500" w:lineRule="exact"/>
        <w:ind w:firstLine="560"/>
        <w:rPr>
          <w:rFonts w:ascii="宋体" w:hAnsi="宋体"/>
          <w:sz w:val="28"/>
        </w:rPr>
      </w:pPr>
      <w:r w:rsidRPr="00123108">
        <w:rPr>
          <w:rFonts w:ascii="宋体" w:hAnsi="宋体" w:hint="eastAsia"/>
          <w:sz w:val="28"/>
        </w:rPr>
        <w:t>（4）违章作业触电事故：如存在设备缺陷、防护设施不到位、防护措施不落实或不遵守操作规程、违章作业等也会有触电的危险。</w:t>
      </w:r>
    </w:p>
    <w:p w:rsidR="004F34D9" w:rsidRPr="00123108" w:rsidRDefault="004F34D9" w:rsidP="00D06780">
      <w:pPr>
        <w:pStyle w:val="3"/>
        <w:spacing w:line="500" w:lineRule="exact"/>
        <w:jc w:val="both"/>
        <w:rPr>
          <w:sz w:val="28"/>
          <w:szCs w:val="28"/>
        </w:rPr>
      </w:pPr>
      <w:bookmarkStart w:id="1479" w:name="_Toc71582949"/>
      <w:bookmarkStart w:id="1480" w:name="_Toc190935868"/>
      <w:r w:rsidRPr="00123108">
        <w:rPr>
          <w:rFonts w:hint="eastAsia"/>
          <w:sz w:val="28"/>
          <w:szCs w:val="28"/>
        </w:rPr>
        <w:t>附件1.11.2  噪声危害</w:t>
      </w:r>
      <w:bookmarkEnd w:id="1479"/>
      <w:bookmarkEnd w:id="1480"/>
    </w:p>
    <w:p w:rsidR="004F34D9" w:rsidRPr="00123108" w:rsidRDefault="004F34D9" w:rsidP="00D06780">
      <w:pPr>
        <w:spacing w:line="500" w:lineRule="exact"/>
        <w:ind w:firstLineChars="200" w:firstLine="560"/>
        <w:rPr>
          <w:rFonts w:ascii="宋体" w:hAnsi="宋体"/>
          <w:sz w:val="28"/>
          <w:szCs w:val="28"/>
        </w:rPr>
      </w:pPr>
      <w:r w:rsidRPr="00123108">
        <w:rPr>
          <w:rFonts w:ascii="宋体" w:hAnsi="宋体" w:hint="eastAsia"/>
          <w:sz w:val="28"/>
          <w:szCs w:val="28"/>
        </w:rPr>
        <w:t>本项目噪声源主要来自机泵、空压机等，如未采取相应的降噪、隔声、防振措施，可能会造成作业现场噪声超标。噪声对人体的危害是多方面的，</w:t>
      </w:r>
      <w:r w:rsidRPr="00123108">
        <w:rPr>
          <w:rFonts w:ascii="宋体" w:hAnsi="宋体" w:hint="eastAsia"/>
          <w:sz w:val="28"/>
          <w:szCs w:val="28"/>
        </w:rPr>
        <w:lastRenderedPageBreak/>
        <w:t>对听觉系统，噪声会造成暂时性或永久性听觉损伤，特别是长期接触高强度噪声会导致内耳耳蜗底部的感受器发生不可逆病变，或者永久性听觉损伤，形成噪声性耳聋，而这种耳聋一旦发生就难以治愈。因此，噪声对听觉系统的影响很大，进而会影响到作业人员的日常工作或生活。噪声强度越大，接触时间越长，其危害也越严重。</w:t>
      </w:r>
    </w:p>
    <w:p w:rsidR="004F34D9" w:rsidRPr="00123108" w:rsidRDefault="004F34D9" w:rsidP="00D06780">
      <w:pPr>
        <w:pStyle w:val="3"/>
        <w:spacing w:line="500" w:lineRule="exact"/>
        <w:jc w:val="both"/>
        <w:rPr>
          <w:sz w:val="28"/>
          <w:szCs w:val="28"/>
        </w:rPr>
      </w:pPr>
      <w:bookmarkStart w:id="1481" w:name="_Toc71582950"/>
      <w:bookmarkStart w:id="1482" w:name="_Toc190935869"/>
      <w:r w:rsidRPr="00123108">
        <w:rPr>
          <w:rFonts w:hint="eastAsia"/>
          <w:sz w:val="28"/>
          <w:szCs w:val="28"/>
        </w:rPr>
        <w:t>附件1.11.3  高处坠落和物体打击</w:t>
      </w:r>
      <w:bookmarkEnd w:id="1481"/>
      <w:bookmarkEnd w:id="1482"/>
    </w:p>
    <w:p w:rsidR="004F34D9" w:rsidRPr="00123108" w:rsidRDefault="004F34D9" w:rsidP="00D06780">
      <w:pPr>
        <w:spacing w:line="500" w:lineRule="exact"/>
        <w:ind w:firstLine="560"/>
        <w:rPr>
          <w:rFonts w:ascii="宋体" w:hAnsi="宋体"/>
          <w:sz w:val="28"/>
        </w:rPr>
      </w:pPr>
      <w:r w:rsidRPr="00123108">
        <w:rPr>
          <w:rFonts w:ascii="宋体" w:hAnsi="宋体" w:hint="eastAsia"/>
          <w:sz w:val="28"/>
        </w:rPr>
        <w:t>操作员工在进行生产操作、巡回检查、设备维修时，经常需要登高、下梯及在高处走动，若防护栏杆、平台设计、制造、保养有缺陷，容易发生高处坠落等伤害。高处坠落事故主要原因有：高处作业人员有不适应的疾病，或酒后从事高处作业，致使高处坠落；高处作业人员情绪不好，注意力不集中，造成失误；违反高处作业操作规程；防护措施不当，安装质量问题；维护不及时、腐蚀；照明不足等。</w:t>
      </w:r>
    </w:p>
    <w:p w:rsidR="004F34D9" w:rsidRPr="00123108" w:rsidRDefault="004F34D9" w:rsidP="00D06780">
      <w:pPr>
        <w:spacing w:line="500" w:lineRule="exact"/>
        <w:ind w:firstLine="560"/>
        <w:rPr>
          <w:rFonts w:ascii="宋体" w:hAnsi="宋体"/>
          <w:sz w:val="28"/>
        </w:rPr>
      </w:pPr>
      <w:r w:rsidRPr="00123108">
        <w:rPr>
          <w:rFonts w:ascii="宋体" w:hAnsi="宋体" w:hint="eastAsia"/>
          <w:sz w:val="28"/>
        </w:rPr>
        <w:t>在设备、管道等检修、安装等作业过程中可能因防范措施缺少或不当、作业人员操作失误、疏忽、违反安全操作规程要求从高处向下抛掷物体等原因，存在对人体物体打击危险性。也可能因高处物体未固定受到如大风、振动等环境、气候因素影响引起高处物体坠落伤人事故。</w:t>
      </w:r>
    </w:p>
    <w:p w:rsidR="004F34D9" w:rsidRPr="00123108" w:rsidRDefault="004F34D9" w:rsidP="00D06780">
      <w:pPr>
        <w:pStyle w:val="3"/>
        <w:spacing w:line="500" w:lineRule="exact"/>
        <w:jc w:val="both"/>
        <w:rPr>
          <w:sz w:val="28"/>
          <w:szCs w:val="28"/>
        </w:rPr>
      </w:pPr>
      <w:bookmarkStart w:id="1483" w:name="_Toc71582951"/>
      <w:bookmarkStart w:id="1484" w:name="_Toc190935870"/>
      <w:r w:rsidRPr="00123108">
        <w:rPr>
          <w:rFonts w:hint="eastAsia"/>
          <w:sz w:val="28"/>
          <w:szCs w:val="28"/>
        </w:rPr>
        <w:t>附件1.11.4  窒息伤害</w:t>
      </w:r>
      <w:bookmarkEnd w:id="1483"/>
      <w:bookmarkEnd w:id="1484"/>
    </w:p>
    <w:p w:rsidR="004F34D9" w:rsidRPr="00123108" w:rsidRDefault="004F34D9" w:rsidP="00D06780">
      <w:pPr>
        <w:pStyle w:val="a9"/>
        <w:spacing w:line="500" w:lineRule="exact"/>
        <w:ind w:firstLineChars="200" w:firstLine="480"/>
        <w:rPr>
          <w:rFonts w:hAnsi="宋体"/>
        </w:rPr>
      </w:pPr>
      <w:r w:rsidRPr="00123108">
        <w:rPr>
          <w:rFonts w:hAnsi="宋体" w:hint="eastAsia"/>
        </w:rPr>
        <w:t>在罐、釜等设备内作业时，如果在罐、釜内的含氧量过低或罐、釜内的有害物质尚未置换干净或氮气作业场所发生氮气泄漏，都有可能造成作业人员窒息伤害。</w:t>
      </w:r>
    </w:p>
    <w:p w:rsidR="004F34D9" w:rsidRPr="00123108" w:rsidRDefault="004F34D9" w:rsidP="00D06780">
      <w:pPr>
        <w:pStyle w:val="3"/>
        <w:spacing w:line="500" w:lineRule="exact"/>
        <w:jc w:val="both"/>
        <w:rPr>
          <w:sz w:val="28"/>
          <w:szCs w:val="28"/>
        </w:rPr>
      </w:pPr>
      <w:bookmarkStart w:id="1485" w:name="_Toc71582952"/>
      <w:bookmarkStart w:id="1486" w:name="_Toc190935871"/>
      <w:r w:rsidRPr="00123108">
        <w:rPr>
          <w:rFonts w:hint="eastAsia"/>
          <w:sz w:val="28"/>
          <w:szCs w:val="28"/>
        </w:rPr>
        <w:t>附件1.11.5  粉尘危害</w:t>
      </w:r>
      <w:bookmarkEnd w:id="1485"/>
      <w:bookmarkEnd w:id="1486"/>
    </w:p>
    <w:p w:rsidR="004F34D9" w:rsidRPr="00123108" w:rsidRDefault="004F34D9" w:rsidP="00D06780">
      <w:pPr>
        <w:spacing w:line="500" w:lineRule="exact"/>
        <w:ind w:firstLine="560"/>
        <w:rPr>
          <w:rFonts w:ascii="宋体" w:hAnsi="宋体"/>
          <w:sz w:val="28"/>
        </w:rPr>
      </w:pPr>
      <w:r w:rsidRPr="00123108">
        <w:rPr>
          <w:rFonts w:ascii="宋体" w:hAnsi="宋体" w:hint="eastAsia"/>
          <w:sz w:val="28"/>
        </w:rPr>
        <w:t>本项目使用的产品聚苯乙烯及部分辅料为颗粒状固体颗粒，生产现场有少量粉尘产生，如设备选型不当、通风条件不良、员工操作不当或管理不善，</w:t>
      </w:r>
      <w:r w:rsidR="00F278C6" w:rsidRPr="00123108">
        <w:rPr>
          <w:rFonts w:ascii="宋体" w:hAnsi="宋体" w:hint="eastAsia"/>
          <w:sz w:val="28"/>
        </w:rPr>
        <w:t>均有可能造成工作场所空气中粉尘浓度过高</w:t>
      </w:r>
      <w:r w:rsidRPr="00123108">
        <w:rPr>
          <w:rFonts w:ascii="宋体" w:hAnsi="宋体" w:hint="eastAsia"/>
          <w:sz w:val="28"/>
        </w:rPr>
        <w:t>，如遇明火有发生粉尘爆炸风险。如现场员工缺乏良好防护设施即会对人体健康造成一定影响，</w:t>
      </w:r>
      <w:r w:rsidRPr="00123108">
        <w:rPr>
          <w:rFonts w:ascii="宋体" w:hAnsi="宋体"/>
          <w:sz w:val="28"/>
        </w:rPr>
        <w:t>有尘作业工人长时间吸入粉尘，能引起肺部组织纤维化为主的病变、硬化，丧失正常的呼吸功能，导致尘肺病。</w:t>
      </w:r>
    </w:p>
    <w:p w:rsidR="004F34D9" w:rsidRPr="00123108" w:rsidRDefault="004F34D9" w:rsidP="00D06780">
      <w:pPr>
        <w:pStyle w:val="3"/>
        <w:spacing w:line="500" w:lineRule="exact"/>
        <w:jc w:val="both"/>
        <w:rPr>
          <w:sz w:val="28"/>
          <w:szCs w:val="28"/>
        </w:rPr>
      </w:pPr>
      <w:bookmarkStart w:id="1487" w:name="_Toc71582953"/>
      <w:bookmarkStart w:id="1488" w:name="_Toc190935872"/>
      <w:r w:rsidRPr="00123108">
        <w:rPr>
          <w:rFonts w:hint="eastAsia"/>
          <w:sz w:val="28"/>
          <w:szCs w:val="28"/>
        </w:rPr>
        <w:t>附件1.11.6  淹溺伤害</w:t>
      </w:r>
      <w:bookmarkEnd w:id="1487"/>
      <w:bookmarkEnd w:id="1488"/>
    </w:p>
    <w:p w:rsidR="004F34D9" w:rsidRPr="00123108" w:rsidRDefault="004F34D9" w:rsidP="00D06780">
      <w:pPr>
        <w:spacing w:line="500" w:lineRule="exact"/>
        <w:ind w:firstLine="560"/>
        <w:rPr>
          <w:rFonts w:ascii="宋体" w:hAnsi="宋体"/>
          <w:sz w:val="28"/>
        </w:rPr>
      </w:pPr>
      <w:r w:rsidRPr="00123108">
        <w:rPr>
          <w:rFonts w:ascii="宋体" w:hAnsi="宋体" w:hint="eastAsia"/>
          <w:sz w:val="28"/>
          <w:szCs w:val="28"/>
        </w:rPr>
        <w:t>企业设有循环水池、污水处理池等，如水池四周未设置围栏等安全设施，</w:t>
      </w:r>
      <w:r w:rsidRPr="00123108">
        <w:rPr>
          <w:rFonts w:ascii="宋体" w:hAnsi="宋体" w:hint="eastAsia"/>
          <w:sz w:val="28"/>
          <w:szCs w:val="28"/>
        </w:rPr>
        <w:lastRenderedPageBreak/>
        <w:t>人员有可能坠落水池中，发生淹溺事故。</w:t>
      </w:r>
    </w:p>
    <w:p w:rsidR="004F34D9" w:rsidRPr="00123108" w:rsidRDefault="004F34D9" w:rsidP="00D06780">
      <w:pPr>
        <w:pStyle w:val="3"/>
        <w:spacing w:line="500" w:lineRule="exact"/>
        <w:jc w:val="both"/>
        <w:rPr>
          <w:sz w:val="28"/>
          <w:szCs w:val="28"/>
        </w:rPr>
      </w:pPr>
      <w:bookmarkStart w:id="1489" w:name="_Toc71582954"/>
      <w:bookmarkStart w:id="1490" w:name="_Toc190935873"/>
      <w:r w:rsidRPr="00123108">
        <w:rPr>
          <w:rFonts w:hint="eastAsia"/>
          <w:sz w:val="28"/>
          <w:szCs w:val="28"/>
        </w:rPr>
        <w:t>附件1.11.7  机械伤害</w:t>
      </w:r>
      <w:bookmarkEnd w:id="1489"/>
      <w:bookmarkEnd w:id="1490"/>
    </w:p>
    <w:p w:rsidR="004F34D9" w:rsidRPr="00123108" w:rsidRDefault="004F34D9" w:rsidP="00D06780">
      <w:pPr>
        <w:spacing w:line="500" w:lineRule="exact"/>
        <w:ind w:firstLine="560"/>
        <w:rPr>
          <w:rFonts w:ascii="宋体" w:hAnsi="宋体"/>
          <w:sz w:val="28"/>
        </w:rPr>
      </w:pPr>
      <w:r w:rsidRPr="00123108">
        <w:rPr>
          <w:rFonts w:ascii="宋体" w:hAnsi="宋体" w:hint="eastAsia"/>
          <w:sz w:val="28"/>
        </w:rPr>
        <w:t>企业机械设备使用不当，可能造成财产和人员伤亡。某些设备的快速转动部件、快速移动部件、摆动部件、啮合部位若缺乏良好的防护设施，也有可能伤及人体。</w:t>
      </w:r>
    </w:p>
    <w:p w:rsidR="004F34D9" w:rsidRPr="00123108" w:rsidRDefault="004F34D9" w:rsidP="00D06780">
      <w:pPr>
        <w:pStyle w:val="3"/>
        <w:spacing w:line="500" w:lineRule="exact"/>
        <w:jc w:val="both"/>
        <w:rPr>
          <w:sz w:val="28"/>
          <w:szCs w:val="28"/>
        </w:rPr>
      </w:pPr>
      <w:bookmarkStart w:id="1491" w:name="_Toc71582955"/>
      <w:bookmarkStart w:id="1492" w:name="_Toc190935874"/>
      <w:r w:rsidRPr="00123108">
        <w:rPr>
          <w:rFonts w:hint="eastAsia"/>
          <w:sz w:val="28"/>
          <w:szCs w:val="28"/>
        </w:rPr>
        <w:t>附件1.11.8  起重伤害</w:t>
      </w:r>
      <w:bookmarkEnd w:id="1491"/>
      <w:bookmarkEnd w:id="1492"/>
    </w:p>
    <w:p w:rsidR="004F34D9" w:rsidRPr="00123108" w:rsidRDefault="004F34D9" w:rsidP="00D06780">
      <w:pPr>
        <w:spacing w:line="500" w:lineRule="exact"/>
        <w:ind w:firstLine="560"/>
        <w:rPr>
          <w:rFonts w:ascii="宋体" w:hAnsi="宋体"/>
          <w:sz w:val="28"/>
        </w:rPr>
      </w:pPr>
      <w:r w:rsidRPr="00123108">
        <w:rPr>
          <w:rFonts w:ascii="宋体" w:hAnsi="宋体" w:hint="eastAsia"/>
          <w:sz w:val="28"/>
        </w:rPr>
        <w:t>本项目电梯属起重设备，在生产使用中可能发生如下危险：</w:t>
      </w:r>
    </w:p>
    <w:p w:rsidR="004F34D9" w:rsidRPr="00123108" w:rsidRDefault="004F34D9" w:rsidP="00D06780">
      <w:pPr>
        <w:spacing w:line="500" w:lineRule="exact"/>
        <w:ind w:firstLine="560"/>
        <w:rPr>
          <w:rFonts w:ascii="宋体" w:hAnsi="宋体"/>
          <w:sz w:val="28"/>
        </w:rPr>
      </w:pPr>
      <w:r w:rsidRPr="00123108">
        <w:rPr>
          <w:rFonts w:ascii="宋体" w:hAnsi="宋体" w:hint="eastAsia"/>
          <w:sz w:val="28"/>
        </w:rPr>
        <w:t>（1）电梯的零件故障（特别是制动器失灵、钢丝绳断裂）等都会引发重物坠落。处于高位置的物体具有势能，当坠落时，势能迅速转化为动能，上吨重的吊载物意外坠落，或电梯的金属构件破坏、坠落，均可能造成严重后果。</w:t>
      </w:r>
    </w:p>
    <w:p w:rsidR="004F34D9" w:rsidRPr="00123108" w:rsidRDefault="004F34D9" w:rsidP="00D06780">
      <w:pPr>
        <w:spacing w:line="500" w:lineRule="exact"/>
        <w:ind w:firstLine="560"/>
        <w:rPr>
          <w:rFonts w:ascii="宋体" w:hAnsi="宋体"/>
          <w:sz w:val="28"/>
        </w:rPr>
      </w:pPr>
      <w:r w:rsidRPr="00123108">
        <w:rPr>
          <w:rFonts w:ascii="宋体" w:hAnsi="宋体" w:hint="eastAsia"/>
          <w:sz w:val="28"/>
        </w:rPr>
        <w:t>（2）电梯轨道两侧缺乏良好的安全通道或与建筑结构之间缺乏足够的安全距离，使运行或回转的金属构件对人员造成夹挤伤害；运行机构的操作失误或制动器失灵引起溜车，造成碾压伤害等。</w:t>
      </w:r>
    </w:p>
    <w:p w:rsidR="004F34D9" w:rsidRPr="00123108" w:rsidRDefault="004F34D9" w:rsidP="00D06780">
      <w:pPr>
        <w:spacing w:line="500" w:lineRule="exact"/>
        <w:ind w:firstLine="560"/>
        <w:rPr>
          <w:rFonts w:ascii="宋体" w:hAnsi="宋体"/>
          <w:sz w:val="28"/>
        </w:rPr>
      </w:pPr>
      <w:r w:rsidRPr="00123108">
        <w:rPr>
          <w:rFonts w:ascii="宋体" w:hAnsi="宋体" w:hint="eastAsia"/>
          <w:sz w:val="28"/>
        </w:rPr>
        <w:t>（3）电梯本身质量有问题、长久失修或无出厂合格证，均可能造成起重伤害事故。</w:t>
      </w:r>
    </w:p>
    <w:p w:rsidR="004F34D9" w:rsidRPr="00123108" w:rsidRDefault="004F34D9" w:rsidP="00D06780">
      <w:pPr>
        <w:spacing w:line="500" w:lineRule="exact"/>
        <w:ind w:firstLine="560"/>
        <w:rPr>
          <w:rFonts w:ascii="宋体" w:hAnsi="宋体"/>
          <w:sz w:val="28"/>
        </w:rPr>
      </w:pPr>
      <w:r w:rsidRPr="00123108">
        <w:rPr>
          <w:rFonts w:ascii="宋体" w:hAnsi="宋体" w:hint="eastAsia"/>
          <w:sz w:val="28"/>
        </w:rPr>
        <w:t>（4）电梯操作人员无操作证、起重操作时注意力不集中或违章操作、违规操作，均可能造成起重伤害事故。</w:t>
      </w:r>
    </w:p>
    <w:p w:rsidR="004F34D9" w:rsidRPr="00123108" w:rsidRDefault="004F34D9" w:rsidP="00D06780">
      <w:pPr>
        <w:spacing w:line="500" w:lineRule="exact"/>
        <w:ind w:firstLine="560"/>
        <w:rPr>
          <w:rFonts w:ascii="宋体" w:hAnsi="宋体"/>
          <w:sz w:val="28"/>
        </w:rPr>
      </w:pPr>
      <w:r w:rsidRPr="00123108">
        <w:rPr>
          <w:rFonts w:ascii="宋体" w:hAnsi="宋体" w:hint="eastAsia"/>
          <w:sz w:val="28"/>
        </w:rPr>
        <w:t>（5）人体与电梯运动零部件接触可引起绞、碾、戳等伤害；飞出物体可能会引起打击伤害。</w:t>
      </w:r>
    </w:p>
    <w:p w:rsidR="004F34D9" w:rsidRPr="00123108" w:rsidRDefault="004F34D9" w:rsidP="00D06780">
      <w:pPr>
        <w:spacing w:line="500" w:lineRule="exact"/>
        <w:ind w:firstLine="560"/>
        <w:rPr>
          <w:rFonts w:ascii="宋体" w:hAnsi="宋体"/>
          <w:sz w:val="28"/>
        </w:rPr>
      </w:pPr>
      <w:r w:rsidRPr="00123108">
        <w:rPr>
          <w:rFonts w:ascii="宋体" w:hAnsi="宋体" w:hint="eastAsia"/>
          <w:sz w:val="28"/>
        </w:rPr>
        <w:t>（6）电梯长期受腐蚀其承重构件承重量下降，容易对人员造成起重伤害。</w:t>
      </w:r>
    </w:p>
    <w:p w:rsidR="004F34D9" w:rsidRPr="00123108" w:rsidRDefault="004F34D9" w:rsidP="00D06780">
      <w:pPr>
        <w:pStyle w:val="3"/>
        <w:spacing w:line="500" w:lineRule="exact"/>
        <w:jc w:val="both"/>
        <w:rPr>
          <w:sz w:val="28"/>
          <w:szCs w:val="28"/>
        </w:rPr>
      </w:pPr>
      <w:bookmarkStart w:id="1493" w:name="_Toc71582956"/>
      <w:bookmarkStart w:id="1494" w:name="_Toc190935875"/>
      <w:r w:rsidRPr="00123108">
        <w:rPr>
          <w:rFonts w:hint="eastAsia"/>
          <w:sz w:val="28"/>
          <w:szCs w:val="28"/>
        </w:rPr>
        <w:t>附件1.11.9  坍塌危害</w:t>
      </w:r>
      <w:bookmarkEnd w:id="1493"/>
      <w:bookmarkEnd w:id="1494"/>
    </w:p>
    <w:p w:rsidR="004F34D9" w:rsidRPr="00123108" w:rsidRDefault="004F34D9" w:rsidP="00D06780">
      <w:pPr>
        <w:spacing w:line="500" w:lineRule="exact"/>
        <w:ind w:firstLine="560"/>
        <w:rPr>
          <w:rFonts w:ascii="宋体" w:hAnsi="宋体"/>
          <w:sz w:val="28"/>
          <w:szCs w:val="28"/>
        </w:rPr>
      </w:pPr>
      <w:r w:rsidRPr="00123108">
        <w:rPr>
          <w:rFonts w:ascii="宋体" w:hAnsi="宋体" w:hint="eastAsia"/>
          <w:sz w:val="28"/>
          <w:szCs w:val="28"/>
        </w:rPr>
        <w:t>成品、原料以及包装容器在存放过程中，如堆码过高或堆置不合理，有可能引起堆置物的倒塌而造成事故；操作钢平台上堆置物过重超过平台自身的强度极限或因结构稳定性破坏，也可能造成操作平台的坍塌事故。</w:t>
      </w:r>
    </w:p>
    <w:p w:rsidR="004F34D9" w:rsidRPr="00123108" w:rsidRDefault="004F34D9" w:rsidP="00D06780">
      <w:pPr>
        <w:pStyle w:val="3"/>
        <w:spacing w:line="500" w:lineRule="exact"/>
        <w:jc w:val="both"/>
        <w:rPr>
          <w:sz w:val="28"/>
          <w:szCs w:val="28"/>
        </w:rPr>
      </w:pPr>
      <w:bookmarkStart w:id="1495" w:name="_Toc71582957"/>
      <w:bookmarkStart w:id="1496" w:name="_Toc190935876"/>
      <w:r w:rsidRPr="00123108">
        <w:rPr>
          <w:rFonts w:hint="eastAsia"/>
          <w:sz w:val="28"/>
          <w:szCs w:val="28"/>
        </w:rPr>
        <w:t>附件1.11.10  高温危害</w:t>
      </w:r>
      <w:bookmarkEnd w:id="1495"/>
      <w:bookmarkEnd w:id="1496"/>
    </w:p>
    <w:p w:rsidR="004F34D9" w:rsidRPr="00123108" w:rsidRDefault="004F34D9" w:rsidP="00D06780">
      <w:pPr>
        <w:spacing w:line="500" w:lineRule="exact"/>
        <w:ind w:firstLineChars="200" w:firstLine="560"/>
        <w:rPr>
          <w:rFonts w:ascii="宋体" w:hAnsi="宋体"/>
          <w:sz w:val="28"/>
          <w:szCs w:val="28"/>
        </w:rPr>
      </w:pPr>
      <w:r w:rsidRPr="00123108">
        <w:rPr>
          <w:rFonts w:ascii="宋体" w:hAnsi="宋体" w:hint="eastAsia"/>
          <w:sz w:val="28"/>
          <w:szCs w:val="28"/>
        </w:rPr>
        <w:t>本项目的生产性热源主要指反应槽、蒸汽管道等高温设备、管道，其保</w:t>
      </w:r>
      <w:r w:rsidRPr="00123108">
        <w:rPr>
          <w:rFonts w:ascii="宋体" w:hAnsi="宋体" w:hint="eastAsia"/>
          <w:sz w:val="28"/>
          <w:szCs w:val="28"/>
        </w:rPr>
        <w:lastRenderedPageBreak/>
        <w:t>温不良或操作人员防护不当均可引起人员烫伤。</w:t>
      </w:r>
      <w:r w:rsidRPr="00123108">
        <w:rPr>
          <w:rFonts w:ascii="宋体" w:hAnsi="宋体"/>
          <w:sz w:val="28"/>
          <w:szCs w:val="28"/>
        </w:rPr>
        <w:t>操作人员在露天作业</w:t>
      </w:r>
      <w:r w:rsidRPr="00123108">
        <w:rPr>
          <w:rFonts w:ascii="宋体" w:hAnsi="宋体" w:hint="eastAsia"/>
          <w:sz w:val="28"/>
          <w:szCs w:val="28"/>
        </w:rPr>
        <w:t>、长输管道巡检</w:t>
      </w:r>
      <w:r w:rsidRPr="00123108">
        <w:rPr>
          <w:rFonts w:ascii="宋体" w:hAnsi="宋体"/>
          <w:sz w:val="28"/>
          <w:szCs w:val="28"/>
        </w:rPr>
        <w:t>时容易引起中暑危险。在高温季节，当大气环境的温度达到当地通风设计温度及以上时，生产热源附近的空气温度有可能高于大气环境温度的2</w:t>
      </w:r>
      <w:r w:rsidRPr="00123108">
        <w:rPr>
          <w:rFonts w:ascii="宋体" w:hAnsi="宋体" w:hint="eastAsia"/>
          <w:sz w:val="28"/>
          <w:szCs w:val="28"/>
        </w:rPr>
        <w:t>度</w:t>
      </w:r>
      <w:r w:rsidRPr="00123108">
        <w:rPr>
          <w:rFonts w:ascii="宋体" w:hAnsi="宋体"/>
          <w:sz w:val="28"/>
          <w:szCs w:val="28"/>
        </w:rPr>
        <w:t>或以上，会对工作人员产生高温危害。</w:t>
      </w:r>
    </w:p>
    <w:p w:rsidR="004F34D9" w:rsidRPr="00123108" w:rsidRDefault="004F34D9" w:rsidP="00D06780">
      <w:pPr>
        <w:spacing w:line="500" w:lineRule="exact"/>
        <w:ind w:firstLineChars="200" w:firstLine="560"/>
        <w:rPr>
          <w:rFonts w:ascii="宋体" w:hAnsi="宋体"/>
          <w:sz w:val="28"/>
          <w:szCs w:val="28"/>
        </w:rPr>
      </w:pPr>
      <w:r w:rsidRPr="00123108">
        <w:rPr>
          <w:rFonts w:ascii="宋体" w:hAnsi="宋体"/>
          <w:sz w:val="28"/>
          <w:szCs w:val="28"/>
        </w:rPr>
        <w:t>高温还对储存危险化学品的储罐有影响，高温会增加挥发量，导致储罐内部饱和</w:t>
      </w:r>
      <w:r w:rsidRPr="00123108">
        <w:rPr>
          <w:rFonts w:ascii="宋体" w:hAnsi="宋体" w:hint="eastAsia"/>
          <w:sz w:val="28"/>
          <w:szCs w:val="28"/>
        </w:rPr>
        <w:t>蒸气</w:t>
      </w:r>
      <w:r w:rsidRPr="00123108">
        <w:rPr>
          <w:rFonts w:ascii="宋体" w:hAnsi="宋体"/>
          <w:sz w:val="28"/>
          <w:szCs w:val="28"/>
        </w:rPr>
        <w:t>压升高，增加设备的危险性。另外，还会影响正常生产，</w:t>
      </w:r>
      <w:r w:rsidRPr="00123108">
        <w:rPr>
          <w:rFonts w:ascii="宋体" w:hAnsi="宋体" w:hint="eastAsia"/>
          <w:sz w:val="28"/>
          <w:szCs w:val="28"/>
        </w:rPr>
        <w:t>如</w:t>
      </w:r>
      <w:r w:rsidRPr="00123108">
        <w:rPr>
          <w:rFonts w:ascii="宋体" w:hAnsi="宋体"/>
          <w:sz w:val="28"/>
          <w:szCs w:val="28"/>
        </w:rPr>
        <w:t>导致进料困难。</w:t>
      </w:r>
    </w:p>
    <w:p w:rsidR="004F34D9" w:rsidRPr="00123108" w:rsidRDefault="004F34D9" w:rsidP="00D06780">
      <w:pPr>
        <w:pStyle w:val="3"/>
        <w:spacing w:line="500" w:lineRule="exact"/>
        <w:jc w:val="both"/>
        <w:rPr>
          <w:sz w:val="28"/>
          <w:szCs w:val="28"/>
        </w:rPr>
      </w:pPr>
      <w:bookmarkStart w:id="1497" w:name="_Toc71582958"/>
      <w:bookmarkStart w:id="1498" w:name="_Toc190935877"/>
      <w:r w:rsidRPr="00123108">
        <w:rPr>
          <w:rFonts w:hint="eastAsia"/>
          <w:sz w:val="28"/>
          <w:szCs w:val="28"/>
        </w:rPr>
        <w:t>附件1.11.11  低温危害</w:t>
      </w:r>
      <w:bookmarkEnd w:id="1497"/>
      <w:bookmarkEnd w:id="1498"/>
    </w:p>
    <w:p w:rsidR="004F34D9" w:rsidRPr="00123108" w:rsidRDefault="004F34D9" w:rsidP="00D06780">
      <w:pPr>
        <w:spacing w:line="500" w:lineRule="exact"/>
        <w:ind w:firstLineChars="200" w:firstLine="560"/>
        <w:rPr>
          <w:rFonts w:ascii="宋体" w:hAnsi="宋体"/>
          <w:sz w:val="28"/>
          <w:szCs w:val="28"/>
        </w:rPr>
      </w:pPr>
      <w:r w:rsidRPr="00123108">
        <w:rPr>
          <w:rFonts w:ascii="宋体" w:hAnsi="宋体"/>
          <w:sz w:val="28"/>
          <w:szCs w:val="28"/>
        </w:rPr>
        <w:t>冬季气温低</w:t>
      </w:r>
      <w:r w:rsidRPr="00123108">
        <w:rPr>
          <w:rFonts w:ascii="宋体" w:hAnsi="宋体" w:hint="eastAsia"/>
          <w:sz w:val="28"/>
          <w:szCs w:val="28"/>
        </w:rPr>
        <w:t>或制冷系统冷媒流过的部位</w:t>
      </w:r>
      <w:r w:rsidRPr="00123108">
        <w:rPr>
          <w:rFonts w:ascii="宋体" w:hAnsi="宋体"/>
          <w:sz w:val="28"/>
          <w:szCs w:val="28"/>
        </w:rPr>
        <w:t>，作业人员的巡检、检修等有可能处于露天作业</w:t>
      </w:r>
      <w:r w:rsidRPr="00123108">
        <w:rPr>
          <w:rFonts w:ascii="宋体" w:hAnsi="宋体" w:hint="eastAsia"/>
          <w:sz w:val="28"/>
          <w:szCs w:val="28"/>
        </w:rPr>
        <w:t>或直接接触冷媒</w:t>
      </w:r>
      <w:r w:rsidRPr="00123108">
        <w:rPr>
          <w:rFonts w:ascii="宋体" w:hAnsi="宋体"/>
          <w:sz w:val="28"/>
          <w:szCs w:val="28"/>
        </w:rPr>
        <w:t>，如防护措施不到位，会造成人员冻伤</w:t>
      </w:r>
      <w:r w:rsidRPr="00123108">
        <w:rPr>
          <w:rFonts w:ascii="宋体" w:hAnsi="宋体" w:hint="eastAsia"/>
          <w:sz w:val="28"/>
          <w:szCs w:val="28"/>
        </w:rPr>
        <w:t>，特别是冬季管道巡检人员存在人员冻伤的可能</w:t>
      </w:r>
      <w:r w:rsidRPr="00123108">
        <w:rPr>
          <w:rFonts w:ascii="宋体" w:hAnsi="宋体"/>
          <w:sz w:val="28"/>
          <w:szCs w:val="28"/>
        </w:rPr>
        <w:t>。另外，设备、管道等隔热措施不到位，可能导致冻裂引起物料的泄漏，继而引发事故。</w:t>
      </w:r>
    </w:p>
    <w:p w:rsidR="004F34D9" w:rsidRPr="00123108" w:rsidRDefault="004F34D9" w:rsidP="00D06780">
      <w:pPr>
        <w:spacing w:line="500" w:lineRule="exact"/>
        <w:outlineLvl w:val="2"/>
        <w:rPr>
          <w:rFonts w:ascii="宋体" w:hAnsi="宋体" w:cs="宋体" w:hint="eastAsia"/>
          <w:b/>
          <w:bCs/>
          <w:sz w:val="28"/>
          <w:szCs w:val="28"/>
          <w:lang w:val="zh-CN"/>
        </w:rPr>
      </w:pPr>
      <w:bookmarkStart w:id="1499" w:name="_Toc16127"/>
      <w:bookmarkStart w:id="1500" w:name="_Toc404979556"/>
      <w:bookmarkStart w:id="1501" w:name="_Toc239307155"/>
      <w:bookmarkStart w:id="1502" w:name="_Toc218932770"/>
      <w:bookmarkStart w:id="1503" w:name="_Toc186878380"/>
      <w:bookmarkStart w:id="1504" w:name="_Toc469519416"/>
      <w:bookmarkStart w:id="1505" w:name="_Toc436741569"/>
      <w:bookmarkStart w:id="1506" w:name="_Toc194136838"/>
      <w:bookmarkStart w:id="1507" w:name="_Toc405004579"/>
      <w:bookmarkStart w:id="1508" w:name="_Toc177714790"/>
      <w:bookmarkStart w:id="1509" w:name="_Toc22551"/>
      <w:bookmarkStart w:id="1510" w:name="_Toc186878379"/>
      <w:bookmarkStart w:id="1511" w:name="_Toc239307154"/>
      <w:bookmarkStart w:id="1512" w:name="_Toc171125287"/>
      <w:bookmarkStart w:id="1513" w:name="_Toc173226360"/>
      <w:bookmarkStart w:id="1514" w:name="_Toc177714789"/>
      <w:bookmarkStart w:id="1515" w:name="_Toc171775512"/>
      <w:bookmarkStart w:id="1516" w:name="_Toc103418881"/>
      <w:bookmarkStart w:id="1517" w:name="_Toc112115474"/>
      <w:bookmarkStart w:id="1518" w:name="_Toc154386414"/>
      <w:bookmarkStart w:id="1519" w:name="_Toc172105725"/>
      <w:bookmarkStart w:id="1520" w:name="_Toc104713738"/>
      <w:bookmarkStart w:id="1521" w:name="_Toc137265582"/>
      <w:bookmarkStart w:id="1522" w:name="_Toc100138870"/>
      <w:bookmarkStart w:id="1523" w:name="_Toc404979555"/>
      <w:bookmarkStart w:id="1524" w:name="_Toc157313399"/>
      <w:bookmarkStart w:id="1525" w:name="_Toc103418569"/>
      <w:bookmarkStart w:id="1526" w:name="_Toc160075321"/>
      <w:bookmarkStart w:id="1527" w:name="_Toc218932769"/>
      <w:bookmarkStart w:id="1528" w:name="_Toc194136837"/>
      <w:bookmarkStart w:id="1529" w:name="_Toc130271221"/>
      <w:bookmarkStart w:id="1530" w:name="_Toc190935878"/>
      <w:bookmarkEnd w:id="1469"/>
      <w:bookmarkEnd w:id="1470"/>
      <w:bookmarkEnd w:id="1471"/>
      <w:bookmarkEnd w:id="1473"/>
      <w:bookmarkEnd w:id="1474"/>
      <w:r w:rsidRPr="00123108">
        <w:rPr>
          <w:rFonts w:ascii="宋体" w:hAnsi="宋体" w:cs="宋体" w:hint="eastAsia"/>
          <w:b/>
          <w:bCs/>
          <w:sz w:val="28"/>
          <w:szCs w:val="28"/>
          <w:lang w:val="zh-CN"/>
        </w:rPr>
        <w:t>附件</w:t>
      </w:r>
      <w:r w:rsidRPr="00123108">
        <w:rPr>
          <w:rFonts w:ascii="宋体" w:hAnsi="宋体" w:cs="宋体" w:hint="eastAsia"/>
          <w:b/>
          <w:bCs/>
          <w:sz w:val="28"/>
          <w:szCs w:val="28"/>
        </w:rPr>
        <w:t>1</w:t>
      </w:r>
      <w:r w:rsidRPr="00123108">
        <w:rPr>
          <w:rFonts w:ascii="宋体" w:hAnsi="宋体" w:cs="宋体" w:hint="eastAsia"/>
          <w:b/>
          <w:bCs/>
          <w:sz w:val="28"/>
          <w:szCs w:val="28"/>
          <w:lang w:val="zh-CN"/>
        </w:rPr>
        <w:t xml:space="preserve">.11.12 </w:t>
      </w:r>
      <w:r w:rsidRPr="00123108">
        <w:rPr>
          <w:rFonts w:ascii="宋体" w:hAnsi="宋体" w:cs="宋体" w:hint="eastAsia"/>
          <w:b/>
          <w:bCs/>
          <w:sz w:val="28"/>
          <w:szCs w:val="28"/>
        </w:rPr>
        <w:t xml:space="preserve"> </w:t>
      </w:r>
      <w:r w:rsidRPr="00123108">
        <w:rPr>
          <w:rFonts w:ascii="宋体" w:hAnsi="宋体" w:cs="宋体" w:hint="eastAsia"/>
          <w:b/>
          <w:bCs/>
          <w:sz w:val="28"/>
          <w:szCs w:val="28"/>
          <w:lang w:val="zh-CN"/>
        </w:rPr>
        <w:t>安全管理缺陷</w:t>
      </w:r>
      <w:bookmarkEnd w:id="1499"/>
      <w:bookmarkEnd w:id="1500"/>
      <w:bookmarkEnd w:id="1501"/>
      <w:bookmarkEnd w:id="1502"/>
      <w:bookmarkEnd w:id="1503"/>
      <w:bookmarkEnd w:id="1504"/>
      <w:bookmarkEnd w:id="1505"/>
      <w:bookmarkEnd w:id="1506"/>
      <w:bookmarkEnd w:id="1507"/>
      <w:bookmarkEnd w:id="1508"/>
      <w:bookmarkEnd w:id="1509"/>
      <w:bookmarkEnd w:id="1530"/>
    </w:p>
    <w:p w:rsidR="004F34D9" w:rsidRPr="00123108" w:rsidRDefault="004F34D9" w:rsidP="00D06780">
      <w:pPr>
        <w:pStyle w:val="2fd"/>
        <w:spacing w:line="500" w:lineRule="exact"/>
        <w:ind w:firstLine="560"/>
        <w:rPr>
          <w:rFonts w:ascii="宋体" w:hAnsi="宋体" w:hint="eastAsia"/>
          <w:sz w:val="28"/>
          <w:szCs w:val="28"/>
        </w:rPr>
      </w:pPr>
      <w:r w:rsidRPr="00123108">
        <w:rPr>
          <w:rFonts w:ascii="宋体" w:hAnsi="宋体" w:hint="eastAsia"/>
          <w:sz w:val="28"/>
          <w:szCs w:val="28"/>
        </w:rPr>
        <w:t>安全管理是一个系统工程，贯穿在企业的生产全过程，任何一个过程出现缺陷都有可能引发事故的发生。因此，安全管理缺陷也会存在各个过程中。</w:t>
      </w:r>
    </w:p>
    <w:p w:rsidR="004F34D9" w:rsidRPr="00123108" w:rsidRDefault="004F34D9" w:rsidP="00D06780">
      <w:pPr>
        <w:pStyle w:val="2fd"/>
        <w:spacing w:line="500" w:lineRule="exact"/>
        <w:ind w:firstLine="560"/>
        <w:rPr>
          <w:rFonts w:ascii="宋体" w:hAnsi="宋体" w:hint="eastAsia"/>
          <w:sz w:val="28"/>
          <w:szCs w:val="28"/>
        </w:rPr>
      </w:pPr>
      <w:r w:rsidRPr="00123108">
        <w:rPr>
          <w:rFonts w:ascii="宋体" w:hAnsi="宋体" w:hint="eastAsia"/>
          <w:sz w:val="28"/>
          <w:szCs w:val="28"/>
        </w:rPr>
        <w:t>（1）生产过程中未按生产操作规程进行操作，如温度、压力等工艺指标等未按要求控制，易引发事故的发生。</w:t>
      </w:r>
    </w:p>
    <w:p w:rsidR="004F34D9" w:rsidRPr="00123108" w:rsidRDefault="004F34D9" w:rsidP="00D06780">
      <w:pPr>
        <w:pStyle w:val="2fd"/>
        <w:spacing w:line="500" w:lineRule="exact"/>
        <w:ind w:firstLine="560"/>
        <w:rPr>
          <w:rFonts w:ascii="宋体" w:hAnsi="宋体" w:hint="eastAsia"/>
          <w:sz w:val="28"/>
          <w:szCs w:val="28"/>
        </w:rPr>
      </w:pPr>
      <w:r w:rsidRPr="00123108">
        <w:rPr>
          <w:rFonts w:ascii="宋体" w:hAnsi="宋体" w:hint="eastAsia"/>
          <w:sz w:val="28"/>
          <w:szCs w:val="28"/>
        </w:rPr>
        <w:t>（2）生产过程中未按要求进行巡回检查，没有及时发现现场存在的问题，使隐患扩大，导致事故的发生。</w:t>
      </w:r>
    </w:p>
    <w:p w:rsidR="004F34D9" w:rsidRPr="00123108" w:rsidRDefault="004F34D9" w:rsidP="00D06780">
      <w:pPr>
        <w:pStyle w:val="2fd"/>
        <w:spacing w:line="500" w:lineRule="exact"/>
        <w:ind w:firstLine="560"/>
        <w:rPr>
          <w:rFonts w:ascii="宋体" w:hAnsi="宋体" w:hint="eastAsia"/>
          <w:sz w:val="28"/>
          <w:szCs w:val="28"/>
        </w:rPr>
      </w:pPr>
      <w:r w:rsidRPr="00123108">
        <w:rPr>
          <w:rFonts w:ascii="宋体" w:hAnsi="宋体" w:hint="eastAsia"/>
          <w:sz w:val="28"/>
          <w:szCs w:val="28"/>
        </w:rPr>
        <w:t>（3）生产工况或工艺发生变化，未能及时修改操作规程，仍用旧的操作规程操作易引发事故。</w:t>
      </w:r>
    </w:p>
    <w:p w:rsidR="004F34D9" w:rsidRPr="00123108" w:rsidRDefault="004F34D9" w:rsidP="00D06780">
      <w:pPr>
        <w:pStyle w:val="2fd"/>
        <w:spacing w:line="500" w:lineRule="exact"/>
        <w:ind w:firstLine="560"/>
        <w:rPr>
          <w:rFonts w:ascii="宋体" w:hAnsi="宋体" w:hint="eastAsia"/>
          <w:sz w:val="28"/>
          <w:szCs w:val="28"/>
        </w:rPr>
      </w:pPr>
      <w:r w:rsidRPr="00123108">
        <w:rPr>
          <w:rFonts w:ascii="宋体" w:hAnsi="宋体" w:hint="eastAsia"/>
          <w:sz w:val="28"/>
          <w:szCs w:val="28"/>
        </w:rPr>
        <w:t>（4）工艺改变如未执行工艺更改审批程序，也易引发事故的发生。</w:t>
      </w:r>
    </w:p>
    <w:p w:rsidR="004F34D9" w:rsidRPr="00123108" w:rsidRDefault="004F34D9" w:rsidP="00D06780">
      <w:pPr>
        <w:pStyle w:val="2fd"/>
        <w:spacing w:line="500" w:lineRule="exact"/>
        <w:ind w:firstLine="560"/>
        <w:rPr>
          <w:rFonts w:ascii="宋体" w:hAnsi="宋体" w:hint="eastAsia"/>
          <w:sz w:val="28"/>
          <w:szCs w:val="28"/>
        </w:rPr>
      </w:pPr>
      <w:r w:rsidRPr="00123108">
        <w:rPr>
          <w:rFonts w:ascii="宋体" w:hAnsi="宋体" w:hint="eastAsia"/>
          <w:sz w:val="28"/>
          <w:szCs w:val="28"/>
        </w:rPr>
        <w:t>（5）生产岗位如没有适宜的操作规程，也易导致事故的发生。</w:t>
      </w:r>
    </w:p>
    <w:p w:rsidR="004F34D9" w:rsidRPr="00123108" w:rsidRDefault="004F34D9" w:rsidP="00D06780">
      <w:pPr>
        <w:pStyle w:val="2fd"/>
        <w:spacing w:line="500" w:lineRule="exact"/>
        <w:ind w:firstLine="560"/>
        <w:rPr>
          <w:rFonts w:ascii="宋体" w:hAnsi="宋体" w:hint="eastAsia"/>
          <w:sz w:val="28"/>
          <w:szCs w:val="28"/>
        </w:rPr>
      </w:pPr>
      <w:r w:rsidRPr="00123108">
        <w:rPr>
          <w:rFonts w:ascii="宋体" w:hAnsi="宋体" w:hint="eastAsia"/>
          <w:sz w:val="28"/>
          <w:szCs w:val="28"/>
        </w:rPr>
        <w:t>（6）设备管理未按要求进行，易引发事故的发生。</w:t>
      </w:r>
    </w:p>
    <w:p w:rsidR="004F34D9" w:rsidRPr="00123108" w:rsidRDefault="004F34D9" w:rsidP="00D06780">
      <w:pPr>
        <w:pStyle w:val="2fd"/>
        <w:spacing w:line="500" w:lineRule="exact"/>
        <w:ind w:firstLine="560"/>
        <w:rPr>
          <w:rFonts w:ascii="宋体" w:hAnsi="宋体" w:hint="eastAsia"/>
          <w:sz w:val="28"/>
          <w:szCs w:val="28"/>
        </w:rPr>
      </w:pPr>
      <w:r w:rsidRPr="00123108">
        <w:rPr>
          <w:rFonts w:ascii="宋体" w:hAnsi="宋体" w:hint="eastAsia"/>
          <w:sz w:val="28"/>
          <w:szCs w:val="28"/>
        </w:rPr>
        <w:t>（7）设备未及时进行维护保养，未及时进行检查，不能及时消除隐患，会导致设备泄漏，发生故障，引发事故的发生。</w:t>
      </w:r>
    </w:p>
    <w:p w:rsidR="004F34D9" w:rsidRPr="00123108" w:rsidRDefault="004F34D9" w:rsidP="00D06780">
      <w:pPr>
        <w:pStyle w:val="2fd"/>
        <w:spacing w:line="500" w:lineRule="exact"/>
        <w:ind w:firstLine="560"/>
        <w:rPr>
          <w:rFonts w:ascii="宋体" w:hAnsi="宋体" w:hint="eastAsia"/>
          <w:sz w:val="28"/>
          <w:szCs w:val="28"/>
        </w:rPr>
      </w:pPr>
      <w:r w:rsidRPr="00123108">
        <w:rPr>
          <w:rFonts w:ascii="宋体" w:hAnsi="宋体" w:hint="eastAsia"/>
          <w:sz w:val="28"/>
          <w:szCs w:val="28"/>
        </w:rPr>
        <w:t>（8）检修作业未制定检修方案或虽制定检修方案但未制定完善的安全防范措施，或者未按检修方案进行检修，都易引发事故的发生。</w:t>
      </w:r>
    </w:p>
    <w:p w:rsidR="004F34D9" w:rsidRPr="00123108" w:rsidRDefault="004F34D9" w:rsidP="00D06780">
      <w:pPr>
        <w:pStyle w:val="2fd"/>
        <w:spacing w:line="500" w:lineRule="exact"/>
        <w:ind w:firstLine="560"/>
        <w:rPr>
          <w:rFonts w:ascii="宋体" w:hAnsi="宋体" w:hint="eastAsia"/>
          <w:sz w:val="28"/>
          <w:szCs w:val="28"/>
        </w:rPr>
      </w:pPr>
      <w:r w:rsidRPr="00123108">
        <w:rPr>
          <w:rFonts w:ascii="宋体" w:hAnsi="宋体" w:hint="eastAsia"/>
          <w:sz w:val="28"/>
          <w:szCs w:val="28"/>
        </w:rPr>
        <w:lastRenderedPageBreak/>
        <w:t>（9）未落实安全管理责任、或者安全管理责任不明确、安全管理制度不完善、安全操作规程不完善都会产生安全管理漏洞，会导致事故的发生。</w:t>
      </w:r>
    </w:p>
    <w:p w:rsidR="004F34D9" w:rsidRPr="00123108" w:rsidRDefault="004F34D9" w:rsidP="00D06780">
      <w:pPr>
        <w:pStyle w:val="2fd"/>
        <w:spacing w:line="500" w:lineRule="exact"/>
        <w:ind w:firstLine="560"/>
        <w:rPr>
          <w:rFonts w:ascii="宋体" w:hAnsi="宋体" w:hint="eastAsia"/>
          <w:sz w:val="28"/>
          <w:szCs w:val="28"/>
        </w:rPr>
      </w:pPr>
      <w:r w:rsidRPr="00123108">
        <w:rPr>
          <w:rFonts w:ascii="宋体" w:hAnsi="宋体" w:hint="eastAsia"/>
          <w:sz w:val="28"/>
          <w:szCs w:val="28"/>
        </w:rPr>
        <w:t>（10）日常的安全管理不到位，如日常的安全检查、季节性的安全检查未执行，隐患整改不到位等都会导致事故的发生。</w:t>
      </w:r>
    </w:p>
    <w:p w:rsidR="004F34D9" w:rsidRPr="00123108" w:rsidRDefault="004F34D9" w:rsidP="00D06780">
      <w:pPr>
        <w:pStyle w:val="2fd"/>
        <w:spacing w:line="500" w:lineRule="exact"/>
        <w:ind w:firstLine="560"/>
        <w:rPr>
          <w:rFonts w:ascii="宋体" w:hAnsi="宋体" w:hint="eastAsia"/>
          <w:sz w:val="28"/>
          <w:szCs w:val="28"/>
        </w:rPr>
      </w:pPr>
      <w:r w:rsidRPr="00123108">
        <w:rPr>
          <w:rFonts w:ascii="宋体" w:hAnsi="宋体" w:hint="eastAsia"/>
          <w:sz w:val="28"/>
          <w:szCs w:val="28"/>
        </w:rPr>
        <w:t>（11）应急救援预案制订不完善，未进行定期演练而产生的事故扩大等一系列意想不到的危险有害因素。</w:t>
      </w:r>
    </w:p>
    <w:p w:rsidR="004F34D9" w:rsidRPr="00123108" w:rsidRDefault="004F34D9" w:rsidP="00D06780">
      <w:pPr>
        <w:pStyle w:val="2fd"/>
        <w:spacing w:line="500" w:lineRule="exact"/>
        <w:ind w:firstLine="560"/>
        <w:rPr>
          <w:rFonts w:ascii="宋体" w:hAnsi="宋体" w:hint="eastAsia"/>
          <w:sz w:val="28"/>
          <w:szCs w:val="28"/>
        </w:rPr>
      </w:pPr>
      <w:r w:rsidRPr="00123108">
        <w:rPr>
          <w:rFonts w:ascii="宋体" w:hAnsi="宋体" w:hint="eastAsia"/>
          <w:sz w:val="28"/>
          <w:szCs w:val="28"/>
        </w:rPr>
        <w:t>（12）未严格执行仪表及自动控制系统管理制度，随意摘除联锁引发事故。</w:t>
      </w:r>
    </w:p>
    <w:p w:rsidR="004F34D9" w:rsidRPr="00123108" w:rsidRDefault="004F34D9" w:rsidP="00D06780">
      <w:pPr>
        <w:spacing w:line="500" w:lineRule="exact"/>
        <w:outlineLvl w:val="2"/>
        <w:rPr>
          <w:rFonts w:ascii="宋体" w:hAnsi="宋体" w:cs="宋体" w:hint="eastAsia"/>
          <w:b/>
          <w:bCs/>
          <w:sz w:val="28"/>
          <w:szCs w:val="28"/>
          <w:lang w:val="zh-CN"/>
        </w:rPr>
      </w:pPr>
      <w:bookmarkStart w:id="1531" w:name="_Toc405004580"/>
      <w:bookmarkStart w:id="1532" w:name="_Toc469519417"/>
      <w:bookmarkStart w:id="1533" w:name="_Toc9543"/>
      <w:bookmarkStart w:id="1534" w:name="_Toc436741570"/>
      <w:bookmarkStart w:id="1535" w:name="_Toc190935879"/>
      <w:r w:rsidRPr="00123108">
        <w:rPr>
          <w:rFonts w:ascii="宋体" w:hAnsi="宋体" w:cs="宋体" w:hint="eastAsia"/>
          <w:b/>
          <w:bCs/>
          <w:sz w:val="28"/>
          <w:szCs w:val="28"/>
          <w:lang w:val="zh-CN"/>
        </w:rPr>
        <w:t>附件</w:t>
      </w:r>
      <w:r w:rsidRPr="00123108">
        <w:rPr>
          <w:rFonts w:ascii="宋体" w:hAnsi="宋体" w:cs="宋体" w:hint="eastAsia"/>
          <w:b/>
          <w:bCs/>
          <w:sz w:val="28"/>
          <w:szCs w:val="28"/>
        </w:rPr>
        <w:t>1</w:t>
      </w:r>
      <w:r w:rsidRPr="00123108">
        <w:rPr>
          <w:rFonts w:ascii="宋体" w:hAnsi="宋体" w:cs="宋体" w:hint="eastAsia"/>
          <w:b/>
          <w:bCs/>
          <w:sz w:val="28"/>
          <w:szCs w:val="28"/>
          <w:lang w:val="zh-CN"/>
        </w:rPr>
        <w:t xml:space="preserve">.11.13 </w:t>
      </w:r>
      <w:r w:rsidRPr="00123108">
        <w:rPr>
          <w:rFonts w:ascii="宋体" w:hAnsi="宋体" w:cs="宋体" w:hint="eastAsia"/>
          <w:b/>
          <w:bCs/>
          <w:sz w:val="28"/>
          <w:szCs w:val="28"/>
        </w:rPr>
        <w:t xml:space="preserve"> </w:t>
      </w:r>
      <w:r w:rsidRPr="00123108">
        <w:rPr>
          <w:rFonts w:ascii="宋体" w:hAnsi="宋体" w:cs="宋体" w:hint="eastAsia"/>
          <w:b/>
          <w:bCs/>
          <w:sz w:val="28"/>
          <w:szCs w:val="28"/>
          <w:lang w:val="zh-CN"/>
        </w:rPr>
        <w:t>违章作业</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1"/>
      <w:bookmarkEnd w:id="1532"/>
      <w:bookmarkEnd w:id="1533"/>
      <w:bookmarkEnd w:id="1534"/>
      <w:bookmarkEnd w:id="1535"/>
    </w:p>
    <w:p w:rsidR="004F34D9" w:rsidRPr="00123108" w:rsidRDefault="004F34D9" w:rsidP="00D06780">
      <w:pPr>
        <w:pStyle w:val="2fd"/>
        <w:spacing w:line="500" w:lineRule="exact"/>
        <w:ind w:firstLine="560"/>
        <w:rPr>
          <w:rFonts w:ascii="宋体" w:hAnsi="宋体" w:hint="eastAsia"/>
          <w:sz w:val="28"/>
          <w:szCs w:val="28"/>
        </w:rPr>
      </w:pPr>
      <w:bookmarkStart w:id="1536" w:name="_Toc171775513"/>
      <w:bookmarkStart w:id="1537" w:name="_Toc172105726"/>
      <w:bookmarkStart w:id="1538" w:name="_Toc100138871"/>
      <w:bookmarkStart w:id="1539" w:name="_Toc160075322"/>
      <w:bookmarkStart w:id="1540" w:name="_Toc137265583"/>
      <w:bookmarkStart w:id="1541" w:name="_Toc103418570"/>
      <w:bookmarkStart w:id="1542" w:name="_Toc171125288"/>
      <w:bookmarkStart w:id="1543" w:name="_Toc104713739"/>
      <w:bookmarkStart w:id="1544" w:name="_Toc154386415"/>
      <w:bookmarkStart w:id="1545" w:name="_Toc157313400"/>
      <w:bookmarkStart w:id="1546" w:name="_Toc130271222"/>
      <w:bookmarkStart w:id="1547" w:name="_Toc103418882"/>
      <w:bookmarkStart w:id="1548" w:name="_Toc112115475"/>
      <w:bookmarkStart w:id="1549" w:name="_Toc173226361"/>
      <w:r w:rsidRPr="00123108">
        <w:rPr>
          <w:rFonts w:ascii="宋体" w:hAnsi="宋体" w:hint="eastAsia"/>
          <w:sz w:val="28"/>
          <w:szCs w:val="28"/>
        </w:rPr>
        <w:t>违章作业主要是指错误指挥、违章操作、误动作、违反动火作业规程、擅离工作岗位、纪律松驰以及思想麻痹等行为或表现，严重违反规章制度、工作不负责任、纪律松驰是事故的重要原因。有些事故表面上看是自然灾害，如雷击、静电等，但实际上多是违反操作规定，平时对设备管理不当，操作中出现漏洞和失误等人为因素为自然灾害创造了条件。据统计，违章作业引起的火灾事故要占全部事故的60%以上。</w:t>
      </w:r>
    </w:p>
    <w:p w:rsidR="004F34D9" w:rsidRPr="00123108" w:rsidRDefault="004F34D9" w:rsidP="00D06780">
      <w:pPr>
        <w:pStyle w:val="2fd"/>
        <w:spacing w:line="500" w:lineRule="exact"/>
        <w:ind w:firstLine="560"/>
        <w:rPr>
          <w:rFonts w:ascii="宋体" w:hAnsi="宋体" w:hint="eastAsia"/>
          <w:sz w:val="28"/>
          <w:szCs w:val="28"/>
        </w:rPr>
      </w:pPr>
      <w:r w:rsidRPr="00123108">
        <w:rPr>
          <w:rFonts w:ascii="宋体" w:hAnsi="宋体" w:hint="eastAsia"/>
          <w:sz w:val="28"/>
          <w:szCs w:val="28"/>
        </w:rPr>
        <w:t>在生产、检修、装卸车、清洗、搬运等作业过程中，都需要作业人员的监护和相互的配合，若操作上出现失误或违章操作，很可能造成生产异常，发生超温、溢流、泄漏等事故，进而引发火灾、爆炸事故的可能性和加重事故危害程度</w:t>
      </w:r>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r w:rsidRPr="00123108">
        <w:rPr>
          <w:rFonts w:ascii="宋体" w:hAnsi="宋体" w:hint="eastAsia"/>
          <w:sz w:val="28"/>
          <w:szCs w:val="28"/>
        </w:rPr>
        <w:t>。</w:t>
      </w:r>
    </w:p>
    <w:p w:rsidR="004F34D9" w:rsidRPr="00123108" w:rsidRDefault="004F34D9" w:rsidP="00D06780">
      <w:pPr>
        <w:pStyle w:val="2"/>
        <w:spacing w:line="500" w:lineRule="exact"/>
        <w:jc w:val="both"/>
        <w:rPr>
          <w:rFonts w:ascii="宋体" w:eastAsia="宋体" w:cs="宋体" w:hint="eastAsia"/>
          <w:sz w:val="28"/>
          <w:szCs w:val="28"/>
        </w:rPr>
      </w:pPr>
      <w:bookmarkStart w:id="1550" w:name="_Toc8838"/>
      <w:bookmarkStart w:id="1551" w:name="_Toc17094"/>
      <w:bookmarkStart w:id="1552" w:name="_Toc32362"/>
      <w:bookmarkStart w:id="1553" w:name="_Toc18326"/>
      <w:bookmarkStart w:id="1554" w:name="_Toc5835"/>
      <w:bookmarkStart w:id="1555" w:name="_Toc16283"/>
      <w:bookmarkStart w:id="1556" w:name="_Toc3809128"/>
      <w:bookmarkStart w:id="1557" w:name="_Toc190935880"/>
      <w:r w:rsidRPr="00123108">
        <w:rPr>
          <w:rFonts w:ascii="宋体" w:eastAsia="宋体" w:cs="宋体" w:hint="eastAsia"/>
          <w:sz w:val="28"/>
          <w:szCs w:val="28"/>
        </w:rPr>
        <w:t>附件1.12 危险化学品重大危险源辨识</w:t>
      </w:r>
      <w:bookmarkEnd w:id="1550"/>
      <w:bookmarkEnd w:id="1551"/>
      <w:bookmarkEnd w:id="1552"/>
      <w:bookmarkEnd w:id="1553"/>
      <w:bookmarkEnd w:id="1554"/>
      <w:bookmarkEnd w:id="1555"/>
      <w:bookmarkEnd w:id="1556"/>
      <w:bookmarkEnd w:id="1557"/>
    </w:p>
    <w:p w:rsidR="004F34D9" w:rsidRPr="00123108" w:rsidRDefault="004F34D9" w:rsidP="00D06780">
      <w:pPr>
        <w:keepLines/>
        <w:snapToGrid w:val="0"/>
        <w:spacing w:line="500" w:lineRule="exact"/>
        <w:outlineLvl w:val="2"/>
        <w:rPr>
          <w:rFonts w:ascii="宋体" w:hAnsi="宋体" w:cs="宋体" w:hint="eastAsia"/>
          <w:b/>
          <w:sz w:val="28"/>
        </w:rPr>
      </w:pPr>
      <w:bookmarkStart w:id="1558" w:name="_Toc2631"/>
      <w:bookmarkStart w:id="1559" w:name="_Toc14538"/>
      <w:bookmarkStart w:id="1560" w:name="_Toc9263"/>
      <w:bookmarkStart w:id="1561" w:name="_Toc173643118"/>
      <w:bookmarkStart w:id="1562" w:name="_Toc278555857"/>
      <w:bookmarkStart w:id="1563" w:name="_Toc3809129"/>
      <w:bookmarkStart w:id="1564" w:name="_Toc173643522"/>
      <w:bookmarkStart w:id="1565" w:name="_Toc277412672"/>
      <w:bookmarkStart w:id="1566" w:name="_Toc12157"/>
      <w:bookmarkStart w:id="1567" w:name="_Toc2735"/>
      <w:bookmarkStart w:id="1568" w:name="_Toc338687332"/>
      <w:bookmarkStart w:id="1569" w:name="_Toc29327"/>
      <w:bookmarkStart w:id="1570" w:name="_Toc190935881"/>
      <w:r w:rsidRPr="00123108">
        <w:rPr>
          <w:rFonts w:ascii="宋体" w:hAnsi="宋体" w:cs="宋体" w:hint="eastAsia"/>
          <w:b/>
          <w:sz w:val="28"/>
        </w:rPr>
        <w:t>附件1.12.1  术语和定义</w:t>
      </w:r>
      <w:bookmarkEnd w:id="1558"/>
      <w:bookmarkEnd w:id="1559"/>
      <w:bookmarkEnd w:id="1560"/>
      <w:bookmarkEnd w:id="1561"/>
      <w:bookmarkEnd w:id="1562"/>
      <w:bookmarkEnd w:id="1563"/>
      <w:bookmarkEnd w:id="1564"/>
      <w:bookmarkEnd w:id="1565"/>
      <w:bookmarkEnd w:id="1566"/>
      <w:bookmarkEnd w:id="1567"/>
      <w:bookmarkEnd w:id="1568"/>
      <w:bookmarkEnd w:id="1569"/>
      <w:bookmarkEnd w:id="1570"/>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根据《危险化学品重大危险源辨识》GB 18218-2018，对本项目进行危险化学品重大危险源辨识，以下是危险化学品重大危险源辨识过程中几个相关概念：</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（1）危险化学品是指具有毒害、腐蚀、爆炸、燃烧、助燃等性质，对人体、设施、环境具有危害的剧毒化学品和其他化学品。</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（2）单元指涉及危险化学品的生产、储存装置、设施和场所，分为生产单元和储存单元。</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lastRenderedPageBreak/>
        <w:t>（3）临界量是某种或某类危险化学品构成重大危险源所规定的最小数量。</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（4）危险化学品重大危险源是长期地或临时地生产、储存、使用和经营危险化学品，且危险化学品的数量等于或超过临界量的单元。</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（5）生产单元是危险化学品的生产、加工及使用等的装置及设施，当装置及设施之间有切断阀时，以切断阀作为分隔界限划分为独立的单元。</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（6）储存单元是用于储存危险化学品的储罐或仓库组成的相对独立的区域，储罐区以储罐防火堤为界限划分为独立的单元，仓库以独立库房（独立建筑物）为界限划分为独立的单元。</w:t>
      </w:r>
    </w:p>
    <w:p w:rsidR="004F34D9" w:rsidRPr="00123108" w:rsidRDefault="004F34D9" w:rsidP="00D06780">
      <w:pPr>
        <w:adjustRightInd w:val="0"/>
        <w:snapToGrid w:val="0"/>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（7）混合物由两种或者多种物质组成的混合体或者溶液。</w:t>
      </w:r>
    </w:p>
    <w:p w:rsidR="004F34D9" w:rsidRPr="00123108" w:rsidRDefault="004F34D9" w:rsidP="00D06780">
      <w:pPr>
        <w:keepLines/>
        <w:snapToGrid w:val="0"/>
        <w:spacing w:line="500" w:lineRule="exact"/>
        <w:outlineLvl w:val="2"/>
        <w:rPr>
          <w:rFonts w:ascii="宋体" w:hAnsi="宋体" w:cs="宋体" w:hint="eastAsia"/>
          <w:b/>
          <w:sz w:val="28"/>
        </w:rPr>
      </w:pPr>
      <w:bookmarkStart w:id="1571" w:name="_Toc173643524"/>
      <w:bookmarkStart w:id="1572" w:name="_Toc173643120"/>
      <w:bookmarkStart w:id="1573" w:name="_Toc277412673"/>
      <w:bookmarkStart w:id="1574" w:name="_Toc21292"/>
      <w:bookmarkStart w:id="1575" w:name="_Toc3809130"/>
      <w:bookmarkStart w:id="1576" w:name="_Toc31816"/>
      <w:bookmarkStart w:id="1577" w:name="_Toc13389"/>
      <w:bookmarkStart w:id="1578" w:name="_Toc27766"/>
      <w:bookmarkStart w:id="1579" w:name="_Toc278555858"/>
      <w:bookmarkStart w:id="1580" w:name="_Toc14675"/>
      <w:bookmarkStart w:id="1581" w:name="_Toc338687333"/>
      <w:bookmarkStart w:id="1582" w:name="_Toc2808"/>
      <w:bookmarkStart w:id="1583" w:name="_Toc190935882"/>
      <w:r w:rsidRPr="00123108">
        <w:rPr>
          <w:rFonts w:ascii="宋体" w:hAnsi="宋体" w:cs="宋体" w:hint="eastAsia"/>
          <w:b/>
          <w:sz w:val="28"/>
        </w:rPr>
        <w:t>附件1.12.2  重大危险源的辨识指标</w:t>
      </w:r>
      <w:bookmarkEnd w:id="1571"/>
      <w:bookmarkEnd w:id="1572"/>
      <w:bookmarkEnd w:id="1573"/>
      <w:bookmarkEnd w:id="1574"/>
      <w:bookmarkEnd w:id="1575"/>
      <w:bookmarkEnd w:id="1576"/>
      <w:bookmarkEnd w:id="1577"/>
      <w:bookmarkEnd w:id="1578"/>
      <w:bookmarkEnd w:id="1579"/>
      <w:bookmarkEnd w:id="1580"/>
      <w:bookmarkEnd w:id="1581"/>
      <w:bookmarkEnd w:id="1582"/>
      <w:bookmarkEnd w:id="1583"/>
    </w:p>
    <w:p w:rsidR="004F34D9" w:rsidRPr="00123108" w:rsidRDefault="004F34D9" w:rsidP="00D06780">
      <w:pPr>
        <w:snapToGrid w:val="0"/>
        <w:spacing w:line="500" w:lineRule="exact"/>
        <w:ind w:firstLineChars="200" w:firstLine="560"/>
        <w:rPr>
          <w:rFonts w:ascii="宋体" w:hAnsi="宋体" w:cs="宋体" w:hint="eastAsia"/>
          <w:sz w:val="28"/>
        </w:rPr>
      </w:pPr>
      <w:r w:rsidRPr="00123108">
        <w:rPr>
          <w:rFonts w:ascii="宋体" w:hAnsi="宋体" w:cs="宋体" w:hint="eastAsia"/>
          <w:sz w:val="28"/>
        </w:rPr>
        <w:t>生产单元、储存单元内存在危险化学品的数量等于或超过规定的临界量，即被定为重大危险源。单元内存在的危险化学品的数量根据危险化学品种类的多少区分为以下两种情况：</w:t>
      </w:r>
    </w:p>
    <w:p w:rsidR="004F34D9" w:rsidRPr="00123108" w:rsidRDefault="004F34D9" w:rsidP="00D06780">
      <w:pPr>
        <w:snapToGrid w:val="0"/>
        <w:spacing w:line="500" w:lineRule="exact"/>
        <w:ind w:firstLineChars="200" w:firstLine="560"/>
        <w:rPr>
          <w:rFonts w:ascii="宋体" w:hAnsi="宋体" w:cs="宋体" w:hint="eastAsia"/>
          <w:sz w:val="28"/>
        </w:rPr>
      </w:pPr>
      <w:r w:rsidRPr="00123108">
        <w:rPr>
          <w:rFonts w:ascii="宋体" w:hAnsi="宋体" w:cs="宋体" w:hint="eastAsia"/>
          <w:sz w:val="28"/>
        </w:rPr>
        <w:t>a）生产单元、储存单元内存在的危险化学品为单一品种时，该危险化学品的数量即为单元内危险化学品的总量，若等于或超过相应的临界量，则定为重大危险源。</w:t>
      </w:r>
    </w:p>
    <w:p w:rsidR="004F34D9" w:rsidRPr="00123108" w:rsidRDefault="004F34D9" w:rsidP="00D06780">
      <w:pPr>
        <w:snapToGrid w:val="0"/>
        <w:spacing w:line="500" w:lineRule="exact"/>
        <w:ind w:firstLineChars="200" w:firstLine="560"/>
        <w:rPr>
          <w:rFonts w:ascii="宋体" w:hAnsi="宋体" w:cs="宋体" w:hint="eastAsia"/>
          <w:sz w:val="28"/>
        </w:rPr>
      </w:pPr>
      <w:r w:rsidRPr="00123108">
        <w:rPr>
          <w:rFonts w:ascii="宋体" w:hAnsi="宋体" w:cs="宋体" w:hint="eastAsia"/>
          <w:sz w:val="28"/>
        </w:rPr>
        <w:t>b）生产单元、储存单元内存在的危险化学品为多品种时，按式</w:t>
      </w:r>
      <w:r w:rsidRPr="00123108">
        <w:rPr>
          <w:rFonts w:ascii="宋体" w:hAnsi="宋体" w:hint="eastAsia"/>
          <w:sz w:val="28"/>
          <w:szCs w:val="28"/>
        </w:rPr>
        <w:t>（a）</w:t>
      </w:r>
      <w:r w:rsidRPr="00123108">
        <w:rPr>
          <w:rFonts w:ascii="宋体" w:hAnsi="宋体" w:cs="宋体" w:hint="eastAsia"/>
          <w:sz w:val="28"/>
        </w:rPr>
        <w:t>计算，若满足式</w:t>
      </w:r>
      <w:r w:rsidRPr="00123108">
        <w:rPr>
          <w:rFonts w:ascii="宋体" w:hAnsi="宋体" w:hint="eastAsia"/>
          <w:sz w:val="28"/>
          <w:szCs w:val="28"/>
        </w:rPr>
        <w:t>（a）</w:t>
      </w:r>
      <w:r w:rsidRPr="00123108">
        <w:rPr>
          <w:rFonts w:ascii="宋体" w:hAnsi="宋体" w:cs="宋体" w:hint="eastAsia"/>
          <w:sz w:val="28"/>
        </w:rPr>
        <w:t>，则定为重大危险源：</w:t>
      </w:r>
    </w:p>
    <w:p w:rsidR="004F34D9" w:rsidRPr="00123108" w:rsidRDefault="004F34D9">
      <w:pPr>
        <w:snapToGrid w:val="0"/>
        <w:spacing w:line="360" w:lineRule="auto"/>
        <w:jc w:val="center"/>
        <w:rPr>
          <w:rFonts w:ascii="宋体" w:hAnsi="宋体" w:cs="宋体" w:hint="eastAsia"/>
          <w:sz w:val="28"/>
        </w:rPr>
      </w:pPr>
      <w:r w:rsidRPr="00123108">
        <w:rPr>
          <w:rFonts w:ascii="宋体" w:hAnsi="宋体" w:hint="eastAsia"/>
          <w:bCs/>
          <w:sz w:val="28"/>
          <w:szCs w:val="28"/>
        </w:rPr>
        <w:t>S=</w:t>
      </w:r>
      <w:r w:rsidRPr="00123108">
        <w:rPr>
          <w:rFonts w:ascii="宋体" w:hAnsi="宋体"/>
          <w:bCs/>
          <w:sz w:val="28"/>
          <w:szCs w:val="28"/>
        </w:rPr>
        <w:t>q</w:t>
      </w:r>
      <w:r w:rsidRPr="00123108">
        <w:rPr>
          <w:rFonts w:ascii="宋体" w:hAnsi="宋体"/>
          <w:bCs/>
          <w:sz w:val="28"/>
          <w:szCs w:val="28"/>
          <w:vertAlign w:val="subscript"/>
        </w:rPr>
        <w:t>1</w:t>
      </w:r>
      <w:r w:rsidRPr="00123108">
        <w:rPr>
          <w:rFonts w:ascii="宋体" w:hAnsi="宋体"/>
          <w:bCs/>
          <w:sz w:val="28"/>
          <w:szCs w:val="28"/>
        </w:rPr>
        <w:t>/Q</w:t>
      </w:r>
      <w:r w:rsidRPr="00123108">
        <w:rPr>
          <w:rFonts w:ascii="宋体" w:hAnsi="宋体" w:hint="eastAsia"/>
          <w:bCs/>
          <w:sz w:val="28"/>
          <w:szCs w:val="28"/>
          <w:vertAlign w:val="subscript"/>
        </w:rPr>
        <w:t>1</w:t>
      </w:r>
      <w:r w:rsidRPr="00123108">
        <w:rPr>
          <w:rFonts w:ascii="宋体" w:hAnsi="宋体"/>
          <w:bCs/>
          <w:sz w:val="28"/>
          <w:szCs w:val="28"/>
        </w:rPr>
        <w:t>+q</w:t>
      </w:r>
      <w:r w:rsidRPr="00123108">
        <w:rPr>
          <w:rFonts w:ascii="宋体" w:hAnsi="宋体"/>
          <w:bCs/>
          <w:sz w:val="28"/>
          <w:szCs w:val="28"/>
          <w:vertAlign w:val="subscript"/>
        </w:rPr>
        <w:t>2</w:t>
      </w:r>
      <w:r w:rsidRPr="00123108">
        <w:rPr>
          <w:rFonts w:ascii="宋体" w:hAnsi="宋体"/>
          <w:bCs/>
          <w:sz w:val="28"/>
          <w:szCs w:val="28"/>
        </w:rPr>
        <w:t>/Q</w:t>
      </w:r>
      <w:r w:rsidRPr="00123108">
        <w:rPr>
          <w:rFonts w:ascii="宋体" w:hAnsi="宋体"/>
          <w:bCs/>
          <w:sz w:val="28"/>
          <w:szCs w:val="28"/>
          <w:vertAlign w:val="subscript"/>
        </w:rPr>
        <w:t>2</w:t>
      </w:r>
      <w:r w:rsidRPr="00123108">
        <w:rPr>
          <w:rFonts w:ascii="宋体" w:hAnsi="宋体"/>
          <w:bCs/>
          <w:sz w:val="28"/>
          <w:szCs w:val="28"/>
        </w:rPr>
        <w:t>+…+ q</w:t>
      </w:r>
      <w:r w:rsidRPr="00123108">
        <w:rPr>
          <w:rFonts w:ascii="宋体" w:hAnsi="宋体"/>
          <w:bCs/>
          <w:sz w:val="28"/>
          <w:szCs w:val="28"/>
          <w:vertAlign w:val="subscript"/>
        </w:rPr>
        <w:t>n</w:t>
      </w:r>
      <w:r w:rsidRPr="00123108">
        <w:rPr>
          <w:rFonts w:ascii="宋体" w:hAnsi="宋体"/>
          <w:bCs/>
          <w:sz w:val="28"/>
          <w:szCs w:val="28"/>
        </w:rPr>
        <w:t>/Q</w:t>
      </w:r>
      <w:r w:rsidRPr="00123108">
        <w:rPr>
          <w:rFonts w:ascii="宋体" w:hAnsi="宋体"/>
          <w:bCs/>
          <w:sz w:val="28"/>
          <w:szCs w:val="28"/>
          <w:vertAlign w:val="subscript"/>
        </w:rPr>
        <w:t>n</w:t>
      </w:r>
      <w:r w:rsidRPr="00123108">
        <w:rPr>
          <w:rFonts w:ascii="宋体" w:hAnsi="宋体" w:hint="eastAsia"/>
          <w:bCs/>
          <w:sz w:val="28"/>
          <w:szCs w:val="28"/>
        </w:rPr>
        <w:t>≥</w:t>
      </w:r>
      <w:r w:rsidRPr="00123108">
        <w:rPr>
          <w:rFonts w:ascii="宋体" w:hAnsi="宋体"/>
          <w:bCs/>
          <w:sz w:val="28"/>
          <w:szCs w:val="28"/>
        </w:rPr>
        <w:t>1</w:t>
      </w:r>
      <w:r w:rsidRPr="00123108">
        <w:rPr>
          <w:rFonts w:ascii="宋体" w:hAnsi="宋体" w:cs="宋体" w:hint="eastAsia"/>
          <w:sz w:val="28"/>
        </w:rPr>
        <w:t>……………………</w:t>
      </w:r>
      <w:r w:rsidRPr="00123108">
        <w:rPr>
          <w:rFonts w:ascii="宋体" w:hAnsi="宋体" w:hint="eastAsia"/>
          <w:sz w:val="28"/>
          <w:szCs w:val="28"/>
        </w:rPr>
        <w:t>（a）</w:t>
      </w:r>
    </w:p>
    <w:p w:rsidR="004F34D9" w:rsidRPr="00123108" w:rsidRDefault="004F34D9">
      <w:pPr>
        <w:adjustRightInd w:val="0"/>
        <w:snapToGrid w:val="0"/>
        <w:spacing w:line="360" w:lineRule="auto"/>
        <w:ind w:firstLineChars="200" w:firstLine="560"/>
        <w:rPr>
          <w:rFonts w:ascii="宋体" w:hAnsi="宋体" w:hint="eastAsia"/>
          <w:bCs/>
          <w:sz w:val="28"/>
          <w:szCs w:val="28"/>
        </w:rPr>
      </w:pPr>
      <w:r w:rsidRPr="00123108">
        <w:rPr>
          <w:rFonts w:ascii="宋体" w:hAnsi="宋体" w:hint="eastAsia"/>
          <w:bCs/>
          <w:sz w:val="28"/>
          <w:szCs w:val="28"/>
        </w:rPr>
        <w:t>S——辨识指标；</w:t>
      </w:r>
    </w:p>
    <w:p w:rsidR="004F34D9" w:rsidRPr="00123108" w:rsidRDefault="004F34D9">
      <w:pPr>
        <w:adjustRightInd w:val="0"/>
        <w:snapToGrid w:val="0"/>
        <w:spacing w:line="360" w:lineRule="auto"/>
        <w:ind w:firstLineChars="200" w:firstLine="560"/>
        <w:rPr>
          <w:rFonts w:ascii="宋体" w:hAnsi="宋体"/>
          <w:bCs/>
          <w:sz w:val="28"/>
          <w:szCs w:val="28"/>
        </w:rPr>
      </w:pPr>
      <w:r w:rsidRPr="00123108">
        <w:rPr>
          <w:rFonts w:ascii="宋体" w:hAnsi="宋体"/>
          <w:bCs/>
          <w:sz w:val="28"/>
          <w:szCs w:val="28"/>
        </w:rPr>
        <w:t>q</w:t>
      </w:r>
      <w:r w:rsidRPr="00123108">
        <w:rPr>
          <w:rFonts w:ascii="宋体" w:hAnsi="宋体"/>
          <w:bCs/>
          <w:sz w:val="28"/>
          <w:szCs w:val="28"/>
          <w:vertAlign w:val="subscript"/>
        </w:rPr>
        <w:t>1</w:t>
      </w:r>
      <w:r w:rsidRPr="00123108">
        <w:rPr>
          <w:rFonts w:ascii="宋体" w:hAnsi="宋体" w:hint="eastAsia"/>
          <w:bCs/>
          <w:sz w:val="28"/>
          <w:szCs w:val="28"/>
        </w:rPr>
        <w:t>，</w:t>
      </w:r>
      <w:r w:rsidRPr="00123108">
        <w:rPr>
          <w:rFonts w:ascii="宋体" w:hAnsi="宋体"/>
          <w:bCs/>
          <w:sz w:val="28"/>
          <w:szCs w:val="28"/>
        </w:rPr>
        <w:t>q</w:t>
      </w:r>
      <w:r w:rsidRPr="00123108">
        <w:rPr>
          <w:rFonts w:ascii="宋体" w:hAnsi="宋体"/>
          <w:bCs/>
          <w:sz w:val="28"/>
          <w:szCs w:val="28"/>
          <w:vertAlign w:val="subscript"/>
        </w:rPr>
        <w:t>2</w:t>
      </w:r>
      <w:r w:rsidRPr="00123108">
        <w:rPr>
          <w:rFonts w:ascii="宋体" w:hAnsi="宋体" w:hint="eastAsia"/>
          <w:bCs/>
          <w:sz w:val="28"/>
          <w:szCs w:val="28"/>
        </w:rPr>
        <w:t>，…，</w:t>
      </w:r>
      <w:r w:rsidRPr="00123108">
        <w:rPr>
          <w:rFonts w:ascii="宋体" w:hAnsi="宋体"/>
          <w:bCs/>
          <w:sz w:val="28"/>
          <w:szCs w:val="28"/>
        </w:rPr>
        <w:t>q</w:t>
      </w:r>
      <w:r w:rsidRPr="00123108">
        <w:rPr>
          <w:rFonts w:ascii="宋体" w:hAnsi="宋体"/>
          <w:bCs/>
          <w:sz w:val="28"/>
          <w:szCs w:val="28"/>
          <w:vertAlign w:val="subscript"/>
        </w:rPr>
        <w:t>n</w:t>
      </w:r>
      <w:r w:rsidRPr="00123108">
        <w:rPr>
          <w:rFonts w:ascii="宋体" w:hAnsi="宋体" w:hint="eastAsia"/>
          <w:bCs/>
          <w:sz w:val="28"/>
          <w:szCs w:val="28"/>
        </w:rPr>
        <w:t>——每种危险化学品的实际存在量，单位为吨（t）；</w:t>
      </w:r>
    </w:p>
    <w:p w:rsidR="004F34D9" w:rsidRPr="00123108" w:rsidRDefault="004F34D9">
      <w:pPr>
        <w:snapToGrid w:val="0"/>
        <w:spacing w:line="360" w:lineRule="auto"/>
        <w:ind w:firstLineChars="200" w:firstLine="560"/>
        <w:rPr>
          <w:rFonts w:ascii="宋体" w:hAnsi="宋体" w:cs="宋体" w:hint="eastAsia"/>
          <w:sz w:val="28"/>
        </w:rPr>
      </w:pPr>
      <w:r w:rsidRPr="00123108">
        <w:rPr>
          <w:rFonts w:ascii="宋体" w:hAnsi="宋体"/>
          <w:bCs/>
          <w:sz w:val="28"/>
          <w:szCs w:val="28"/>
        </w:rPr>
        <w:t>Q</w:t>
      </w:r>
      <w:r w:rsidRPr="00123108">
        <w:rPr>
          <w:rFonts w:ascii="宋体" w:hAnsi="宋体"/>
          <w:bCs/>
          <w:sz w:val="28"/>
          <w:szCs w:val="28"/>
          <w:vertAlign w:val="subscript"/>
        </w:rPr>
        <w:t>1</w:t>
      </w:r>
      <w:r w:rsidRPr="00123108">
        <w:rPr>
          <w:rFonts w:ascii="宋体" w:hAnsi="宋体" w:hint="eastAsia"/>
          <w:bCs/>
          <w:sz w:val="28"/>
          <w:szCs w:val="28"/>
        </w:rPr>
        <w:t>，</w:t>
      </w:r>
      <w:r w:rsidRPr="00123108">
        <w:rPr>
          <w:rFonts w:ascii="宋体" w:hAnsi="宋体"/>
          <w:bCs/>
          <w:sz w:val="28"/>
          <w:szCs w:val="28"/>
        </w:rPr>
        <w:t>Q</w:t>
      </w:r>
      <w:r w:rsidRPr="00123108">
        <w:rPr>
          <w:rFonts w:ascii="宋体" w:hAnsi="宋体"/>
          <w:bCs/>
          <w:sz w:val="28"/>
          <w:szCs w:val="28"/>
          <w:vertAlign w:val="subscript"/>
        </w:rPr>
        <w:t>2</w:t>
      </w:r>
      <w:r w:rsidRPr="00123108">
        <w:rPr>
          <w:rFonts w:ascii="宋体" w:hAnsi="宋体" w:hint="eastAsia"/>
          <w:bCs/>
          <w:sz w:val="28"/>
          <w:szCs w:val="28"/>
        </w:rPr>
        <w:t>，</w:t>
      </w:r>
      <w:r w:rsidRPr="00123108">
        <w:rPr>
          <w:rFonts w:ascii="宋体" w:hAnsi="宋体"/>
          <w:bCs/>
          <w:sz w:val="28"/>
          <w:szCs w:val="28"/>
        </w:rPr>
        <w:t>…</w:t>
      </w:r>
      <w:r w:rsidRPr="00123108">
        <w:rPr>
          <w:rFonts w:ascii="宋体" w:hAnsi="宋体" w:hint="eastAsia"/>
          <w:bCs/>
          <w:sz w:val="28"/>
          <w:szCs w:val="28"/>
        </w:rPr>
        <w:t>，</w:t>
      </w:r>
      <w:r w:rsidRPr="00123108">
        <w:rPr>
          <w:rFonts w:ascii="宋体" w:hAnsi="宋体"/>
          <w:bCs/>
          <w:sz w:val="28"/>
          <w:szCs w:val="28"/>
        </w:rPr>
        <w:t>Q</w:t>
      </w:r>
      <w:r w:rsidRPr="00123108">
        <w:rPr>
          <w:rFonts w:ascii="宋体" w:hAnsi="宋体"/>
          <w:bCs/>
          <w:sz w:val="28"/>
          <w:szCs w:val="28"/>
          <w:vertAlign w:val="subscript"/>
        </w:rPr>
        <w:t>n</w:t>
      </w:r>
      <w:r w:rsidRPr="00123108">
        <w:rPr>
          <w:rFonts w:ascii="宋体" w:hAnsi="宋体" w:hint="eastAsia"/>
          <w:bCs/>
          <w:sz w:val="28"/>
          <w:szCs w:val="28"/>
        </w:rPr>
        <w:t>——与每种危险化学品相对应的临界量，单位为吨（t）。</w:t>
      </w:r>
    </w:p>
    <w:p w:rsidR="004F34D9" w:rsidRPr="00123108" w:rsidRDefault="004F34D9">
      <w:pPr>
        <w:snapToGrid w:val="0"/>
        <w:spacing w:line="360" w:lineRule="auto"/>
        <w:outlineLvl w:val="2"/>
        <w:rPr>
          <w:rFonts w:ascii="宋体" w:hAnsi="宋体" w:cs="宋体" w:hint="eastAsia"/>
          <w:b/>
          <w:bCs/>
          <w:sz w:val="28"/>
        </w:rPr>
      </w:pPr>
      <w:bookmarkStart w:id="1584" w:name="_Toc13375"/>
      <w:bookmarkStart w:id="1585" w:name="_Toc25131"/>
      <w:bookmarkStart w:id="1586" w:name="_Toc15586"/>
      <w:bookmarkStart w:id="1587" w:name="_Toc19220"/>
      <w:bookmarkStart w:id="1588" w:name="_Toc31183"/>
      <w:bookmarkStart w:id="1589" w:name="_Toc27626"/>
      <w:bookmarkStart w:id="1590" w:name="_Toc190935883"/>
      <w:r w:rsidRPr="00123108">
        <w:rPr>
          <w:rFonts w:ascii="宋体" w:hAnsi="宋体" w:cs="宋体" w:hint="eastAsia"/>
          <w:b/>
          <w:bCs/>
          <w:sz w:val="28"/>
        </w:rPr>
        <w:t>附件1.12.3  重大危险源的分级</w:t>
      </w:r>
      <w:bookmarkEnd w:id="1584"/>
      <w:bookmarkEnd w:id="1585"/>
      <w:bookmarkEnd w:id="1586"/>
      <w:bookmarkEnd w:id="1587"/>
      <w:bookmarkEnd w:id="1588"/>
      <w:bookmarkEnd w:id="1589"/>
      <w:bookmarkEnd w:id="1590"/>
    </w:p>
    <w:p w:rsidR="004F34D9" w:rsidRPr="00123108" w:rsidRDefault="004F34D9">
      <w:pPr>
        <w:spacing w:line="360" w:lineRule="auto"/>
        <w:ind w:firstLineChars="200" w:firstLine="560"/>
        <w:rPr>
          <w:rFonts w:ascii="宋体" w:hAnsi="宋体" w:cs="宋体" w:hint="eastAsia"/>
          <w:sz w:val="28"/>
        </w:rPr>
      </w:pPr>
      <w:r w:rsidRPr="00123108">
        <w:rPr>
          <w:rFonts w:ascii="宋体" w:hAnsi="宋体" w:cs="宋体" w:hint="eastAsia"/>
          <w:sz w:val="28"/>
          <w:lang w:val="zh-CN"/>
        </w:rPr>
        <w:t>根据《危险化学品重大危险源辨识》GB 18218-2018</w:t>
      </w:r>
      <w:r w:rsidRPr="00123108">
        <w:rPr>
          <w:rFonts w:ascii="宋体" w:hAnsi="宋体" w:cs="宋体" w:hint="eastAsia"/>
          <w:sz w:val="28"/>
        </w:rPr>
        <w:t>，对本项目进行</w:t>
      </w:r>
      <w:r w:rsidRPr="00123108">
        <w:rPr>
          <w:rFonts w:ascii="宋体" w:hAnsi="宋体" w:cs="宋体" w:hint="eastAsia"/>
          <w:sz w:val="28"/>
          <w:lang w:val="zh-CN"/>
        </w:rPr>
        <w:t>危险化学品重大危险源分级</w:t>
      </w:r>
      <w:r w:rsidRPr="00123108">
        <w:rPr>
          <w:rFonts w:ascii="宋体" w:hAnsi="宋体" w:cs="宋体" w:hint="eastAsia"/>
          <w:sz w:val="28"/>
        </w:rPr>
        <w:t>，以下是危险化学品重大危险源</w:t>
      </w:r>
      <w:r w:rsidRPr="00123108">
        <w:rPr>
          <w:rFonts w:ascii="宋体" w:hAnsi="宋体" w:cs="宋体" w:hint="eastAsia"/>
          <w:sz w:val="28"/>
          <w:lang w:val="zh-CN"/>
        </w:rPr>
        <w:t>分级</w:t>
      </w:r>
      <w:r w:rsidRPr="00123108">
        <w:rPr>
          <w:rFonts w:ascii="宋体" w:hAnsi="宋体" w:cs="宋体" w:hint="eastAsia"/>
          <w:sz w:val="28"/>
        </w:rPr>
        <w:t>过程中几个相关概念：</w:t>
      </w:r>
    </w:p>
    <w:p w:rsidR="004F34D9" w:rsidRPr="00123108" w:rsidRDefault="004F34D9">
      <w:pPr>
        <w:spacing w:line="360" w:lineRule="auto"/>
        <w:ind w:firstLineChars="200" w:firstLine="560"/>
        <w:rPr>
          <w:rFonts w:ascii="宋体" w:hAnsi="宋体" w:cs="宋体" w:hint="eastAsia"/>
          <w:sz w:val="28"/>
          <w:lang w:val="zh-CN"/>
        </w:rPr>
      </w:pPr>
      <w:r w:rsidRPr="00123108">
        <w:rPr>
          <w:rFonts w:ascii="宋体" w:hAnsi="宋体" w:cs="宋体" w:hint="eastAsia"/>
          <w:sz w:val="28"/>
          <w:lang w:val="zh-CN"/>
        </w:rPr>
        <w:lastRenderedPageBreak/>
        <w:t>（1）分级指标</w:t>
      </w:r>
    </w:p>
    <w:p w:rsidR="004F34D9" w:rsidRPr="00123108" w:rsidRDefault="004F34D9">
      <w:pPr>
        <w:spacing w:line="360" w:lineRule="auto"/>
        <w:ind w:firstLineChars="200" w:firstLine="560"/>
        <w:rPr>
          <w:rFonts w:ascii="宋体" w:hAnsi="宋体" w:cs="宋体" w:hint="eastAsia"/>
          <w:sz w:val="28"/>
          <w:lang w:val="zh-CN"/>
        </w:rPr>
      </w:pPr>
      <w:r w:rsidRPr="00123108">
        <w:rPr>
          <w:rFonts w:ascii="宋体" w:hAnsi="宋体" w:cs="宋体" w:hint="eastAsia"/>
          <w:sz w:val="28"/>
          <w:lang w:val="zh-CN"/>
        </w:rPr>
        <w:t>采用单元内各种危险化学品实际存在量与其相对应的临界量比值，经校正系数校正后的比值之和R作为分级指标。</w:t>
      </w:r>
    </w:p>
    <w:p w:rsidR="004F34D9" w:rsidRPr="00123108" w:rsidRDefault="004F34D9">
      <w:pPr>
        <w:spacing w:line="360" w:lineRule="auto"/>
        <w:ind w:firstLineChars="200" w:firstLine="560"/>
        <w:rPr>
          <w:rFonts w:ascii="宋体" w:hint="eastAsia"/>
          <w:sz w:val="28"/>
          <w:lang w:val="zh-CN"/>
        </w:rPr>
      </w:pPr>
      <w:r w:rsidRPr="00123108">
        <w:rPr>
          <w:rFonts w:ascii="宋体" w:hAnsi="宋体" w:cs="宋体" w:hint="eastAsia"/>
          <w:sz w:val="28"/>
          <w:lang w:val="zh-CN"/>
        </w:rPr>
        <w:t>（2）</w:t>
      </w:r>
      <w:r w:rsidRPr="00123108">
        <w:rPr>
          <w:rFonts w:ascii="宋体" w:hint="eastAsia"/>
          <w:sz w:val="28"/>
        </w:rPr>
        <w:t>重大危险源的分级指标按式（b）计算。</w:t>
      </w:r>
    </w:p>
    <w:p w:rsidR="004F34D9" w:rsidRPr="00123108" w:rsidRDefault="004F34D9">
      <w:pPr>
        <w:jc w:val="center"/>
        <w:rPr>
          <w:rFonts w:ascii="仿宋_GB2312" w:eastAsia="仿宋_GB2312" w:hint="eastAsia"/>
          <w:sz w:val="28"/>
          <w:szCs w:val="28"/>
        </w:rPr>
      </w:pPr>
      <w:r w:rsidRPr="00123108">
        <w:rPr>
          <w:position w:val="-32"/>
          <w:sz w:val="28"/>
          <w:szCs w:val="28"/>
        </w:rPr>
        <w:object w:dxaOrig="3519" w:dyaOrig="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57" o:spid="_x0000_i1035" type="#_x0000_t75" style="width:217.05pt;height:46.2pt;mso-position-horizontal-relative:page;mso-position-vertical-relative:page" o:ole="">
            <v:fill o:detectmouseclick="t"/>
            <v:imagedata r:id="rId16" o:title=""/>
          </v:shape>
          <o:OLEObject Type="Embed" ProgID="Equation.3" ShapeID="Object 257" DrawAspect="Content" ObjectID="_1813402515" r:id="rId17"/>
        </w:object>
      </w:r>
      <w:r w:rsidRPr="00123108">
        <w:rPr>
          <w:rFonts w:ascii="宋体" w:hAnsi="宋体"/>
          <w:bCs/>
          <w:sz w:val="28"/>
          <w:szCs w:val="28"/>
        </w:rPr>
        <w:t>……………</w:t>
      </w:r>
      <w:r w:rsidRPr="00123108">
        <w:rPr>
          <w:rFonts w:ascii="宋体" w:hAnsi="宋体" w:hint="eastAsia"/>
          <w:sz w:val="28"/>
          <w:szCs w:val="28"/>
        </w:rPr>
        <w:t>（b）</w:t>
      </w:r>
    </w:p>
    <w:p w:rsidR="004F34D9" w:rsidRPr="00123108" w:rsidRDefault="004F34D9">
      <w:pPr>
        <w:spacing w:line="360" w:lineRule="auto"/>
        <w:ind w:firstLineChars="200" w:firstLine="560"/>
        <w:rPr>
          <w:rFonts w:ascii="宋体" w:hint="eastAsia"/>
          <w:sz w:val="28"/>
          <w:lang w:val="zh-CN"/>
        </w:rPr>
      </w:pPr>
      <w:r w:rsidRPr="00123108">
        <w:rPr>
          <w:rFonts w:ascii="宋体" w:hint="eastAsia"/>
          <w:sz w:val="28"/>
          <w:lang w:val="zh-CN"/>
        </w:rPr>
        <w:t>式中：</w:t>
      </w:r>
    </w:p>
    <w:p w:rsidR="004F34D9" w:rsidRPr="00123108" w:rsidRDefault="004F34D9">
      <w:pPr>
        <w:spacing w:line="360" w:lineRule="auto"/>
        <w:ind w:firstLineChars="200" w:firstLine="560"/>
        <w:rPr>
          <w:rFonts w:ascii="宋体" w:hint="eastAsia"/>
          <w:sz w:val="28"/>
          <w:lang w:val="zh-CN"/>
        </w:rPr>
      </w:pPr>
      <w:r w:rsidRPr="00123108">
        <w:rPr>
          <w:rFonts w:ascii="宋体"/>
          <w:sz w:val="28"/>
          <w:lang w:val="zh-CN"/>
        </w:rPr>
        <w:t>R</w:t>
      </w:r>
      <w:r w:rsidRPr="00123108">
        <w:rPr>
          <w:rFonts w:ascii="宋体" w:hint="eastAsia"/>
          <w:sz w:val="28"/>
          <w:lang w:val="zh-CN"/>
        </w:rPr>
        <w:t>——</w:t>
      </w:r>
      <w:r w:rsidRPr="00123108">
        <w:rPr>
          <w:rFonts w:ascii="宋体" w:hint="eastAsia"/>
          <w:sz w:val="28"/>
        </w:rPr>
        <w:t>重大危险源分级指标</w:t>
      </w:r>
      <w:r w:rsidRPr="00123108">
        <w:rPr>
          <w:rFonts w:ascii="宋体" w:hint="eastAsia"/>
          <w:sz w:val="28"/>
          <w:lang w:val="zh-CN"/>
        </w:rPr>
        <w:t>；</w:t>
      </w:r>
    </w:p>
    <w:p w:rsidR="004F34D9" w:rsidRPr="00123108" w:rsidRDefault="004F34D9">
      <w:pPr>
        <w:spacing w:line="360" w:lineRule="auto"/>
        <w:ind w:firstLineChars="200" w:firstLine="560"/>
        <w:rPr>
          <w:rFonts w:ascii="宋体" w:hint="eastAsia"/>
          <w:sz w:val="28"/>
          <w:lang w:val="zh-CN"/>
        </w:rPr>
      </w:pPr>
      <w:r w:rsidRPr="00123108">
        <w:rPr>
          <w:rFonts w:ascii="宋体" w:hint="eastAsia"/>
          <w:sz w:val="28"/>
          <w:lang w:val="zh-CN"/>
        </w:rPr>
        <w:t>α——</w:t>
      </w:r>
      <w:r w:rsidRPr="00123108">
        <w:rPr>
          <w:rFonts w:ascii="宋体" w:hint="eastAsia"/>
          <w:sz w:val="28"/>
        </w:rPr>
        <w:t>该危险化学品重大危险源厂区外暴露人员的校正系数</w:t>
      </w:r>
      <w:r w:rsidRPr="00123108">
        <w:rPr>
          <w:rFonts w:ascii="宋体" w:hint="eastAsia"/>
          <w:sz w:val="28"/>
          <w:lang w:val="zh-CN"/>
        </w:rPr>
        <w:t>；</w:t>
      </w:r>
    </w:p>
    <w:p w:rsidR="004F34D9" w:rsidRPr="00123108" w:rsidRDefault="004F34D9">
      <w:pPr>
        <w:spacing w:line="360" w:lineRule="auto"/>
        <w:ind w:firstLineChars="200" w:firstLine="560"/>
        <w:rPr>
          <w:rFonts w:ascii="宋体" w:hint="eastAsia"/>
          <w:sz w:val="28"/>
        </w:rPr>
      </w:pPr>
      <w:r w:rsidRPr="00123108">
        <w:rPr>
          <w:rFonts w:ascii="宋体" w:hint="eastAsia"/>
          <w:sz w:val="28"/>
          <w:lang w:val="zh-CN"/>
        </w:rPr>
        <w:t>β</w:t>
      </w:r>
      <w:r w:rsidRPr="00123108">
        <w:rPr>
          <w:rFonts w:ascii="宋体" w:hint="eastAsia"/>
          <w:sz w:val="28"/>
          <w:vertAlign w:val="subscript"/>
          <w:lang w:val="zh-CN"/>
        </w:rPr>
        <w:t>1</w:t>
      </w:r>
      <w:r w:rsidRPr="00123108">
        <w:rPr>
          <w:rFonts w:ascii="宋体" w:hint="eastAsia"/>
          <w:sz w:val="28"/>
          <w:lang w:val="zh-CN"/>
        </w:rPr>
        <w:t>，β</w:t>
      </w:r>
      <w:r w:rsidRPr="00123108">
        <w:rPr>
          <w:rFonts w:ascii="宋体" w:hint="eastAsia"/>
          <w:sz w:val="28"/>
          <w:vertAlign w:val="subscript"/>
          <w:lang w:val="zh-CN"/>
        </w:rPr>
        <w:t>2</w:t>
      </w:r>
      <w:r w:rsidRPr="00123108">
        <w:rPr>
          <w:rFonts w:ascii="宋体" w:hint="eastAsia"/>
          <w:sz w:val="28"/>
          <w:lang w:val="zh-CN"/>
        </w:rPr>
        <w:t>，…，β</w:t>
      </w:r>
      <w:r w:rsidRPr="00123108">
        <w:rPr>
          <w:rFonts w:ascii="宋体" w:hint="eastAsia"/>
          <w:sz w:val="28"/>
          <w:vertAlign w:val="subscript"/>
          <w:lang w:val="zh-CN"/>
        </w:rPr>
        <w:t>n</w:t>
      </w:r>
      <w:r w:rsidRPr="00123108">
        <w:rPr>
          <w:rFonts w:ascii="宋体" w:hint="eastAsia"/>
          <w:sz w:val="28"/>
          <w:lang w:val="zh-CN"/>
        </w:rPr>
        <w:t>——</w:t>
      </w:r>
      <w:r w:rsidRPr="00123108">
        <w:rPr>
          <w:rFonts w:ascii="宋体" w:hint="eastAsia"/>
          <w:sz w:val="28"/>
        </w:rPr>
        <w:t>与每种危险化学品相对应的校正系数；</w:t>
      </w:r>
    </w:p>
    <w:p w:rsidR="004F34D9" w:rsidRPr="00123108" w:rsidRDefault="004F34D9">
      <w:pPr>
        <w:spacing w:line="360" w:lineRule="auto"/>
        <w:ind w:firstLineChars="200" w:firstLine="560"/>
        <w:rPr>
          <w:rFonts w:ascii="宋体" w:hint="eastAsia"/>
          <w:sz w:val="28"/>
        </w:rPr>
      </w:pPr>
      <w:r w:rsidRPr="00123108">
        <w:rPr>
          <w:rFonts w:ascii="宋体" w:hint="eastAsia"/>
          <w:sz w:val="28"/>
          <w:lang w:val="zh-CN"/>
        </w:rPr>
        <w:t>q</w:t>
      </w:r>
      <w:r w:rsidRPr="00123108">
        <w:rPr>
          <w:rFonts w:ascii="宋体" w:hint="eastAsia"/>
          <w:sz w:val="28"/>
          <w:vertAlign w:val="subscript"/>
          <w:lang w:val="zh-CN"/>
        </w:rPr>
        <w:t>1</w:t>
      </w:r>
      <w:r w:rsidRPr="00123108">
        <w:rPr>
          <w:rFonts w:ascii="宋体" w:hint="eastAsia"/>
          <w:sz w:val="28"/>
          <w:lang w:val="zh-CN"/>
        </w:rPr>
        <w:t>，q</w:t>
      </w:r>
      <w:r w:rsidRPr="00123108">
        <w:rPr>
          <w:rFonts w:ascii="宋体" w:hint="eastAsia"/>
          <w:sz w:val="28"/>
          <w:vertAlign w:val="subscript"/>
          <w:lang w:val="zh-CN"/>
        </w:rPr>
        <w:t>2</w:t>
      </w:r>
      <w:r w:rsidRPr="00123108">
        <w:rPr>
          <w:rFonts w:ascii="宋体" w:hint="eastAsia"/>
          <w:sz w:val="28"/>
          <w:lang w:val="zh-CN"/>
        </w:rPr>
        <w:t>，…，q</w:t>
      </w:r>
      <w:r w:rsidRPr="00123108">
        <w:rPr>
          <w:rFonts w:ascii="宋体" w:hint="eastAsia"/>
          <w:sz w:val="28"/>
          <w:vertAlign w:val="subscript"/>
          <w:lang w:val="zh-CN"/>
        </w:rPr>
        <w:t>n</w:t>
      </w:r>
      <w:r w:rsidRPr="00123108">
        <w:rPr>
          <w:rFonts w:ascii="宋体" w:hint="eastAsia"/>
          <w:sz w:val="28"/>
          <w:lang w:val="zh-CN"/>
        </w:rPr>
        <w:t>——</w:t>
      </w:r>
      <w:r w:rsidRPr="00123108">
        <w:rPr>
          <w:rFonts w:ascii="宋体" w:hint="eastAsia"/>
          <w:sz w:val="28"/>
        </w:rPr>
        <w:t>每种危险化学品实际存在量，单位为吨（t）；</w:t>
      </w:r>
    </w:p>
    <w:p w:rsidR="004F34D9" w:rsidRPr="00123108" w:rsidRDefault="004F34D9">
      <w:pPr>
        <w:spacing w:line="360" w:lineRule="auto"/>
        <w:ind w:firstLineChars="200" w:firstLine="560"/>
        <w:rPr>
          <w:rFonts w:ascii="宋体" w:hint="eastAsia"/>
          <w:sz w:val="28"/>
          <w:lang w:val="zh-CN"/>
        </w:rPr>
      </w:pPr>
      <w:r w:rsidRPr="00123108">
        <w:rPr>
          <w:rFonts w:ascii="宋体" w:hint="eastAsia"/>
          <w:sz w:val="28"/>
          <w:lang w:val="zh-CN"/>
        </w:rPr>
        <w:t>Q</w:t>
      </w:r>
      <w:r w:rsidRPr="00123108">
        <w:rPr>
          <w:rFonts w:ascii="宋体" w:hint="eastAsia"/>
          <w:sz w:val="28"/>
          <w:vertAlign w:val="subscript"/>
          <w:lang w:val="zh-CN"/>
        </w:rPr>
        <w:t>1</w:t>
      </w:r>
      <w:r w:rsidRPr="00123108">
        <w:rPr>
          <w:rFonts w:ascii="宋体" w:hint="eastAsia"/>
          <w:sz w:val="28"/>
          <w:lang w:val="zh-CN"/>
        </w:rPr>
        <w:t>，Q</w:t>
      </w:r>
      <w:r w:rsidRPr="00123108">
        <w:rPr>
          <w:rFonts w:ascii="宋体" w:hint="eastAsia"/>
          <w:sz w:val="28"/>
          <w:vertAlign w:val="subscript"/>
          <w:lang w:val="zh-CN"/>
        </w:rPr>
        <w:t>2</w:t>
      </w:r>
      <w:r w:rsidRPr="00123108">
        <w:rPr>
          <w:rFonts w:ascii="宋体" w:hint="eastAsia"/>
          <w:sz w:val="28"/>
          <w:lang w:val="zh-CN"/>
        </w:rPr>
        <w:t>，…，Q</w:t>
      </w:r>
      <w:r w:rsidRPr="00123108">
        <w:rPr>
          <w:rFonts w:ascii="宋体" w:hint="eastAsia"/>
          <w:sz w:val="28"/>
          <w:vertAlign w:val="subscript"/>
          <w:lang w:val="zh-CN"/>
        </w:rPr>
        <w:t>n</w:t>
      </w:r>
      <w:r w:rsidRPr="00123108">
        <w:rPr>
          <w:rFonts w:ascii="宋体" w:hint="eastAsia"/>
          <w:sz w:val="28"/>
          <w:lang w:val="zh-CN"/>
        </w:rPr>
        <w:t>——</w:t>
      </w:r>
      <w:r w:rsidRPr="00123108">
        <w:rPr>
          <w:rFonts w:ascii="宋体" w:hint="eastAsia"/>
          <w:sz w:val="28"/>
        </w:rPr>
        <w:t>与每种危险化学品相对应的临界量，单位为吨（t）</w:t>
      </w:r>
      <w:r w:rsidRPr="00123108">
        <w:rPr>
          <w:rFonts w:ascii="宋体" w:hint="eastAsia"/>
          <w:sz w:val="28"/>
          <w:lang w:val="zh-CN"/>
        </w:rPr>
        <w:t>。</w:t>
      </w:r>
    </w:p>
    <w:p w:rsidR="004F34D9" w:rsidRPr="00123108" w:rsidRDefault="004F34D9">
      <w:pPr>
        <w:spacing w:line="360" w:lineRule="auto"/>
        <w:ind w:firstLineChars="200" w:firstLine="560"/>
        <w:rPr>
          <w:rFonts w:ascii="宋体" w:hAnsi="宋体" w:cs="宋体" w:hint="eastAsia"/>
          <w:sz w:val="28"/>
          <w:lang w:val="zh-CN"/>
        </w:rPr>
      </w:pPr>
      <w:r w:rsidRPr="00123108">
        <w:rPr>
          <w:rFonts w:ascii="宋体" w:hAnsi="宋体" w:cs="宋体" w:hint="eastAsia"/>
          <w:sz w:val="28"/>
          <w:lang w:val="zh-CN"/>
        </w:rPr>
        <w:t>（3）校正系数β的取值</w:t>
      </w:r>
    </w:p>
    <w:p w:rsidR="004F34D9" w:rsidRPr="00123108" w:rsidRDefault="004F34D9">
      <w:pPr>
        <w:snapToGrid w:val="0"/>
        <w:spacing w:line="360" w:lineRule="auto"/>
        <w:ind w:firstLineChars="200" w:firstLine="560"/>
        <w:rPr>
          <w:rFonts w:ascii="宋体" w:hAnsi="宋体" w:cs="宋体" w:hint="eastAsia"/>
          <w:b/>
          <w:bCs/>
          <w:sz w:val="28"/>
        </w:rPr>
      </w:pPr>
      <w:r w:rsidRPr="00123108">
        <w:rPr>
          <w:rFonts w:ascii="宋体" w:hAnsi="宋体" w:cs="宋体" w:hint="eastAsia"/>
          <w:sz w:val="28"/>
          <w:lang w:val="zh-CN"/>
        </w:rPr>
        <w:t>根据单元内危险化学品的类别不同，设定校正系数β值，见附表1.</w:t>
      </w:r>
      <w:r w:rsidRPr="00123108">
        <w:rPr>
          <w:rFonts w:ascii="宋体" w:hAnsi="宋体" w:cs="宋体" w:hint="eastAsia"/>
          <w:sz w:val="28"/>
        </w:rPr>
        <w:t>12</w:t>
      </w:r>
      <w:r w:rsidRPr="00123108">
        <w:rPr>
          <w:rFonts w:ascii="宋体" w:hAnsi="宋体" w:cs="宋体" w:hint="eastAsia"/>
          <w:sz w:val="28"/>
          <w:lang w:val="zh-CN"/>
        </w:rPr>
        <w:t>-1和附表1.</w:t>
      </w:r>
      <w:r w:rsidRPr="00123108">
        <w:rPr>
          <w:rFonts w:ascii="宋体" w:hAnsi="宋体" w:cs="宋体" w:hint="eastAsia"/>
          <w:sz w:val="28"/>
        </w:rPr>
        <w:t>12</w:t>
      </w:r>
      <w:r w:rsidRPr="00123108">
        <w:rPr>
          <w:rFonts w:ascii="宋体" w:hAnsi="宋体" w:cs="宋体" w:hint="eastAsia"/>
          <w:sz w:val="28"/>
          <w:lang w:val="zh-CN"/>
        </w:rPr>
        <w:t>-2：</w:t>
      </w:r>
    </w:p>
    <w:p w:rsidR="004F34D9" w:rsidRPr="00123108" w:rsidRDefault="004F34D9">
      <w:pPr>
        <w:snapToGrid w:val="0"/>
        <w:spacing w:line="360" w:lineRule="auto"/>
        <w:jc w:val="center"/>
        <w:rPr>
          <w:rFonts w:ascii="宋体" w:hAnsi="宋体" w:cs="宋体" w:hint="eastAsia"/>
          <w:b/>
          <w:bCs/>
          <w:sz w:val="28"/>
        </w:rPr>
      </w:pPr>
      <w:r w:rsidRPr="00123108">
        <w:rPr>
          <w:rFonts w:ascii="宋体" w:hAnsi="宋体" w:cs="宋体" w:hint="eastAsia"/>
          <w:b/>
          <w:bCs/>
          <w:sz w:val="28"/>
        </w:rPr>
        <w:t>附表1.12-1  毒性气体校正系数β取值表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5"/>
        <w:gridCol w:w="4589"/>
      </w:tblGrid>
      <w:tr w:rsidR="004F34D9" w:rsidRPr="00123108">
        <w:trPr>
          <w:trHeight w:val="340"/>
          <w:jc w:val="center"/>
        </w:trPr>
        <w:tc>
          <w:tcPr>
            <w:tcW w:w="249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名称</w:t>
            </w:r>
          </w:p>
        </w:tc>
        <w:tc>
          <w:tcPr>
            <w:tcW w:w="2500"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校正系数β</w:t>
            </w:r>
          </w:p>
        </w:tc>
      </w:tr>
      <w:tr w:rsidR="004F34D9" w:rsidRPr="00123108">
        <w:trPr>
          <w:trHeight w:val="340"/>
          <w:jc w:val="center"/>
        </w:trPr>
        <w:tc>
          <w:tcPr>
            <w:tcW w:w="249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一氧化碳</w:t>
            </w:r>
          </w:p>
        </w:tc>
        <w:tc>
          <w:tcPr>
            <w:tcW w:w="2500"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2</w:t>
            </w:r>
          </w:p>
        </w:tc>
      </w:tr>
      <w:tr w:rsidR="004F34D9" w:rsidRPr="00123108">
        <w:trPr>
          <w:trHeight w:val="340"/>
          <w:jc w:val="center"/>
        </w:trPr>
        <w:tc>
          <w:tcPr>
            <w:tcW w:w="249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二氧化硫</w:t>
            </w:r>
          </w:p>
        </w:tc>
        <w:tc>
          <w:tcPr>
            <w:tcW w:w="2500"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2</w:t>
            </w:r>
          </w:p>
        </w:tc>
      </w:tr>
      <w:tr w:rsidR="004F34D9" w:rsidRPr="00123108">
        <w:trPr>
          <w:trHeight w:val="340"/>
          <w:jc w:val="center"/>
        </w:trPr>
        <w:tc>
          <w:tcPr>
            <w:tcW w:w="249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氨</w:t>
            </w:r>
          </w:p>
        </w:tc>
        <w:tc>
          <w:tcPr>
            <w:tcW w:w="2500"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2</w:t>
            </w:r>
          </w:p>
        </w:tc>
      </w:tr>
      <w:tr w:rsidR="004F34D9" w:rsidRPr="00123108">
        <w:trPr>
          <w:trHeight w:val="340"/>
          <w:jc w:val="center"/>
        </w:trPr>
        <w:tc>
          <w:tcPr>
            <w:tcW w:w="249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环氧乙烷</w:t>
            </w:r>
          </w:p>
        </w:tc>
        <w:tc>
          <w:tcPr>
            <w:tcW w:w="2500"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2</w:t>
            </w:r>
          </w:p>
        </w:tc>
      </w:tr>
      <w:tr w:rsidR="004F34D9" w:rsidRPr="00123108">
        <w:trPr>
          <w:trHeight w:val="340"/>
          <w:jc w:val="center"/>
        </w:trPr>
        <w:tc>
          <w:tcPr>
            <w:tcW w:w="249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氯化氢</w:t>
            </w:r>
          </w:p>
        </w:tc>
        <w:tc>
          <w:tcPr>
            <w:tcW w:w="2500"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3</w:t>
            </w:r>
          </w:p>
        </w:tc>
      </w:tr>
      <w:tr w:rsidR="004F34D9" w:rsidRPr="00123108">
        <w:trPr>
          <w:trHeight w:val="340"/>
          <w:jc w:val="center"/>
        </w:trPr>
        <w:tc>
          <w:tcPr>
            <w:tcW w:w="249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溴甲烷</w:t>
            </w:r>
          </w:p>
        </w:tc>
        <w:tc>
          <w:tcPr>
            <w:tcW w:w="2500"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3</w:t>
            </w:r>
          </w:p>
        </w:tc>
      </w:tr>
      <w:tr w:rsidR="004F34D9" w:rsidRPr="00123108">
        <w:trPr>
          <w:trHeight w:val="340"/>
          <w:jc w:val="center"/>
        </w:trPr>
        <w:tc>
          <w:tcPr>
            <w:tcW w:w="249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氯</w:t>
            </w:r>
          </w:p>
        </w:tc>
        <w:tc>
          <w:tcPr>
            <w:tcW w:w="2500"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4</w:t>
            </w:r>
          </w:p>
        </w:tc>
      </w:tr>
      <w:tr w:rsidR="004F34D9" w:rsidRPr="00123108">
        <w:trPr>
          <w:trHeight w:val="340"/>
          <w:jc w:val="center"/>
        </w:trPr>
        <w:tc>
          <w:tcPr>
            <w:tcW w:w="249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硫化氢</w:t>
            </w:r>
          </w:p>
        </w:tc>
        <w:tc>
          <w:tcPr>
            <w:tcW w:w="2500"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5</w:t>
            </w:r>
          </w:p>
        </w:tc>
      </w:tr>
      <w:tr w:rsidR="004F34D9" w:rsidRPr="00123108">
        <w:trPr>
          <w:trHeight w:val="340"/>
          <w:jc w:val="center"/>
        </w:trPr>
        <w:tc>
          <w:tcPr>
            <w:tcW w:w="249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氟化氢</w:t>
            </w:r>
          </w:p>
        </w:tc>
        <w:tc>
          <w:tcPr>
            <w:tcW w:w="2500"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5</w:t>
            </w:r>
          </w:p>
        </w:tc>
      </w:tr>
      <w:tr w:rsidR="004F34D9" w:rsidRPr="00123108">
        <w:trPr>
          <w:trHeight w:val="340"/>
          <w:jc w:val="center"/>
        </w:trPr>
        <w:tc>
          <w:tcPr>
            <w:tcW w:w="249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二氧化氮</w:t>
            </w:r>
          </w:p>
        </w:tc>
        <w:tc>
          <w:tcPr>
            <w:tcW w:w="2500"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10</w:t>
            </w:r>
          </w:p>
        </w:tc>
      </w:tr>
      <w:tr w:rsidR="004F34D9" w:rsidRPr="00123108">
        <w:trPr>
          <w:trHeight w:val="340"/>
          <w:jc w:val="center"/>
        </w:trPr>
        <w:tc>
          <w:tcPr>
            <w:tcW w:w="249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氰化氢</w:t>
            </w:r>
          </w:p>
        </w:tc>
        <w:tc>
          <w:tcPr>
            <w:tcW w:w="2500"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10</w:t>
            </w:r>
          </w:p>
        </w:tc>
      </w:tr>
      <w:tr w:rsidR="004F34D9" w:rsidRPr="00123108">
        <w:trPr>
          <w:trHeight w:val="340"/>
          <w:jc w:val="center"/>
        </w:trPr>
        <w:tc>
          <w:tcPr>
            <w:tcW w:w="249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lastRenderedPageBreak/>
              <w:t>碳酰氯</w:t>
            </w:r>
          </w:p>
        </w:tc>
        <w:tc>
          <w:tcPr>
            <w:tcW w:w="2500"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20</w:t>
            </w:r>
          </w:p>
        </w:tc>
      </w:tr>
      <w:tr w:rsidR="004F34D9" w:rsidRPr="00123108">
        <w:trPr>
          <w:trHeight w:val="340"/>
          <w:jc w:val="center"/>
        </w:trPr>
        <w:tc>
          <w:tcPr>
            <w:tcW w:w="249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磷化氢</w:t>
            </w:r>
          </w:p>
        </w:tc>
        <w:tc>
          <w:tcPr>
            <w:tcW w:w="2500"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20</w:t>
            </w:r>
          </w:p>
        </w:tc>
      </w:tr>
      <w:tr w:rsidR="004F34D9" w:rsidRPr="00123108">
        <w:trPr>
          <w:trHeight w:val="340"/>
          <w:jc w:val="center"/>
        </w:trPr>
        <w:tc>
          <w:tcPr>
            <w:tcW w:w="249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异氰酸甲酯</w:t>
            </w:r>
          </w:p>
        </w:tc>
        <w:tc>
          <w:tcPr>
            <w:tcW w:w="2500"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20</w:t>
            </w:r>
          </w:p>
        </w:tc>
      </w:tr>
    </w:tbl>
    <w:p w:rsidR="004F34D9" w:rsidRPr="00123108" w:rsidRDefault="004F34D9">
      <w:pPr>
        <w:snapToGrid w:val="0"/>
        <w:ind w:firstLineChars="200" w:firstLine="560"/>
        <w:rPr>
          <w:rFonts w:ascii="宋体" w:hAnsi="宋体" w:cs="宋体" w:hint="eastAsia"/>
          <w:sz w:val="28"/>
        </w:rPr>
      </w:pPr>
    </w:p>
    <w:p w:rsidR="004F34D9" w:rsidRPr="00123108" w:rsidRDefault="004F34D9">
      <w:pPr>
        <w:snapToGrid w:val="0"/>
        <w:spacing w:line="360" w:lineRule="auto"/>
        <w:jc w:val="center"/>
        <w:rPr>
          <w:rFonts w:ascii="宋体" w:hAnsi="宋体" w:cs="宋体" w:hint="eastAsia"/>
          <w:b/>
          <w:bCs/>
          <w:sz w:val="28"/>
        </w:rPr>
      </w:pPr>
      <w:r w:rsidRPr="00123108">
        <w:rPr>
          <w:rFonts w:ascii="宋体" w:hAnsi="宋体" w:cs="宋体" w:hint="eastAsia"/>
          <w:b/>
          <w:bCs/>
          <w:sz w:val="28"/>
        </w:rPr>
        <w:t>附表1.12-2  其他危险化学品校正系数β值取值表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1"/>
        <w:gridCol w:w="2289"/>
        <w:gridCol w:w="2344"/>
      </w:tblGrid>
      <w:tr w:rsidR="004F34D9" w:rsidRPr="00123108">
        <w:trPr>
          <w:trHeight w:val="340"/>
          <w:jc w:val="center"/>
        </w:trPr>
        <w:tc>
          <w:tcPr>
            <w:tcW w:w="4219"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类别</w:t>
            </w:r>
          </w:p>
        </w:tc>
        <w:tc>
          <w:tcPr>
            <w:tcW w:w="2126"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符号</w:t>
            </w:r>
          </w:p>
        </w:tc>
        <w:tc>
          <w:tcPr>
            <w:tcW w:w="2177"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β校正系数</w:t>
            </w:r>
          </w:p>
        </w:tc>
      </w:tr>
      <w:tr w:rsidR="004F34D9" w:rsidRPr="00123108">
        <w:trPr>
          <w:trHeight w:val="340"/>
          <w:jc w:val="center"/>
        </w:trPr>
        <w:tc>
          <w:tcPr>
            <w:tcW w:w="4219" w:type="dxa"/>
            <w:vMerge w:val="restar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急性毒性</w:t>
            </w:r>
          </w:p>
        </w:tc>
        <w:tc>
          <w:tcPr>
            <w:tcW w:w="2126"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J1</w:t>
            </w:r>
          </w:p>
        </w:tc>
        <w:tc>
          <w:tcPr>
            <w:tcW w:w="2177"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4</w:t>
            </w:r>
          </w:p>
        </w:tc>
      </w:tr>
      <w:tr w:rsidR="004F34D9" w:rsidRPr="00123108">
        <w:trPr>
          <w:trHeight w:val="340"/>
          <w:jc w:val="center"/>
        </w:trPr>
        <w:tc>
          <w:tcPr>
            <w:tcW w:w="4219" w:type="dxa"/>
            <w:vMerge/>
            <w:vAlign w:val="center"/>
          </w:tcPr>
          <w:p w:rsidR="004F34D9" w:rsidRPr="00123108" w:rsidRDefault="004F34D9">
            <w:pPr>
              <w:jc w:val="center"/>
              <w:rPr>
                <w:rFonts w:ascii="宋体" w:hAnsi="宋体" w:cs="宋体" w:hint="eastAsia"/>
                <w:kern w:val="0"/>
                <w:szCs w:val="21"/>
              </w:rPr>
            </w:pPr>
          </w:p>
        </w:tc>
        <w:tc>
          <w:tcPr>
            <w:tcW w:w="2126"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J2</w:t>
            </w:r>
          </w:p>
        </w:tc>
        <w:tc>
          <w:tcPr>
            <w:tcW w:w="2177"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1</w:t>
            </w:r>
          </w:p>
        </w:tc>
      </w:tr>
      <w:tr w:rsidR="004F34D9" w:rsidRPr="00123108">
        <w:trPr>
          <w:trHeight w:val="340"/>
          <w:jc w:val="center"/>
        </w:trPr>
        <w:tc>
          <w:tcPr>
            <w:tcW w:w="4219" w:type="dxa"/>
            <w:vMerge/>
            <w:vAlign w:val="center"/>
          </w:tcPr>
          <w:p w:rsidR="004F34D9" w:rsidRPr="00123108" w:rsidRDefault="004F34D9">
            <w:pPr>
              <w:jc w:val="center"/>
              <w:rPr>
                <w:rFonts w:ascii="宋体" w:hAnsi="宋体" w:cs="宋体" w:hint="eastAsia"/>
                <w:kern w:val="0"/>
                <w:szCs w:val="21"/>
              </w:rPr>
            </w:pPr>
          </w:p>
        </w:tc>
        <w:tc>
          <w:tcPr>
            <w:tcW w:w="2126"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J3</w:t>
            </w:r>
          </w:p>
        </w:tc>
        <w:tc>
          <w:tcPr>
            <w:tcW w:w="2177"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2</w:t>
            </w:r>
          </w:p>
        </w:tc>
      </w:tr>
      <w:tr w:rsidR="004F34D9" w:rsidRPr="00123108">
        <w:trPr>
          <w:trHeight w:val="340"/>
          <w:jc w:val="center"/>
        </w:trPr>
        <w:tc>
          <w:tcPr>
            <w:tcW w:w="4219" w:type="dxa"/>
            <w:vMerge/>
            <w:vAlign w:val="center"/>
          </w:tcPr>
          <w:p w:rsidR="004F34D9" w:rsidRPr="00123108" w:rsidRDefault="004F34D9">
            <w:pPr>
              <w:jc w:val="center"/>
              <w:rPr>
                <w:rFonts w:ascii="宋体" w:hAnsi="宋体" w:cs="宋体" w:hint="eastAsia"/>
                <w:kern w:val="0"/>
                <w:szCs w:val="21"/>
              </w:rPr>
            </w:pPr>
          </w:p>
        </w:tc>
        <w:tc>
          <w:tcPr>
            <w:tcW w:w="2126"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J4</w:t>
            </w:r>
          </w:p>
        </w:tc>
        <w:tc>
          <w:tcPr>
            <w:tcW w:w="2177"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2</w:t>
            </w:r>
          </w:p>
        </w:tc>
      </w:tr>
      <w:tr w:rsidR="004F34D9" w:rsidRPr="00123108">
        <w:trPr>
          <w:trHeight w:val="340"/>
          <w:jc w:val="center"/>
        </w:trPr>
        <w:tc>
          <w:tcPr>
            <w:tcW w:w="4219" w:type="dxa"/>
            <w:vMerge/>
            <w:vAlign w:val="center"/>
          </w:tcPr>
          <w:p w:rsidR="004F34D9" w:rsidRPr="00123108" w:rsidRDefault="004F34D9">
            <w:pPr>
              <w:jc w:val="center"/>
              <w:rPr>
                <w:rFonts w:ascii="宋体" w:hAnsi="宋体" w:cs="宋体" w:hint="eastAsia"/>
                <w:kern w:val="0"/>
                <w:szCs w:val="21"/>
              </w:rPr>
            </w:pPr>
          </w:p>
        </w:tc>
        <w:tc>
          <w:tcPr>
            <w:tcW w:w="2126"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J5</w:t>
            </w:r>
          </w:p>
        </w:tc>
        <w:tc>
          <w:tcPr>
            <w:tcW w:w="2177"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1</w:t>
            </w:r>
          </w:p>
        </w:tc>
      </w:tr>
      <w:tr w:rsidR="004F34D9" w:rsidRPr="00123108">
        <w:trPr>
          <w:trHeight w:val="340"/>
          <w:jc w:val="center"/>
        </w:trPr>
        <w:tc>
          <w:tcPr>
            <w:tcW w:w="4219" w:type="dxa"/>
            <w:vMerge w:val="restar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爆炸物</w:t>
            </w:r>
          </w:p>
        </w:tc>
        <w:tc>
          <w:tcPr>
            <w:tcW w:w="2126"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W1.1</w:t>
            </w:r>
          </w:p>
        </w:tc>
        <w:tc>
          <w:tcPr>
            <w:tcW w:w="2177"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2</w:t>
            </w:r>
          </w:p>
        </w:tc>
      </w:tr>
      <w:tr w:rsidR="004F34D9" w:rsidRPr="00123108">
        <w:trPr>
          <w:trHeight w:val="340"/>
          <w:jc w:val="center"/>
        </w:trPr>
        <w:tc>
          <w:tcPr>
            <w:tcW w:w="4219" w:type="dxa"/>
            <w:vMerge/>
            <w:vAlign w:val="center"/>
          </w:tcPr>
          <w:p w:rsidR="004F34D9" w:rsidRPr="00123108" w:rsidRDefault="004F34D9">
            <w:pPr>
              <w:jc w:val="center"/>
              <w:rPr>
                <w:rFonts w:ascii="宋体" w:hAnsi="宋体" w:cs="宋体" w:hint="eastAsia"/>
                <w:kern w:val="0"/>
                <w:szCs w:val="21"/>
              </w:rPr>
            </w:pPr>
          </w:p>
        </w:tc>
        <w:tc>
          <w:tcPr>
            <w:tcW w:w="2126"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W1.2</w:t>
            </w:r>
          </w:p>
        </w:tc>
        <w:tc>
          <w:tcPr>
            <w:tcW w:w="2177"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2</w:t>
            </w:r>
          </w:p>
        </w:tc>
      </w:tr>
      <w:tr w:rsidR="004F34D9" w:rsidRPr="00123108">
        <w:trPr>
          <w:trHeight w:val="340"/>
          <w:jc w:val="center"/>
        </w:trPr>
        <w:tc>
          <w:tcPr>
            <w:tcW w:w="4219" w:type="dxa"/>
            <w:vMerge/>
            <w:vAlign w:val="center"/>
          </w:tcPr>
          <w:p w:rsidR="004F34D9" w:rsidRPr="00123108" w:rsidRDefault="004F34D9">
            <w:pPr>
              <w:jc w:val="center"/>
              <w:rPr>
                <w:rFonts w:ascii="宋体" w:hAnsi="宋体" w:cs="宋体" w:hint="eastAsia"/>
                <w:kern w:val="0"/>
                <w:szCs w:val="21"/>
              </w:rPr>
            </w:pPr>
          </w:p>
        </w:tc>
        <w:tc>
          <w:tcPr>
            <w:tcW w:w="2126"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W1.3</w:t>
            </w:r>
          </w:p>
        </w:tc>
        <w:tc>
          <w:tcPr>
            <w:tcW w:w="2177"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2</w:t>
            </w:r>
          </w:p>
        </w:tc>
      </w:tr>
      <w:tr w:rsidR="004F34D9" w:rsidRPr="00123108">
        <w:trPr>
          <w:trHeight w:val="340"/>
          <w:jc w:val="center"/>
        </w:trPr>
        <w:tc>
          <w:tcPr>
            <w:tcW w:w="4219"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易燃气体</w:t>
            </w:r>
          </w:p>
        </w:tc>
        <w:tc>
          <w:tcPr>
            <w:tcW w:w="2126"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W2</w:t>
            </w:r>
          </w:p>
        </w:tc>
        <w:tc>
          <w:tcPr>
            <w:tcW w:w="2177"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1.5</w:t>
            </w:r>
          </w:p>
        </w:tc>
      </w:tr>
      <w:tr w:rsidR="004F34D9" w:rsidRPr="00123108">
        <w:trPr>
          <w:trHeight w:val="340"/>
          <w:jc w:val="center"/>
        </w:trPr>
        <w:tc>
          <w:tcPr>
            <w:tcW w:w="4219"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气溶胶</w:t>
            </w:r>
          </w:p>
        </w:tc>
        <w:tc>
          <w:tcPr>
            <w:tcW w:w="2126"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W3</w:t>
            </w:r>
          </w:p>
        </w:tc>
        <w:tc>
          <w:tcPr>
            <w:tcW w:w="2177"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1</w:t>
            </w:r>
          </w:p>
        </w:tc>
      </w:tr>
      <w:tr w:rsidR="004F34D9" w:rsidRPr="00123108">
        <w:trPr>
          <w:trHeight w:val="340"/>
          <w:jc w:val="center"/>
        </w:trPr>
        <w:tc>
          <w:tcPr>
            <w:tcW w:w="4219"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氧化性气体</w:t>
            </w:r>
          </w:p>
        </w:tc>
        <w:tc>
          <w:tcPr>
            <w:tcW w:w="2126"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W4</w:t>
            </w:r>
          </w:p>
        </w:tc>
        <w:tc>
          <w:tcPr>
            <w:tcW w:w="2177"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1</w:t>
            </w:r>
          </w:p>
        </w:tc>
      </w:tr>
      <w:tr w:rsidR="004F34D9" w:rsidRPr="00123108">
        <w:trPr>
          <w:trHeight w:val="340"/>
          <w:jc w:val="center"/>
        </w:trPr>
        <w:tc>
          <w:tcPr>
            <w:tcW w:w="4219" w:type="dxa"/>
            <w:vMerge w:val="restar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易燃液体</w:t>
            </w:r>
          </w:p>
        </w:tc>
        <w:tc>
          <w:tcPr>
            <w:tcW w:w="2126"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W5.1</w:t>
            </w:r>
          </w:p>
        </w:tc>
        <w:tc>
          <w:tcPr>
            <w:tcW w:w="2177"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1.5</w:t>
            </w:r>
          </w:p>
        </w:tc>
      </w:tr>
      <w:tr w:rsidR="004F34D9" w:rsidRPr="00123108">
        <w:trPr>
          <w:trHeight w:val="340"/>
          <w:jc w:val="center"/>
        </w:trPr>
        <w:tc>
          <w:tcPr>
            <w:tcW w:w="4219" w:type="dxa"/>
            <w:vMerge/>
            <w:vAlign w:val="center"/>
          </w:tcPr>
          <w:p w:rsidR="004F34D9" w:rsidRPr="00123108" w:rsidRDefault="004F34D9">
            <w:pPr>
              <w:jc w:val="center"/>
              <w:rPr>
                <w:rFonts w:ascii="宋体" w:hAnsi="宋体" w:cs="宋体" w:hint="eastAsia"/>
                <w:kern w:val="0"/>
                <w:szCs w:val="21"/>
              </w:rPr>
            </w:pPr>
          </w:p>
        </w:tc>
        <w:tc>
          <w:tcPr>
            <w:tcW w:w="2126"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W5.2</w:t>
            </w:r>
          </w:p>
        </w:tc>
        <w:tc>
          <w:tcPr>
            <w:tcW w:w="2177"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1</w:t>
            </w:r>
          </w:p>
        </w:tc>
      </w:tr>
      <w:tr w:rsidR="004F34D9" w:rsidRPr="00123108">
        <w:trPr>
          <w:trHeight w:val="340"/>
          <w:jc w:val="center"/>
        </w:trPr>
        <w:tc>
          <w:tcPr>
            <w:tcW w:w="4219" w:type="dxa"/>
            <w:vMerge/>
            <w:vAlign w:val="center"/>
          </w:tcPr>
          <w:p w:rsidR="004F34D9" w:rsidRPr="00123108" w:rsidRDefault="004F34D9">
            <w:pPr>
              <w:jc w:val="center"/>
              <w:rPr>
                <w:rFonts w:ascii="宋体" w:hAnsi="宋体" w:cs="宋体" w:hint="eastAsia"/>
                <w:kern w:val="0"/>
                <w:szCs w:val="21"/>
              </w:rPr>
            </w:pPr>
          </w:p>
        </w:tc>
        <w:tc>
          <w:tcPr>
            <w:tcW w:w="2126"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W5.3</w:t>
            </w:r>
          </w:p>
        </w:tc>
        <w:tc>
          <w:tcPr>
            <w:tcW w:w="2177"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1</w:t>
            </w:r>
          </w:p>
        </w:tc>
      </w:tr>
      <w:tr w:rsidR="004F34D9" w:rsidRPr="00123108">
        <w:trPr>
          <w:trHeight w:val="340"/>
          <w:jc w:val="center"/>
        </w:trPr>
        <w:tc>
          <w:tcPr>
            <w:tcW w:w="4219" w:type="dxa"/>
            <w:vMerge/>
            <w:vAlign w:val="center"/>
          </w:tcPr>
          <w:p w:rsidR="004F34D9" w:rsidRPr="00123108" w:rsidRDefault="004F34D9">
            <w:pPr>
              <w:jc w:val="center"/>
              <w:rPr>
                <w:rFonts w:ascii="宋体" w:hAnsi="宋体" w:cs="宋体" w:hint="eastAsia"/>
                <w:kern w:val="0"/>
                <w:szCs w:val="21"/>
              </w:rPr>
            </w:pPr>
          </w:p>
        </w:tc>
        <w:tc>
          <w:tcPr>
            <w:tcW w:w="2126"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W5.4</w:t>
            </w:r>
          </w:p>
        </w:tc>
        <w:tc>
          <w:tcPr>
            <w:tcW w:w="2177"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1</w:t>
            </w:r>
          </w:p>
        </w:tc>
      </w:tr>
      <w:tr w:rsidR="004F34D9" w:rsidRPr="00123108">
        <w:trPr>
          <w:trHeight w:val="340"/>
          <w:jc w:val="center"/>
        </w:trPr>
        <w:tc>
          <w:tcPr>
            <w:tcW w:w="4219" w:type="dxa"/>
            <w:vMerge w:val="restar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自反应物质和混合物</w:t>
            </w:r>
          </w:p>
        </w:tc>
        <w:tc>
          <w:tcPr>
            <w:tcW w:w="2126"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W6.1</w:t>
            </w:r>
          </w:p>
        </w:tc>
        <w:tc>
          <w:tcPr>
            <w:tcW w:w="2177"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1.5</w:t>
            </w:r>
          </w:p>
        </w:tc>
      </w:tr>
      <w:tr w:rsidR="004F34D9" w:rsidRPr="00123108">
        <w:trPr>
          <w:trHeight w:val="340"/>
          <w:jc w:val="center"/>
        </w:trPr>
        <w:tc>
          <w:tcPr>
            <w:tcW w:w="4219" w:type="dxa"/>
            <w:vMerge/>
            <w:vAlign w:val="center"/>
          </w:tcPr>
          <w:p w:rsidR="004F34D9" w:rsidRPr="00123108" w:rsidRDefault="004F34D9">
            <w:pPr>
              <w:jc w:val="center"/>
              <w:rPr>
                <w:rFonts w:ascii="宋体" w:hAnsi="宋体" w:cs="宋体" w:hint="eastAsia"/>
                <w:kern w:val="0"/>
                <w:szCs w:val="21"/>
              </w:rPr>
            </w:pPr>
          </w:p>
        </w:tc>
        <w:tc>
          <w:tcPr>
            <w:tcW w:w="2126"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W6.2</w:t>
            </w:r>
          </w:p>
        </w:tc>
        <w:tc>
          <w:tcPr>
            <w:tcW w:w="2177"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1</w:t>
            </w:r>
          </w:p>
        </w:tc>
      </w:tr>
      <w:tr w:rsidR="004F34D9" w:rsidRPr="00123108">
        <w:trPr>
          <w:trHeight w:val="340"/>
          <w:jc w:val="center"/>
        </w:trPr>
        <w:tc>
          <w:tcPr>
            <w:tcW w:w="4219" w:type="dxa"/>
            <w:vMerge w:val="restar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有机过氧化物</w:t>
            </w:r>
          </w:p>
        </w:tc>
        <w:tc>
          <w:tcPr>
            <w:tcW w:w="2126"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W7.1</w:t>
            </w:r>
          </w:p>
        </w:tc>
        <w:tc>
          <w:tcPr>
            <w:tcW w:w="2177"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1.5</w:t>
            </w:r>
          </w:p>
        </w:tc>
      </w:tr>
      <w:tr w:rsidR="004F34D9" w:rsidRPr="00123108">
        <w:trPr>
          <w:trHeight w:val="340"/>
          <w:jc w:val="center"/>
        </w:trPr>
        <w:tc>
          <w:tcPr>
            <w:tcW w:w="4219" w:type="dxa"/>
            <w:vMerge/>
            <w:vAlign w:val="center"/>
          </w:tcPr>
          <w:p w:rsidR="004F34D9" w:rsidRPr="00123108" w:rsidRDefault="004F34D9">
            <w:pPr>
              <w:jc w:val="center"/>
              <w:rPr>
                <w:rFonts w:ascii="宋体" w:hAnsi="宋体" w:cs="宋体" w:hint="eastAsia"/>
                <w:kern w:val="0"/>
                <w:szCs w:val="21"/>
              </w:rPr>
            </w:pPr>
          </w:p>
        </w:tc>
        <w:tc>
          <w:tcPr>
            <w:tcW w:w="2126"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W7.2</w:t>
            </w:r>
          </w:p>
        </w:tc>
        <w:tc>
          <w:tcPr>
            <w:tcW w:w="2177"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1</w:t>
            </w:r>
          </w:p>
        </w:tc>
      </w:tr>
      <w:tr w:rsidR="004F34D9" w:rsidRPr="00123108">
        <w:trPr>
          <w:trHeight w:val="340"/>
          <w:jc w:val="center"/>
        </w:trPr>
        <w:tc>
          <w:tcPr>
            <w:tcW w:w="4219"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自燃液体和自燃固体</w:t>
            </w:r>
          </w:p>
        </w:tc>
        <w:tc>
          <w:tcPr>
            <w:tcW w:w="2126"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W8</w:t>
            </w:r>
          </w:p>
        </w:tc>
        <w:tc>
          <w:tcPr>
            <w:tcW w:w="2177"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1</w:t>
            </w:r>
          </w:p>
        </w:tc>
      </w:tr>
      <w:tr w:rsidR="004F34D9" w:rsidRPr="00123108">
        <w:trPr>
          <w:trHeight w:val="340"/>
          <w:jc w:val="center"/>
        </w:trPr>
        <w:tc>
          <w:tcPr>
            <w:tcW w:w="4219" w:type="dxa"/>
            <w:vMerge w:val="restar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氧化性固体和液体</w:t>
            </w:r>
          </w:p>
        </w:tc>
        <w:tc>
          <w:tcPr>
            <w:tcW w:w="2126"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W9.1</w:t>
            </w:r>
          </w:p>
        </w:tc>
        <w:tc>
          <w:tcPr>
            <w:tcW w:w="2177"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kern w:val="0"/>
                <w:szCs w:val="21"/>
              </w:rPr>
              <w:t>1</w:t>
            </w:r>
          </w:p>
        </w:tc>
      </w:tr>
      <w:tr w:rsidR="004F34D9" w:rsidRPr="00123108">
        <w:trPr>
          <w:trHeight w:val="340"/>
          <w:jc w:val="center"/>
        </w:trPr>
        <w:tc>
          <w:tcPr>
            <w:tcW w:w="4219" w:type="dxa"/>
            <w:vMerge/>
            <w:vAlign w:val="center"/>
          </w:tcPr>
          <w:p w:rsidR="004F34D9" w:rsidRPr="00123108" w:rsidRDefault="004F34D9">
            <w:pPr>
              <w:jc w:val="center"/>
              <w:rPr>
                <w:rFonts w:ascii="宋体" w:hAnsi="宋体" w:cs="宋体" w:hint="eastAsia"/>
                <w:kern w:val="0"/>
                <w:szCs w:val="21"/>
              </w:rPr>
            </w:pPr>
          </w:p>
        </w:tc>
        <w:tc>
          <w:tcPr>
            <w:tcW w:w="2126"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W9.2</w:t>
            </w:r>
          </w:p>
        </w:tc>
        <w:tc>
          <w:tcPr>
            <w:tcW w:w="2177"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kern w:val="0"/>
                <w:szCs w:val="21"/>
              </w:rPr>
              <w:t>1</w:t>
            </w:r>
          </w:p>
        </w:tc>
      </w:tr>
      <w:tr w:rsidR="004F34D9" w:rsidRPr="00123108">
        <w:trPr>
          <w:trHeight w:val="340"/>
          <w:jc w:val="center"/>
        </w:trPr>
        <w:tc>
          <w:tcPr>
            <w:tcW w:w="4219"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易燃固体</w:t>
            </w:r>
          </w:p>
        </w:tc>
        <w:tc>
          <w:tcPr>
            <w:tcW w:w="2126"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W10</w:t>
            </w:r>
          </w:p>
        </w:tc>
        <w:tc>
          <w:tcPr>
            <w:tcW w:w="2177"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kern w:val="0"/>
                <w:szCs w:val="21"/>
              </w:rPr>
              <w:t>1</w:t>
            </w:r>
          </w:p>
        </w:tc>
      </w:tr>
      <w:tr w:rsidR="004F34D9" w:rsidRPr="00123108">
        <w:trPr>
          <w:trHeight w:val="340"/>
          <w:jc w:val="center"/>
        </w:trPr>
        <w:tc>
          <w:tcPr>
            <w:tcW w:w="4219"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遇水放出易燃气体的物质和混合物</w:t>
            </w:r>
          </w:p>
        </w:tc>
        <w:tc>
          <w:tcPr>
            <w:tcW w:w="2126" w:type="dxa"/>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W11</w:t>
            </w:r>
          </w:p>
        </w:tc>
        <w:tc>
          <w:tcPr>
            <w:tcW w:w="2177"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kern w:val="0"/>
                <w:szCs w:val="21"/>
              </w:rPr>
              <w:t>1</w:t>
            </w:r>
          </w:p>
        </w:tc>
      </w:tr>
    </w:tbl>
    <w:p w:rsidR="004F34D9" w:rsidRPr="00123108" w:rsidRDefault="004F34D9">
      <w:pPr>
        <w:snapToGrid w:val="0"/>
        <w:ind w:firstLineChars="200" w:firstLine="560"/>
        <w:rPr>
          <w:rFonts w:ascii="宋体" w:hAnsi="宋体" w:cs="宋体" w:hint="eastAsia"/>
          <w:sz w:val="28"/>
        </w:rPr>
      </w:pPr>
    </w:p>
    <w:p w:rsidR="004F34D9" w:rsidRPr="00123108" w:rsidRDefault="004F34D9" w:rsidP="00D06780">
      <w:pPr>
        <w:snapToGrid w:val="0"/>
        <w:spacing w:line="500" w:lineRule="exact"/>
        <w:ind w:firstLineChars="200" w:firstLine="560"/>
        <w:rPr>
          <w:rFonts w:ascii="宋体" w:hAnsi="宋体" w:cs="宋体" w:hint="eastAsia"/>
          <w:sz w:val="28"/>
        </w:rPr>
      </w:pPr>
      <w:r w:rsidRPr="00123108">
        <w:rPr>
          <w:rFonts w:ascii="宋体" w:hAnsi="宋体" w:cs="宋体" w:hint="eastAsia"/>
          <w:sz w:val="28"/>
        </w:rPr>
        <w:t>（4）校正系数α的取值</w:t>
      </w:r>
    </w:p>
    <w:p w:rsidR="004F34D9" w:rsidRPr="00123108" w:rsidRDefault="004F34D9" w:rsidP="00D06780">
      <w:pPr>
        <w:snapToGrid w:val="0"/>
        <w:spacing w:line="500" w:lineRule="exact"/>
        <w:ind w:firstLineChars="200" w:firstLine="560"/>
        <w:rPr>
          <w:rFonts w:ascii="宋体" w:hAnsi="宋体" w:cs="宋体" w:hint="eastAsia"/>
          <w:sz w:val="28"/>
        </w:rPr>
      </w:pPr>
      <w:r w:rsidRPr="00123108">
        <w:rPr>
          <w:rFonts w:ascii="宋体" w:hAnsi="宋体" w:cs="宋体" w:hint="eastAsia"/>
          <w:sz w:val="28"/>
        </w:rPr>
        <w:t>根据重大危险源的厂区边界向外扩展500米范围内常住人口数量，设定厂外暴露人员校正系数α值，见附表1.12-3：</w:t>
      </w:r>
    </w:p>
    <w:p w:rsidR="004F34D9" w:rsidRPr="00123108" w:rsidRDefault="004F34D9" w:rsidP="00D06780">
      <w:pPr>
        <w:snapToGrid w:val="0"/>
        <w:spacing w:line="500" w:lineRule="exact"/>
        <w:jc w:val="center"/>
        <w:rPr>
          <w:rFonts w:ascii="宋体" w:hAnsi="宋体" w:cs="宋体" w:hint="eastAsia"/>
          <w:b/>
          <w:bCs/>
          <w:sz w:val="28"/>
        </w:rPr>
      </w:pPr>
      <w:r w:rsidRPr="00123108">
        <w:rPr>
          <w:rFonts w:ascii="宋体" w:hAnsi="宋体" w:cs="宋体" w:hint="eastAsia"/>
          <w:b/>
          <w:bCs/>
          <w:sz w:val="28"/>
        </w:rPr>
        <w:lastRenderedPageBreak/>
        <w:t>附表1.12-3  校正系数α取值表</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4585"/>
        <w:gridCol w:w="4589"/>
      </w:tblGrid>
      <w:tr w:rsidR="004F34D9" w:rsidRPr="00123108">
        <w:trPr>
          <w:trHeight w:hRule="exact" w:val="340"/>
          <w:jc w:val="center"/>
        </w:trPr>
        <w:tc>
          <w:tcPr>
            <w:tcW w:w="2499" w:type="pct"/>
            <w:tcBorders>
              <w:top w:val="single" w:sz="4" w:space="0" w:color="auto"/>
              <w:left w:val="single" w:sz="4" w:space="0" w:color="auto"/>
            </w:tcBorders>
            <w:vAlign w:val="center"/>
          </w:tcPr>
          <w:p w:rsidR="004F34D9" w:rsidRPr="00123108" w:rsidRDefault="004F34D9">
            <w:pPr>
              <w:jc w:val="center"/>
              <w:rPr>
                <w:rFonts w:ascii="宋体" w:hAnsi="宋体" w:cs="宋体" w:hint="eastAsia"/>
                <w:b/>
                <w:szCs w:val="21"/>
              </w:rPr>
            </w:pPr>
            <w:r w:rsidRPr="00123108">
              <w:rPr>
                <w:rFonts w:ascii="宋体" w:hAnsi="宋体" w:cs="宋体" w:hint="eastAsia"/>
                <w:b/>
                <w:szCs w:val="21"/>
              </w:rPr>
              <w:t>厂外可能暴露人员数量</w:t>
            </w:r>
          </w:p>
        </w:tc>
        <w:tc>
          <w:tcPr>
            <w:tcW w:w="2500" w:type="pct"/>
            <w:tcBorders>
              <w:top w:val="single" w:sz="4" w:space="0" w:color="auto"/>
              <w:right w:val="single" w:sz="4" w:space="0" w:color="auto"/>
            </w:tcBorders>
            <w:vAlign w:val="center"/>
          </w:tcPr>
          <w:p w:rsidR="004F34D9" w:rsidRPr="00123108" w:rsidRDefault="004F34D9">
            <w:pPr>
              <w:jc w:val="center"/>
              <w:rPr>
                <w:rFonts w:ascii="宋体" w:hAnsi="宋体" w:cs="宋体" w:hint="eastAsia"/>
                <w:b/>
                <w:szCs w:val="21"/>
              </w:rPr>
            </w:pPr>
            <w:r w:rsidRPr="00123108">
              <w:rPr>
                <w:rFonts w:ascii="宋体" w:hAnsi="宋体" w:cs="宋体" w:hint="eastAsia"/>
                <w:b/>
                <w:szCs w:val="21"/>
              </w:rPr>
              <w:t>α</w:t>
            </w:r>
          </w:p>
        </w:tc>
      </w:tr>
      <w:tr w:rsidR="004F34D9" w:rsidRPr="00123108">
        <w:trPr>
          <w:trHeight w:hRule="exact" w:val="340"/>
          <w:jc w:val="center"/>
        </w:trPr>
        <w:tc>
          <w:tcPr>
            <w:tcW w:w="2499" w:type="pct"/>
            <w:tcBorders>
              <w:lef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100人以上</w:t>
            </w:r>
          </w:p>
        </w:tc>
        <w:tc>
          <w:tcPr>
            <w:tcW w:w="2500" w:type="pct"/>
            <w:tcBorders>
              <w:righ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2.0</w:t>
            </w:r>
          </w:p>
        </w:tc>
      </w:tr>
      <w:tr w:rsidR="004F34D9" w:rsidRPr="00123108">
        <w:trPr>
          <w:trHeight w:hRule="exact" w:val="340"/>
          <w:jc w:val="center"/>
        </w:trPr>
        <w:tc>
          <w:tcPr>
            <w:tcW w:w="2499" w:type="pct"/>
            <w:tcBorders>
              <w:lef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50人～99人</w:t>
            </w:r>
          </w:p>
        </w:tc>
        <w:tc>
          <w:tcPr>
            <w:tcW w:w="2500" w:type="pct"/>
            <w:tcBorders>
              <w:righ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1.5</w:t>
            </w:r>
          </w:p>
        </w:tc>
      </w:tr>
      <w:tr w:rsidR="004F34D9" w:rsidRPr="00123108">
        <w:trPr>
          <w:trHeight w:hRule="exact" w:val="340"/>
          <w:jc w:val="center"/>
        </w:trPr>
        <w:tc>
          <w:tcPr>
            <w:tcW w:w="2499" w:type="pct"/>
            <w:tcBorders>
              <w:lef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30人～49人</w:t>
            </w:r>
          </w:p>
        </w:tc>
        <w:tc>
          <w:tcPr>
            <w:tcW w:w="2500" w:type="pct"/>
            <w:tcBorders>
              <w:righ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1.2</w:t>
            </w:r>
          </w:p>
        </w:tc>
      </w:tr>
      <w:tr w:rsidR="004F34D9" w:rsidRPr="00123108">
        <w:trPr>
          <w:trHeight w:hRule="exact" w:val="340"/>
          <w:jc w:val="center"/>
        </w:trPr>
        <w:tc>
          <w:tcPr>
            <w:tcW w:w="2499" w:type="pct"/>
            <w:tcBorders>
              <w:lef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1～29人</w:t>
            </w:r>
          </w:p>
        </w:tc>
        <w:tc>
          <w:tcPr>
            <w:tcW w:w="2500" w:type="pct"/>
            <w:tcBorders>
              <w:righ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1.0</w:t>
            </w:r>
          </w:p>
        </w:tc>
      </w:tr>
      <w:tr w:rsidR="004F34D9" w:rsidRPr="00123108">
        <w:trPr>
          <w:trHeight w:hRule="exact" w:val="340"/>
          <w:jc w:val="center"/>
        </w:trPr>
        <w:tc>
          <w:tcPr>
            <w:tcW w:w="2499" w:type="pct"/>
            <w:tcBorders>
              <w:left w:val="single" w:sz="4" w:space="0" w:color="auto"/>
              <w:bottom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0人</w:t>
            </w:r>
          </w:p>
        </w:tc>
        <w:tc>
          <w:tcPr>
            <w:tcW w:w="2500" w:type="pct"/>
            <w:tcBorders>
              <w:bottom w:val="single" w:sz="4" w:space="0" w:color="auto"/>
              <w:righ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0.5</w:t>
            </w:r>
          </w:p>
        </w:tc>
      </w:tr>
    </w:tbl>
    <w:p w:rsidR="004F34D9" w:rsidRPr="00123108" w:rsidRDefault="004F34D9">
      <w:pPr>
        <w:snapToGrid w:val="0"/>
        <w:ind w:firstLineChars="200" w:firstLine="560"/>
        <w:rPr>
          <w:rFonts w:ascii="宋体" w:hAnsi="宋体" w:cs="宋体" w:hint="eastAsia"/>
          <w:sz w:val="28"/>
        </w:rPr>
      </w:pPr>
    </w:p>
    <w:p w:rsidR="004F34D9" w:rsidRPr="00123108" w:rsidRDefault="004F34D9" w:rsidP="00D06780">
      <w:pPr>
        <w:snapToGrid w:val="0"/>
        <w:spacing w:line="500" w:lineRule="exact"/>
        <w:ind w:firstLineChars="200" w:firstLine="560"/>
        <w:rPr>
          <w:rFonts w:ascii="宋体" w:hAnsi="宋体" w:cs="宋体" w:hint="eastAsia"/>
          <w:sz w:val="28"/>
        </w:rPr>
      </w:pPr>
      <w:r w:rsidRPr="00123108">
        <w:rPr>
          <w:rFonts w:ascii="宋体" w:hAnsi="宋体" w:cs="宋体" w:hint="eastAsia"/>
          <w:sz w:val="28"/>
        </w:rPr>
        <w:t>（5）分级标准</w:t>
      </w:r>
    </w:p>
    <w:p w:rsidR="004F34D9" w:rsidRPr="00123108" w:rsidRDefault="004F34D9" w:rsidP="00D06780">
      <w:pPr>
        <w:snapToGrid w:val="0"/>
        <w:spacing w:line="500" w:lineRule="exact"/>
        <w:ind w:firstLineChars="200" w:firstLine="560"/>
        <w:rPr>
          <w:rFonts w:ascii="宋体" w:hAnsi="宋体" w:cs="宋体" w:hint="eastAsia"/>
          <w:b/>
          <w:bCs/>
          <w:sz w:val="28"/>
        </w:rPr>
      </w:pPr>
      <w:r w:rsidRPr="00123108">
        <w:rPr>
          <w:rFonts w:ascii="宋体" w:hAnsi="宋体" w:cs="宋体" w:hint="eastAsia"/>
          <w:sz w:val="28"/>
        </w:rPr>
        <w:t>根据计算出来的R值，按附表1.12-4确定危险化学品重大危险源的级别。</w:t>
      </w:r>
    </w:p>
    <w:p w:rsidR="004F34D9" w:rsidRPr="00123108" w:rsidRDefault="004F34D9" w:rsidP="00D06780">
      <w:pPr>
        <w:snapToGrid w:val="0"/>
        <w:spacing w:line="500" w:lineRule="exact"/>
        <w:jc w:val="center"/>
        <w:rPr>
          <w:rFonts w:ascii="宋体" w:hAnsi="宋体" w:cs="宋体" w:hint="eastAsia"/>
          <w:b/>
          <w:bCs/>
          <w:sz w:val="28"/>
        </w:rPr>
      </w:pPr>
      <w:r w:rsidRPr="00123108">
        <w:rPr>
          <w:rFonts w:ascii="宋体" w:hAnsi="宋体" w:cs="宋体" w:hint="eastAsia"/>
          <w:b/>
          <w:bCs/>
          <w:sz w:val="28"/>
        </w:rPr>
        <w:t>附表1.12-4  危险化学品重大危险源级别和R值的对应关系</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2"/>
        <w:gridCol w:w="4482"/>
      </w:tblGrid>
      <w:tr w:rsidR="004F34D9" w:rsidRPr="00123108">
        <w:trPr>
          <w:trHeight w:hRule="exact" w:val="340"/>
          <w:jc w:val="center"/>
        </w:trPr>
        <w:tc>
          <w:tcPr>
            <w:tcW w:w="2556" w:type="pct"/>
            <w:vAlign w:val="center"/>
          </w:tcPr>
          <w:p w:rsidR="004F34D9" w:rsidRPr="00123108" w:rsidRDefault="004F34D9">
            <w:pPr>
              <w:jc w:val="center"/>
              <w:rPr>
                <w:rFonts w:ascii="宋体" w:hAnsi="宋体" w:cs="宋体" w:hint="eastAsia"/>
                <w:b/>
              </w:rPr>
            </w:pPr>
            <w:r w:rsidRPr="00123108">
              <w:rPr>
                <w:rFonts w:ascii="宋体" w:hAnsi="宋体" w:cs="宋体" w:hint="eastAsia"/>
                <w:b/>
              </w:rPr>
              <w:t>危险化学品重大危险源级别</w:t>
            </w:r>
          </w:p>
        </w:tc>
        <w:tc>
          <w:tcPr>
            <w:tcW w:w="2443" w:type="pct"/>
            <w:vAlign w:val="center"/>
          </w:tcPr>
          <w:p w:rsidR="004F34D9" w:rsidRPr="00123108" w:rsidRDefault="004F34D9">
            <w:pPr>
              <w:jc w:val="center"/>
              <w:rPr>
                <w:rFonts w:ascii="宋体" w:hAnsi="宋体" w:cs="宋体" w:hint="eastAsia"/>
                <w:b/>
              </w:rPr>
            </w:pPr>
            <w:r w:rsidRPr="00123108">
              <w:rPr>
                <w:rFonts w:ascii="宋体" w:hAnsi="宋体" w:cs="宋体" w:hint="eastAsia"/>
                <w:b/>
              </w:rPr>
              <w:t>R值</w:t>
            </w:r>
          </w:p>
        </w:tc>
      </w:tr>
      <w:tr w:rsidR="004F34D9" w:rsidRPr="00123108">
        <w:trPr>
          <w:trHeight w:hRule="exact" w:val="340"/>
          <w:jc w:val="center"/>
        </w:trPr>
        <w:tc>
          <w:tcPr>
            <w:tcW w:w="2556" w:type="pct"/>
            <w:vAlign w:val="center"/>
          </w:tcPr>
          <w:p w:rsidR="004F34D9" w:rsidRPr="00123108" w:rsidRDefault="004F34D9">
            <w:pPr>
              <w:jc w:val="center"/>
              <w:rPr>
                <w:rFonts w:ascii="宋体" w:hAnsi="宋体" w:cs="宋体" w:hint="eastAsia"/>
              </w:rPr>
            </w:pPr>
            <w:r w:rsidRPr="00123108">
              <w:rPr>
                <w:rFonts w:ascii="宋体" w:hAnsi="宋体" w:cs="宋体" w:hint="eastAsia"/>
              </w:rPr>
              <w:t>一级</w:t>
            </w:r>
          </w:p>
        </w:tc>
        <w:tc>
          <w:tcPr>
            <w:tcW w:w="2443" w:type="pct"/>
            <w:vAlign w:val="center"/>
          </w:tcPr>
          <w:p w:rsidR="004F34D9" w:rsidRPr="00123108" w:rsidRDefault="004F34D9">
            <w:pPr>
              <w:jc w:val="center"/>
              <w:rPr>
                <w:rFonts w:ascii="宋体" w:hAnsi="宋体" w:cs="宋体" w:hint="eastAsia"/>
              </w:rPr>
            </w:pPr>
            <w:r w:rsidRPr="00123108">
              <w:rPr>
                <w:rFonts w:ascii="宋体" w:hAnsi="宋体" w:cs="宋体" w:hint="eastAsia"/>
              </w:rPr>
              <w:t>R≥100</w:t>
            </w:r>
          </w:p>
        </w:tc>
      </w:tr>
      <w:tr w:rsidR="004F34D9" w:rsidRPr="00123108">
        <w:trPr>
          <w:trHeight w:hRule="exact" w:val="340"/>
          <w:jc w:val="center"/>
        </w:trPr>
        <w:tc>
          <w:tcPr>
            <w:tcW w:w="2556" w:type="pct"/>
            <w:vAlign w:val="center"/>
          </w:tcPr>
          <w:p w:rsidR="004F34D9" w:rsidRPr="00123108" w:rsidRDefault="004F34D9">
            <w:pPr>
              <w:jc w:val="center"/>
              <w:rPr>
                <w:rFonts w:ascii="宋体" w:hAnsi="宋体" w:cs="宋体" w:hint="eastAsia"/>
              </w:rPr>
            </w:pPr>
            <w:r w:rsidRPr="00123108">
              <w:rPr>
                <w:rFonts w:ascii="宋体" w:hAnsi="宋体" w:cs="宋体" w:hint="eastAsia"/>
              </w:rPr>
              <w:t>二级</w:t>
            </w:r>
          </w:p>
        </w:tc>
        <w:tc>
          <w:tcPr>
            <w:tcW w:w="2443" w:type="pct"/>
            <w:vAlign w:val="center"/>
          </w:tcPr>
          <w:p w:rsidR="004F34D9" w:rsidRPr="00123108" w:rsidRDefault="004F34D9">
            <w:pPr>
              <w:jc w:val="center"/>
              <w:rPr>
                <w:rFonts w:ascii="宋体" w:hAnsi="宋体" w:cs="宋体" w:hint="eastAsia"/>
              </w:rPr>
            </w:pPr>
            <w:r w:rsidRPr="00123108">
              <w:rPr>
                <w:rFonts w:ascii="宋体" w:hAnsi="宋体" w:cs="宋体" w:hint="eastAsia"/>
              </w:rPr>
              <w:t>100&gt;R≥50</w:t>
            </w:r>
          </w:p>
        </w:tc>
      </w:tr>
      <w:tr w:rsidR="004F34D9" w:rsidRPr="00123108">
        <w:trPr>
          <w:trHeight w:hRule="exact" w:val="340"/>
          <w:jc w:val="center"/>
        </w:trPr>
        <w:tc>
          <w:tcPr>
            <w:tcW w:w="2556" w:type="pct"/>
            <w:vAlign w:val="center"/>
          </w:tcPr>
          <w:p w:rsidR="004F34D9" w:rsidRPr="00123108" w:rsidRDefault="004F34D9">
            <w:pPr>
              <w:jc w:val="center"/>
              <w:rPr>
                <w:rFonts w:ascii="宋体" w:hAnsi="宋体" w:cs="宋体" w:hint="eastAsia"/>
              </w:rPr>
            </w:pPr>
            <w:r w:rsidRPr="00123108">
              <w:rPr>
                <w:rFonts w:ascii="宋体" w:hAnsi="宋体" w:cs="宋体" w:hint="eastAsia"/>
              </w:rPr>
              <w:t>三级</w:t>
            </w:r>
          </w:p>
        </w:tc>
        <w:tc>
          <w:tcPr>
            <w:tcW w:w="2443" w:type="pct"/>
            <w:vAlign w:val="center"/>
          </w:tcPr>
          <w:p w:rsidR="004F34D9" w:rsidRPr="00123108" w:rsidRDefault="004F34D9">
            <w:pPr>
              <w:jc w:val="center"/>
              <w:rPr>
                <w:rFonts w:ascii="宋体" w:hAnsi="宋体" w:cs="宋体" w:hint="eastAsia"/>
              </w:rPr>
            </w:pPr>
            <w:r w:rsidRPr="00123108">
              <w:rPr>
                <w:rFonts w:ascii="宋体" w:hAnsi="宋体" w:cs="宋体" w:hint="eastAsia"/>
              </w:rPr>
              <w:t>50&gt;R≥10</w:t>
            </w:r>
          </w:p>
        </w:tc>
      </w:tr>
      <w:tr w:rsidR="004F34D9" w:rsidRPr="00123108">
        <w:trPr>
          <w:trHeight w:hRule="exact" w:val="340"/>
          <w:jc w:val="center"/>
        </w:trPr>
        <w:tc>
          <w:tcPr>
            <w:tcW w:w="2556" w:type="pct"/>
            <w:vAlign w:val="center"/>
          </w:tcPr>
          <w:p w:rsidR="004F34D9" w:rsidRPr="00123108" w:rsidRDefault="004F34D9">
            <w:pPr>
              <w:jc w:val="center"/>
              <w:rPr>
                <w:rFonts w:ascii="宋体" w:hAnsi="宋体" w:cs="宋体" w:hint="eastAsia"/>
              </w:rPr>
            </w:pPr>
            <w:r w:rsidRPr="00123108">
              <w:rPr>
                <w:rFonts w:ascii="宋体" w:hAnsi="宋体" w:cs="宋体" w:hint="eastAsia"/>
              </w:rPr>
              <w:t>四级</w:t>
            </w:r>
          </w:p>
        </w:tc>
        <w:tc>
          <w:tcPr>
            <w:tcW w:w="2443" w:type="pct"/>
            <w:vAlign w:val="center"/>
          </w:tcPr>
          <w:p w:rsidR="004F34D9" w:rsidRPr="00123108" w:rsidRDefault="004F34D9">
            <w:pPr>
              <w:jc w:val="center"/>
              <w:rPr>
                <w:rFonts w:ascii="宋体" w:hAnsi="宋体" w:cs="宋体" w:hint="eastAsia"/>
              </w:rPr>
            </w:pPr>
            <w:r w:rsidRPr="00123108">
              <w:rPr>
                <w:rFonts w:ascii="宋体" w:hAnsi="宋体" w:cs="宋体" w:hint="eastAsia"/>
              </w:rPr>
              <w:t>R&lt;10</w:t>
            </w:r>
          </w:p>
        </w:tc>
      </w:tr>
    </w:tbl>
    <w:p w:rsidR="004F34D9" w:rsidRPr="00123108" w:rsidRDefault="004F34D9">
      <w:pPr>
        <w:snapToGrid w:val="0"/>
        <w:ind w:firstLineChars="200" w:firstLine="560"/>
        <w:rPr>
          <w:rFonts w:ascii="宋体" w:hAnsi="宋体" w:cs="宋体" w:hint="eastAsia"/>
          <w:sz w:val="28"/>
        </w:rPr>
      </w:pPr>
    </w:p>
    <w:p w:rsidR="004F34D9" w:rsidRPr="00123108" w:rsidRDefault="004F34D9" w:rsidP="00D06780">
      <w:pPr>
        <w:keepLines/>
        <w:snapToGrid w:val="0"/>
        <w:spacing w:line="500" w:lineRule="exact"/>
        <w:outlineLvl w:val="2"/>
        <w:rPr>
          <w:rFonts w:ascii="宋体" w:hAnsi="宋体" w:cs="宋体" w:hint="eastAsia"/>
          <w:b/>
          <w:sz w:val="28"/>
        </w:rPr>
      </w:pPr>
      <w:bookmarkStart w:id="1591" w:name="_Toc2714"/>
      <w:bookmarkStart w:id="1592" w:name="_Toc13495"/>
      <w:bookmarkStart w:id="1593" w:name="_Toc11888"/>
      <w:bookmarkStart w:id="1594" w:name="_Toc21399"/>
      <w:bookmarkStart w:id="1595" w:name="_Toc3809131"/>
      <w:bookmarkStart w:id="1596" w:name="_Toc3403"/>
      <w:bookmarkStart w:id="1597" w:name="_Toc31077"/>
      <w:bookmarkStart w:id="1598" w:name="_Toc338687334"/>
      <w:bookmarkStart w:id="1599" w:name="_Toc190935884"/>
      <w:r w:rsidRPr="00123108">
        <w:rPr>
          <w:rFonts w:ascii="宋体" w:hAnsi="宋体" w:cs="宋体" w:hint="eastAsia"/>
          <w:b/>
          <w:sz w:val="28"/>
        </w:rPr>
        <w:t>附件1.12.4  辨识过程及结果</w:t>
      </w:r>
      <w:bookmarkEnd w:id="1591"/>
      <w:bookmarkEnd w:id="1592"/>
      <w:bookmarkEnd w:id="1593"/>
      <w:bookmarkEnd w:id="1594"/>
      <w:bookmarkEnd w:id="1595"/>
      <w:bookmarkEnd w:id="1596"/>
      <w:bookmarkEnd w:id="1597"/>
      <w:bookmarkEnd w:id="1598"/>
      <w:bookmarkEnd w:id="1599"/>
    </w:p>
    <w:p w:rsidR="004F34D9" w:rsidRPr="00123108" w:rsidRDefault="004F34D9" w:rsidP="00D06780">
      <w:pPr>
        <w:snapToGrid w:val="0"/>
        <w:spacing w:line="500" w:lineRule="exact"/>
        <w:ind w:firstLineChars="200" w:firstLine="560"/>
        <w:rPr>
          <w:rFonts w:ascii="宋体" w:hAnsi="宋体" w:cs="宋体" w:hint="eastAsia"/>
          <w:sz w:val="28"/>
        </w:rPr>
      </w:pPr>
      <w:r w:rsidRPr="00123108">
        <w:rPr>
          <w:rFonts w:ascii="宋体" w:hAnsi="宋体" w:cs="宋体" w:hint="eastAsia"/>
          <w:sz w:val="28"/>
        </w:rPr>
        <w:t>（1）重大危险源辨识</w:t>
      </w:r>
    </w:p>
    <w:p w:rsidR="004F34D9" w:rsidRPr="00123108" w:rsidRDefault="004F34D9" w:rsidP="00D06780">
      <w:pPr>
        <w:snapToGrid w:val="0"/>
        <w:spacing w:line="500" w:lineRule="exact"/>
        <w:ind w:firstLineChars="200" w:firstLine="560"/>
        <w:rPr>
          <w:rFonts w:ascii="宋体" w:hAnsi="宋体" w:cs="宋体" w:hint="eastAsia"/>
          <w:sz w:val="28"/>
        </w:rPr>
      </w:pPr>
      <w:r w:rsidRPr="00123108">
        <w:rPr>
          <w:rFonts w:ascii="宋体" w:hAnsi="宋体" w:cs="宋体" w:hint="eastAsia"/>
          <w:sz w:val="28"/>
        </w:rPr>
        <w:t>根据GB 18218-2018结合企业实际情况，将</w:t>
      </w:r>
      <w:r w:rsidRPr="00123108">
        <w:rPr>
          <w:rFonts w:ascii="宋体" w:hAnsi="宋体" w:hint="eastAsia"/>
          <w:sz w:val="28"/>
        </w:rPr>
        <w:t>A反应部、B反应部</w:t>
      </w:r>
      <w:r w:rsidRPr="00123108">
        <w:rPr>
          <w:rFonts w:ascii="宋体" w:hAnsi="宋体" w:cs="宋体" w:hint="eastAsia"/>
          <w:sz w:val="28"/>
        </w:rPr>
        <w:t>作为生产单元进行辨识；将苯乙烯罐区、二甲苯罐区、戊烷罐区、冷冻库、5#成品仓库、柴油罐1、2分别作为储存单元进行辨识。列入重大危险源辨识的物质的临界量、实际量具体数据见附表1.12-5、附表1.12-6。</w:t>
      </w:r>
    </w:p>
    <w:p w:rsidR="004F34D9" w:rsidRPr="00123108" w:rsidRDefault="004F34D9">
      <w:pPr>
        <w:snapToGrid w:val="0"/>
        <w:spacing w:line="360" w:lineRule="auto"/>
        <w:jc w:val="center"/>
        <w:rPr>
          <w:rFonts w:ascii="宋体" w:hAnsi="宋体" w:cs="宋体"/>
          <w:b/>
          <w:bCs/>
          <w:sz w:val="28"/>
        </w:rPr>
        <w:sectPr w:rsidR="004F34D9" w:rsidRPr="00123108">
          <w:type w:val="nextColumn"/>
          <w:pgSz w:w="11906" w:h="16838"/>
          <w:pgMar w:top="1418" w:right="1134" w:bottom="1134" w:left="1588" w:header="851" w:footer="992" w:gutter="0"/>
          <w:paperSrc w:first="7" w:other="7"/>
          <w:cols w:space="720"/>
          <w:docGrid w:type="lines" w:linePitch="381"/>
        </w:sectPr>
      </w:pPr>
    </w:p>
    <w:p w:rsidR="004F34D9" w:rsidRDefault="004F34D9">
      <w:pPr>
        <w:snapToGrid w:val="0"/>
        <w:spacing w:line="360" w:lineRule="auto"/>
        <w:jc w:val="center"/>
        <w:rPr>
          <w:rFonts w:ascii="宋体" w:hAnsi="宋体" w:cs="宋体" w:hint="eastAsia"/>
          <w:b/>
          <w:bCs/>
          <w:sz w:val="28"/>
        </w:rPr>
      </w:pPr>
      <w:r w:rsidRPr="00123108">
        <w:rPr>
          <w:rFonts w:ascii="宋体" w:hAnsi="宋体" w:cs="宋体" w:hint="eastAsia"/>
          <w:b/>
          <w:bCs/>
          <w:sz w:val="28"/>
        </w:rPr>
        <w:lastRenderedPageBreak/>
        <w:t>附表1.12-5  生产单元重大危险源辨识表</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Pr="00123108" w:rsidRDefault="004F34D9">
      <w:pPr>
        <w:tabs>
          <w:tab w:val="left" w:pos="420"/>
        </w:tabs>
        <w:spacing w:line="360" w:lineRule="auto"/>
        <w:jc w:val="left"/>
        <w:rPr>
          <w:rFonts w:ascii="宋体" w:hAnsi="宋体" w:cs="宋体"/>
          <w:bCs/>
          <w:sz w:val="28"/>
          <w:szCs w:val="28"/>
        </w:rPr>
        <w:sectPr w:rsidR="004F34D9" w:rsidRPr="00123108">
          <w:pgSz w:w="16838" w:h="11906" w:orient="landscape"/>
          <w:pgMar w:top="1588" w:right="1418" w:bottom="1134" w:left="1134" w:header="851" w:footer="992" w:gutter="0"/>
          <w:paperSrc w:first="7" w:other="7"/>
          <w:cols w:space="720"/>
          <w:docGrid w:type="lines" w:linePitch="381"/>
        </w:sectPr>
      </w:pPr>
    </w:p>
    <w:p w:rsidR="004F34D9" w:rsidRDefault="004F34D9">
      <w:pPr>
        <w:snapToGrid w:val="0"/>
        <w:spacing w:line="360" w:lineRule="auto"/>
        <w:jc w:val="center"/>
        <w:rPr>
          <w:rFonts w:ascii="宋体" w:hAnsi="宋体" w:cs="宋体" w:hint="eastAsia"/>
          <w:b/>
          <w:bCs/>
          <w:sz w:val="28"/>
        </w:rPr>
      </w:pPr>
      <w:r w:rsidRPr="00123108">
        <w:rPr>
          <w:rFonts w:ascii="宋体" w:hAnsi="宋体" w:cs="宋体" w:hint="eastAsia"/>
          <w:b/>
          <w:bCs/>
          <w:sz w:val="28"/>
        </w:rPr>
        <w:lastRenderedPageBreak/>
        <w:t>附表1.12-6  储存单元重大危险源辨识表</w:t>
      </w:r>
    </w:p>
    <w:p w:rsidR="004C686A" w:rsidRDefault="004C686A" w:rsidP="004C686A">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Pr="00123108" w:rsidRDefault="004F34D9" w:rsidP="00D06780">
      <w:pPr>
        <w:pStyle w:val="2"/>
        <w:spacing w:line="500" w:lineRule="exact"/>
        <w:jc w:val="both"/>
        <w:rPr>
          <w:rFonts w:ascii="宋体" w:eastAsia="宋体" w:cs="宋体" w:hint="eastAsia"/>
          <w:sz w:val="28"/>
          <w:szCs w:val="28"/>
        </w:rPr>
      </w:pPr>
      <w:bookmarkStart w:id="1600" w:name="_Toc3809132"/>
      <w:bookmarkStart w:id="1601" w:name="_Toc9838"/>
      <w:bookmarkStart w:id="1602" w:name="_Toc27638"/>
      <w:bookmarkStart w:id="1603" w:name="_Toc1805"/>
      <w:bookmarkStart w:id="1604" w:name="_Toc1218"/>
      <w:bookmarkStart w:id="1605" w:name="_Toc21462"/>
      <w:bookmarkStart w:id="1606" w:name="_Toc21771"/>
      <w:bookmarkStart w:id="1607" w:name="_Toc190935885"/>
      <w:r w:rsidRPr="00123108">
        <w:rPr>
          <w:rFonts w:ascii="宋体" w:eastAsia="宋体" w:cs="宋体" w:hint="eastAsia"/>
          <w:sz w:val="28"/>
          <w:szCs w:val="28"/>
        </w:rPr>
        <w:t>附件1.</w:t>
      </w:r>
      <w:bookmarkEnd w:id="1600"/>
      <w:r w:rsidR="00176D77" w:rsidRPr="00123108">
        <w:rPr>
          <w:rFonts w:ascii="宋体" w:eastAsia="宋体" w:cs="宋体" w:hint="eastAsia"/>
          <w:sz w:val="28"/>
          <w:szCs w:val="28"/>
        </w:rPr>
        <w:t xml:space="preserve">13 </w:t>
      </w:r>
      <w:r w:rsidRPr="00123108">
        <w:rPr>
          <w:rFonts w:ascii="宋体" w:eastAsia="宋体" w:cs="宋体" w:hint="eastAsia"/>
          <w:sz w:val="28"/>
          <w:szCs w:val="28"/>
        </w:rPr>
        <w:t>事故案例</w:t>
      </w:r>
      <w:bookmarkEnd w:id="1601"/>
      <w:bookmarkEnd w:id="1602"/>
      <w:bookmarkEnd w:id="1603"/>
      <w:bookmarkEnd w:id="1604"/>
      <w:bookmarkEnd w:id="1605"/>
      <w:bookmarkEnd w:id="1606"/>
      <w:bookmarkEnd w:id="1607"/>
    </w:p>
    <w:p w:rsidR="004F34D9" w:rsidRPr="00123108" w:rsidRDefault="004F34D9" w:rsidP="00D06780">
      <w:pPr>
        <w:spacing w:line="500" w:lineRule="exact"/>
        <w:ind w:firstLineChars="200" w:firstLine="562"/>
        <w:rPr>
          <w:rFonts w:ascii="宋体" w:hAnsi="宋体" w:cs="宋体" w:hint="eastAsia"/>
          <w:b/>
          <w:bCs/>
          <w:sz w:val="28"/>
          <w:szCs w:val="28"/>
        </w:rPr>
      </w:pPr>
      <w:r w:rsidRPr="00123108">
        <w:rPr>
          <w:rFonts w:ascii="宋体" w:hAnsi="宋体" w:cs="宋体" w:hint="eastAsia"/>
          <w:b/>
          <w:bCs/>
          <w:sz w:val="28"/>
          <w:szCs w:val="28"/>
        </w:rPr>
        <w:t>案例1：苯乙烯储罐自聚爆炸事故</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2014年8月5日20时01分，某公司ABS装置原料罐区苯乙烯储罐 V-103B发生物理爆炸事故。事故造成罐顶被掀翻，没有造成人员伤亡，也没有发生环保次生事故。</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（1）事故经过</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2014年8月5日20时01分，某公司ABS装置原料罐区苯乙烯储罐 V-103B发生物理爆炸事故，造成罐顶被掀翻到地面。事故发生后公司值班调度及值班人员迅速赶到现场查看，发现苯乙烯储罐V-103B罐顶被掀翻在地，罐体还有蒸汽状气体冒出，罐内温度急剧升高，已达到90℃，调度马上把事故情况向总调度室、公司相关领导报告。总调度室人员立即向集团消防队报警，3台消防车迅速赶到现场与公司当班人员开始用水及泡沫施救。接到通知后，集团公司、生产、安环部等多名领导陆续到达现场，指挥现场事故处理工作，事故于23时得以控制，罐内温度降到58℃，基本处于安全状态，内部的苯乙烯已经聚合成黏稠固体状，事故围堰部分含少量苯乙烯废水次日送入公司污水处理系统进行处理。本次事故由于处理得当，没有发生着火、环保等次生事故。</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（2）事故损失</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本次事故直接经济损失48.3万元。其中物料损失43.3万元；设备损失 5万元。</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（3）储罐及所存苯乙烯变化情况</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sz w:val="28"/>
          <w:szCs w:val="20"/>
          <w:lang w:val="zh-CN"/>
        </w:rPr>
        <w:t>①</w:t>
      </w:r>
      <w:r w:rsidRPr="00123108">
        <w:rPr>
          <w:rFonts w:ascii="宋体" w:hAnsi="宋体" w:cs="宋体" w:hint="eastAsia"/>
          <w:sz w:val="28"/>
          <w:szCs w:val="28"/>
        </w:rPr>
        <w:t>V-103A/B储罐基本资料</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V-103A/B是某公司ABS车间聚合装置原料苯乙烯的储罐，储罐容积均为 100立方米，平时为相邻联通使用。材质为碳钢，保冷，储存在原料罐区内，为常压罐，顶部设有一个呼吸阀及氮气补充系统，通过自力式调节阀使罐内保持微正压。罐体设有保冷，由于作为生产缓冲罐使用，保冷只是在罐</w:t>
      </w:r>
      <w:r w:rsidRPr="00123108">
        <w:rPr>
          <w:rFonts w:ascii="宋体" w:hAnsi="宋体" w:cs="宋体" w:hint="eastAsia"/>
          <w:sz w:val="28"/>
          <w:szCs w:val="28"/>
        </w:rPr>
        <w:lastRenderedPageBreak/>
        <w:t>体外加一层保温棉，只有达到3～5天的保冷效果。当时内装苯乙烯为33.65吨。1997年6月建成，1998年10月投入使用。</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hint="eastAsia"/>
          <w:sz w:val="28"/>
          <w:szCs w:val="20"/>
          <w:lang w:val="zh-CN"/>
        </w:rPr>
        <w:t>②</w:t>
      </w:r>
      <w:r w:rsidRPr="00123108">
        <w:rPr>
          <w:rFonts w:ascii="宋体" w:hAnsi="宋体" w:cs="宋体" w:hint="eastAsia"/>
          <w:sz w:val="28"/>
          <w:szCs w:val="28"/>
        </w:rPr>
        <w:t>V-103A/B储存苯乙烯变化情况</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某公司生产ABS所需的苯乙烯为甲公司供应，通过管线输送。2013年4 月28日，由于市场原因，某公司ABS车间临时停车。停车时V-103A/B内的苯乙烯液位分别为21.1%和19.1%，总罐存为38.19吨。2013年7月2日甲公司苯乙烯送料管线向双兴进行扫线，将管线内的苯乙烯吹入V-103A/B内，吹扫后，V-103A/B内液位增到48.3%和47.4%。罐存66.94 吨。2014年6月19日甲公司停车，对苯乙烯送料管线重新吹扫，吹扫后V-103A/B液位分别为48.51%和48.13%，总罐存为67.3吨。发生事故时V-103A和V-103B联通使用，V-103B罐存苯乙烯33.65吨。</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（4）原因分析</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从2013年4月到2014年8月，苯乙烯在储罐内存放约16个月的时间，事故发生后，取样分析阻聚剂TBC已经耗尽，物料开始发生自聚合放热反应，加之夏季气温升高后促使反应加速，热量积累后更加速了反应，罐顶的呼吸阀阻塞，产生的苯乙烯蒸气不能及时排出，使罐压升高，直至造成储罐 V-103B 罐顶爆裂事故发生。</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sz w:val="28"/>
          <w:szCs w:val="20"/>
          <w:lang w:val="zh-CN"/>
        </w:rPr>
        <w:t>①</w:t>
      </w:r>
      <w:r w:rsidRPr="00123108">
        <w:rPr>
          <w:rFonts w:ascii="宋体" w:hAnsi="宋体" w:cs="宋体" w:hint="eastAsia"/>
          <w:sz w:val="28"/>
          <w:szCs w:val="28"/>
        </w:rPr>
        <w:t>直接原因</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a.某公司5万吨ABS车间属于长期停车闲置装置，没有按照公司《长期停（备）用化工物料管线和容器管理的暂行规定》对存有苯乙烯的储罐做好日常管理工作，没有建立温度等重要指标记录及报警设定，没有进行TBC的分析和补加，属于生产管理不到位。</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b.呼吸阀阻塞。事故发生后对V-103A/B罐顶的呼吸研究探讨44 2015.06 总第414期研究探讨阀进行检查，发现都存在一定程度的堵塞情况，B罐比 A罐要严重一些。呼吸阀的堵塞造成罐内产生的压力不能及时释放出去，这也是V-103B罐出现超压爆裂而A罐暂时没有出现这一情况的主要原因。</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sz w:val="28"/>
          <w:szCs w:val="20"/>
          <w:lang w:val="zh-CN"/>
        </w:rPr>
        <w:t>②</w:t>
      </w:r>
      <w:r w:rsidRPr="00123108">
        <w:rPr>
          <w:rFonts w:ascii="宋体" w:hAnsi="宋体" w:cs="宋体" w:hint="eastAsia"/>
          <w:sz w:val="28"/>
          <w:szCs w:val="28"/>
        </w:rPr>
        <w:t>间接原因</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a.安全隐患排查、危险辨识工作不力，没有及时发现苯乙烯长期储存可</w:t>
      </w:r>
      <w:r w:rsidRPr="00123108">
        <w:rPr>
          <w:rFonts w:ascii="宋体" w:hAnsi="宋体" w:cs="宋体" w:hint="eastAsia"/>
          <w:sz w:val="28"/>
          <w:szCs w:val="28"/>
        </w:rPr>
        <w:lastRenderedPageBreak/>
        <w:t>能存在的风险，监管力度不到位。</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b.罐内苯乙烯温度逐日升高达26天却没有人发现，对苯乙烯储存的安全要求思想麻痹大意，熟视无睹。</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c.对职工针对性培训及管理力度不够。</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d.安全管理“一岗双责”不到位，生产、设备管理人员工作不到位，执行力不足。</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e.相关制度不完善、执行不严。</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（5）事故性质及责任认定</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经调查，这是一起由于生产管理不到位导致的安全生产管理责任事故。ABS车间苯乙烯储罐在装置停车后储存苯乙烯达16个月，生产调度处、ABS 车间都没有对储存可能存在的风险进行辨识，也没有按照公司《长期停（备）用化工物料管线和容器管理的暂行规定》对苯乙烯的储罐进行清罐管理；即使不能清罐，也没有对该罐的温度作为控制指标监控，也没有设计温度报警；ABS装置操作规程明确说明苯乙烯储存温度升高阻聚剂TBC减少可能出现的危险，但生产调度处及车间没有按照ABS装置操作规程进行生产管理；B罐逐渐温度升高达26天没被发现，暴露生产管理的严重疏忽，生产调度处、ABS车间应对此次事故负主要责任。设备管理处没有按照安全管理“一岗双责”要求，认真开展设备隐患排查工作，没有发现苯乙烯储罐呼吸阀阻塞不畅问题，致使储罐温度升高，苯乙烯气化压力加大无法卸压，失去平衡压力功能，对事故应负有次要责任。安全处没有认真督导、检查各单位危险辨识工作，导致各单位危险辨识工作敷衍了事，现场检查发现ABS车间的危险辨识既不全面也不深入，导致车间一直没有辨识出长期储存物料可能存在的风险，对安全附件也没有定期认真检查。安全部门应对此次事故负次要责任。</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（6）结论与建议</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通过以上分析，发现装置停产中，对长期储存的苯乙烯日常温度监控显得十分重要性。由于对于物料危险性认知不足，从而导致储罐呼吸阀堵塞，造成爆炸事故发生。为此类事故发生提出以下建议：</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sz w:val="28"/>
          <w:szCs w:val="20"/>
          <w:lang w:val="zh-CN"/>
        </w:rPr>
        <w:t>①</w:t>
      </w:r>
      <w:r w:rsidRPr="00123108">
        <w:rPr>
          <w:rFonts w:ascii="宋体" w:hAnsi="宋体" w:cs="宋体" w:hint="eastAsia"/>
          <w:sz w:val="28"/>
          <w:szCs w:val="28"/>
        </w:rPr>
        <w:t>加强生产工艺管理，彻底堵塞工艺管理方面的漏洞，生产调度处组织</w:t>
      </w:r>
      <w:r w:rsidRPr="00123108">
        <w:rPr>
          <w:rFonts w:ascii="宋体" w:hAnsi="宋体" w:cs="宋体" w:hint="eastAsia"/>
          <w:sz w:val="28"/>
          <w:szCs w:val="28"/>
        </w:rPr>
        <w:lastRenderedPageBreak/>
        <w:t>技术人员，增加长期停车情况下，对于特殊物料的监控和应急处理等方面的内容；重新完善修订所有装置、厂际间管线的记录点、报警、联锁等数据及相关的操作规程，保证生产出现异常能及时发现、处理。</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sz w:val="28"/>
          <w:szCs w:val="20"/>
          <w:lang w:val="zh-CN"/>
        </w:rPr>
        <w:t>②</w:t>
      </w:r>
      <w:r w:rsidRPr="00123108">
        <w:rPr>
          <w:rFonts w:ascii="宋体" w:hAnsi="宋体" w:cs="宋体" w:hint="eastAsia"/>
          <w:sz w:val="28"/>
          <w:szCs w:val="28"/>
        </w:rPr>
        <w:t>生产管理部门组织各生产企业按照《长期停（备）用化工物料管线和容器管理的暂行规定》，梳理长期闲置的设备并根据具体情况制定处理措施，做好记录和台账。对确需长期储存的苯乙烯物料，不能存放在中间缓冲罐储存，必须存放到安全设施齐全的储罐，有稳定温度报警系统和正常制冷系统防止超温；要定期取样分析阻聚剂TBC含量，达到防聚效果。对现有的其他长期储存的危险原料、化学品进行统计，并制定妥善的措施进行处理，暂时无法处理的，制定具体的监控措施和应急预案。</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sz w:val="28"/>
          <w:szCs w:val="20"/>
          <w:lang w:val="zh-CN"/>
        </w:rPr>
        <w:t>③</w:t>
      </w:r>
      <w:r w:rsidRPr="00123108">
        <w:rPr>
          <w:rFonts w:ascii="宋体" w:hAnsi="宋体" w:cs="宋体" w:hint="eastAsia"/>
          <w:sz w:val="28"/>
          <w:szCs w:val="28"/>
        </w:rPr>
        <w:t>认真执行原材料入厂检验制度，对引入的物料必须进行相应的分析，特殊扫线物料要分析评价，并做好记录。</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hint="eastAsia"/>
          <w:sz w:val="28"/>
          <w:szCs w:val="20"/>
          <w:lang w:val="zh-CN"/>
        </w:rPr>
        <w:t>④</w:t>
      </w:r>
      <w:r w:rsidRPr="00123108">
        <w:rPr>
          <w:rFonts w:ascii="宋体" w:hAnsi="宋体" w:cs="宋体" w:hint="eastAsia"/>
          <w:sz w:val="28"/>
          <w:szCs w:val="28"/>
        </w:rPr>
        <w:t>由设备管理部门牵头组织各企业对呼吸阀等关键设备定期检查，做好确认工作，尤其在夏季或物料储存状况发生变化时，要缩短检查周期，加大检查确认的深入程度，每次检查都要有详细的记录。</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hint="eastAsia"/>
          <w:sz w:val="28"/>
          <w:szCs w:val="20"/>
          <w:lang w:val="zh-CN"/>
        </w:rPr>
        <w:t>⑤</w:t>
      </w:r>
      <w:r w:rsidRPr="00123108">
        <w:rPr>
          <w:rFonts w:ascii="宋体" w:hAnsi="宋体" w:cs="宋体" w:hint="eastAsia"/>
          <w:sz w:val="28"/>
          <w:szCs w:val="28"/>
        </w:rPr>
        <w:t>认真吸取事故教训，加强对各级管理人员和操作人员岗位操作规程的培训。按照事故“四不放过”原则，在全公司范围内广泛宣传，教育全体员工吸取事故教训。</w:t>
      </w:r>
    </w:p>
    <w:p w:rsidR="004F34D9" w:rsidRPr="00123108" w:rsidRDefault="004F34D9" w:rsidP="00D06780">
      <w:pPr>
        <w:spacing w:line="500" w:lineRule="exact"/>
        <w:ind w:firstLineChars="200" w:firstLine="562"/>
        <w:rPr>
          <w:rFonts w:ascii="宋体" w:hAnsi="宋体" w:cs="宋体" w:hint="eastAsia"/>
          <w:b/>
          <w:bCs/>
          <w:sz w:val="28"/>
          <w:szCs w:val="28"/>
        </w:rPr>
      </w:pPr>
      <w:r w:rsidRPr="00123108">
        <w:rPr>
          <w:rFonts w:ascii="宋体" w:hAnsi="宋体" w:cs="宋体" w:hint="eastAsia"/>
          <w:b/>
          <w:bCs/>
          <w:sz w:val="28"/>
          <w:szCs w:val="28"/>
        </w:rPr>
        <w:t>案例2：三苯罐区爆炸事故</w:t>
      </w:r>
    </w:p>
    <w:p w:rsidR="004F34D9" w:rsidRPr="00123108" w:rsidRDefault="004F34D9" w:rsidP="00D06780">
      <w:pPr>
        <w:spacing w:line="500" w:lineRule="exact"/>
        <w:ind w:firstLineChars="200" w:firstLine="560"/>
        <w:rPr>
          <w:rFonts w:ascii="宋体" w:hAnsi="宋体" w:cs="宋体"/>
          <w:sz w:val="28"/>
          <w:szCs w:val="28"/>
        </w:rPr>
      </w:pPr>
      <w:r w:rsidRPr="00123108">
        <w:rPr>
          <w:rFonts w:ascii="宋体" w:hAnsi="宋体" w:cs="宋体" w:hint="eastAsia"/>
          <w:sz w:val="28"/>
          <w:szCs w:val="28"/>
        </w:rPr>
        <w:t>事故经过：</w:t>
      </w:r>
      <w:r w:rsidRPr="00123108">
        <w:rPr>
          <w:rFonts w:ascii="宋体" w:hAnsi="宋体" w:cs="宋体"/>
          <w:sz w:val="28"/>
          <w:szCs w:val="28"/>
        </w:rPr>
        <w:t>2012年3月15日，大连石化公司10万吨/年苯乙烯装置由于效益原因停工。自2013年4月开始，对10万吨/年苯乙烯装置进行技术改造，同时对配套的三苯罐区进行检修。2013年4月15日</w:t>
      </w:r>
      <w:r w:rsidRPr="00123108">
        <w:rPr>
          <w:rFonts w:ascii="宋体" w:hAnsi="宋体" w:cs="宋体" w:hint="eastAsia"/>
          <w:sz w:val="28"/>
          <w:szCs w:val="28"/>
        </w:rPr>
        <w:t>，</w:t>
      </w:r>
      <w:r w:rsidRPr="00123108">
        <w:rPr>
          <w:rFonts w:ascii="宋体" w:hAnsi="宋体" w:cs="宋体"/>
          <w:sz w:val="28"/>
          <w:szCs w:val="28"/>
        </w:rPr>
        <w:t>大连石化公司与中石油七建公司签订《炼油化工装置检修合同》</w:t>
      </w:r>
      <w:r w:rsidRPr="00123108">
        <w:rPr>
          <w:rFonts w:ascii="宋体" w:hAnsi="宋体" w:cs="宋体" w:hint="eastAsia"/>
          <w:sz w:val="28"/>
          <w:szCs w:val="28"/>
        </w:rPr>
        <w:t>（</w:t>
      </w:r>
      <w:r w:rsidRPr="00123108">
        <w:rPr>
          <w:rFonts w:ascii="宋体" w:hAnsi="宋体" w:cs="宋体"/>
          <w:sz w:val="28"/>
          <w:szCs w:val="28"/>
        </w:rPr>
        <w:t>编号：2013-502</w:t>
      </w:r>
      <w:r w:rsidRPr="00123108">
        <w:rPr>
          <w:rFonts w:ascii="宋体" w:hAnsi="宋体" w:cs="宋体" w:hint="eastAsia"/>
          <w:sz w:val="28"/>
          <w:szCs w:val="28"/>
        </w:rPr>
        <w:t>）</w:t>
      </w:r>
      <w:r w:rsidRPr="00123108">
        <w:rPr>
          <w:rFonts w:ascii="宋体" w:hAnsi="宋体" w:cs="宋体"/>
          <w:sz w:val="28"/>
          <w:szCs w:val="28"/>
        </w:rPr>
        <w:t>及《炼化装置检修工程服务安全生产合同》，合同期限为2013年4月15日至2013年12月30日。2013年5月15日，中石油七建公司与林沅公司签订《10万吨/年苯乙烯装置停工检修、技措、改造合同》、《安全协议》，双方未在合同上盖章、签字，合同期限为2013年5月19日至2013年12月31日，合同分包方式为劳务作业分包。工程开工时间为2013年5月19日。发生事故</w:t>
      </w:r>
      <w:r w:rsidRPr="00123108">
        <w:rPr>
          <w:rFonts w:ascii="宋体" w:hAnsi="宋体" w:cs="宋体"/>
          <w:sz w:val="28"/>
          <w:szCs w:val="28"/>
        </w:rPr>
        <w:lastRenderedPageBreak/>
        <w:t>的939#罐施工作业的计划单</w:t>
      </w:r>
      <w:r w:rsidRPr="00123108">
        <w:rPr>
          <w:rFonts w:ascii="宋体" w:hAnsi="宋体" w:cs="宋体" w:hint="eastAsia"/>
          <w:sz w:val="28"/>
          <w:szCs w:val="28"/>
        </w:rPr>
        <w:t>（</w:t>
      </w:r>
      <w:r w:rsidRPr="00123108">
        <w:rPr>
          <w:rFonts w:ascii="宋体" w:hAnsi="宋体" w:cs="宋体"/>
          <w:sz w:val="28"/>
          <w:szCs w:val="28"/>
        </w:rPr>
        <w:t>工单号2000123129</w:t>
      </w:r>
      <w:r w:rsidRPr="00123108">
        <w:rPr>
          <w:rFonts w:ascii="宋体" w:hAnsi="宋体" w:cs="宋体" w:hint="eastAsia"/>
          <w:sz w:val="28"/>
          <w:szCs w:val="28"/>
        </w:rPr>
        <w:t>）</w:t>
      </w:r>
      <w:r w:rsidRPr="00123108">
        <w:rPr>
          <w:rFonts w:ascii="宋体" w:hAnsi="宋体" w:cs="宋体"/>
          <w:sz w:val="28"/>
          <w:szCs w:val="28"/>
        </w:rPr>
        <w:t>内容为更换锈蚀严重的罐顶侧壁仪表维护小平台板。2013年6月1日</w:t>
      </w:r>
      <w:r w:rsidRPr="00123108">
        <w:rPr>
          <w:rFonts w:ascii="宋体" w:hAnsi="宋体" w:cs="宋体" w:hint="eastAsia"/>
          <w:sz w:val="28"/>
          <w:szCs w:val="28"/>
        </w:rPr>
        <w:t>（</w:t>
      </w:r>
      <w:r w:rsidRPr="00123108">
        <w:rPr>
          <w:rFonts w:ascii="宋体" w:hAnsi="宋体" w:cs="宋体"/>
          <w:sz w:val="28"/>
          <w:szCs w:val="28"/>
        </w:rPr>
        <w:t>星期六</w:t>
      </w:r>
      <w:r w:rsidRPr="00123108">
        <w:rPr>
          <w:rFonts w:ascii="宋体" w:hAnsi="宋体" w:cs="宋体" w:hint="eastAsia"/>
          <w:sz w:val="28"/>
          <w:szCs w:val="28"/>
        </w:rPr>
        <w:t>）</w:t>
      </w:r>
      <w:r w:rsidRPr="00123108">
        <w:rPr>
          <w:rFonts w:ascii="宋体" w:hAnsi="宋体" w:cs="宋体"/>
          <w:sz w:val="28"/>
          <w:szCs w:val="28"/>
        </w:rPr>
        <w:t>，大连石化公司第一联合车间设备主任邓雪峰安排设备员李明辉下达939#罐仪表维护小平台板更换、消防水线加导淋作业票。李明辉和林沅公司施工人员到现场确认后，为其办理了939#罐施工作业票。9时左右，监护人三苯罐区外操工邵国庆到939#罐顶时，闻到罐顶气味较大，将罐区工艺员韩军叫到罐顶进行确认，韩军确认罐顶气味较大，并发现罐顶呼吸阀没有加盲板，即告知林沅公司现场施工人员不加盲板不得动火作业。因林沅公司未及时清理5月31日在该车间作业现场遗留的杂物，安全员王大庆告知该公司施工人员停止其在小罐区的所有动火作业，故当日办理的939#罐更换维修仪表小平台板的动火作业许可证</w:t>
      </w:r>
      <w:r w:rsidRPr="00123108">
        <w:rPr>
          <w:rFonts w:ascii="宋体" w:hAnsi="宋体" w:cs="宋体" w:hint="eastAsia"/>
          <w:sz w:val="28"/>
          <w:szCs w:val="28"/>
        </w:rPr>
        <w:t>（</w:t>
      </w:r>
      <w:r w:rsidRPr="00123108">
        <w:rPr>
          <w:rFonts w:ascii="宋体" w:hAnsi="宋体" w:cs="宋体"/>
          <w:sz w:val="28"/>
          <w:szCs w:val="28"/>
        </w:rPr>
        <w:t>第 0010374号</w:t>
      </w:r>
      <w:r w:rsidRPr="00123108">
        <w:rPr>
          <w:rFonts w:ascii="宋体" w:hAnsi="宋体" w:cs="宋体" w:hint="eastAsia"/>
          <w:sz w:val="28"/>
          <w:szCs w:val="28"/>
        </w:rPr>
        <w:t>）</w:t>
      </w:r>
      <w:r w:rsidRPr="00123108">
        <w:rPr>
          <w:rFonts w:ascii="宋体" w:hAnsi="宋体" w:cs="宋体"/>
          <w:sz w:val="28"/>
          <w:szCs w:val="28"/>
        </w:rPr>
        <w:t>未下发。当天未进行939#罐维修仪表小平台板更换作业。6月2日第一联合车间早调度会后，王大庆将6月1日未下发的939#罐动火票</w:t>
      </w:r>
      <w:r w:rsidRPr="00123108">
        <w:rPr>
          <w:rFonts w:ascii="宋体" w:hAnsi="宋体" w:cs="宋体" w:hint="eastAsia"/>
          <w:sz w:val="28"/>
          <w:szCs w:val="28"/>
        </w:rPr>
        <w:t>（</w:t>
      </w:r>
      <w:r w:rsidRPr="00123108">
        <w:rPr>
          <w:rFonts w:ascii="宋体" w:hAnsi="宋体" w:cs="宋体"/>
          <w:sz w:val="28"/>
          <w:szCs w:val="28"/>
        </w:rPr>
        <w:t>第0010374号</w:t>
      </w:r>
      <w:r w:rsidRPr="00123108">
        <w:rPr>
          <w:rFonts w:ascii="宋体" w:hAnsi="宋体" w:cs="宋体" w:hint="eastAsia"/>
          <w:sz w:val="28"/>
          <w:szCs w:val="28"/>
        </w:rPr>
        <w:t>）</w:t>
      </w:r>
      <w:r w:rsidRPr="00123108">
        <w:rPr>
          <w:rFonts w:ascii="宋体" w:hAnsi="宋体" w:cs="宋体"/>
          <w:sz w:val="28"/>
          <w:szCs w:val="28"/>
        </w:rPr>
        <w:t>动火作业有效期改为6月2日，并安排三苯罐区外操工慈军对939#罐进行现场动火作业监护。慈军到达小罐区现场时，林沅公司的领班张洪伟、电气焊工陶崇海、姚忠利及力工石成泉</w:t>
      </w:r>
      <w:r w:rsidRPr="00123108">
        <w:rPr>
          <w:rFonts w:ascii="宋体" w:hAnsi="宋体" w:cs="宋体" w:hint="eastAsia"/>
          <w:sz w:val="28"/>
          <w:szCs w:val="28"/>
        </w:rPr>
        <w:t>（</w:t>
      </w:r>
      <w:r w:rsidRPr="00123108">
        <w:rPr>
          <w:rFonts w:ascii="宋体" w:hAnsi="宋体" w:cs="宋体"/>
          <w:sz w:val="28"/>
          <w:szCs w:val="28"/>
        </w:rPr>
        <w:t>负责现场卫生清扫和监护</w:t>
      </w:r>
      <w:r w:rsidRPr="00123108">
        <w:rPr>
          <w:rFonts w:ascii="宋体" w:hAnsi="宋体" w:cs="宋体" w:hint="eastAsia"/>
          <w:sz w:val="28"/>
          <w:szCs w:val="28"/>
        </w:rPr>
        <w:t>）</w:t>
      </w:r>
      <w:r w:rsidRPr="00123108">
        <w:rPr>
          <w:rFonts w:ascii="宋体" w:hAnsi="宋体" w:cs="宋体"/>
          <w:sz w:val="28"/>
          <w:szCs w:val="28"/>
        </w:rPr>
        <w:t>已在现场。9时30分左右，慈军与王大庆一起登上939#罐顶，王大庆闻到很重的油气味，但无法确定泄漏源，慈军用便携式可燃气体报警器对观察孔处可燃气体浓度进行了检测，王大庆检查检尺口，并将卡扣卡好后用防火布盖上，确认呼吸阀盲板已加上。因泡沫发生器附近油气味道大，随即要求施工单位将泡沫发生器用黄泥堵上、将仪表小平台护栏用防火布围上。王大庆将动火票交给慈军，随后离开939#罐施工现场。10时30分左右，慈军将动火票交给林沅公司现场作业人员，施工人员使用气焊等工具对腐蚀的仪表小平台板进行拆除。13时40分，林沅公司4名作业人员开始939#罐作业，1人在罐下清扫地面，1人在维修仪表小平台铺设新花纹板，2人在罐顶进行动火作业。14时27分53秒</w:t>
      </w:r>
      <w:r w:rsidRPr="00123108">
        <w:rPr>
          <w:rFonts w:ascii="宋体" w:hAnsi="宋体" w:cs="宋体" w:hint="eastAsia"/>
          <w:sz w:val="28"/>
          <w:szCs w:val="28"/>
        </w:rPr>
        <w:t>（</w:t>
      </w:r>
      <w:r w:rsidRPr="00123108">
        <w:rPr>
          <w:rFonts w:ascii="宋体" w:hAnsi="宋体" w:cs="宋体"/>
          <w:sz w:val="28"/>
          <w:szCs w:val="28"/>
        </w:rPr>
        <w:t>工厂监控视频显示时间</w:t>
      </w:r>
      <w:r w:rsidRPr="00123108">
        <w:rPr>
          <w:rFonts w:ascii="宋体" w:hAnsi="宋体" w:cs="宋体" w:hint="eastAsia"/>
          <w:sz w:val="28"/>
          <w:szCs w:val="28"/>
        </w:rPr>
        <w:t>）</w:t>
      </w:r>
      <w:r w:rsidRPr="00123108">
        <w:rPr>
          <w:rFonts w:ascii="宋体" w:hAnsi="宋体" w:cs="宋体"/>
          <w:sz w:val="28"/>
          <w:szCs w:val="28"/>
        </w:rPr>
        <w:t>，939#罐突然发生爆炸着火，罐体破裂，着火物料在防火堤中漫延</w:t>
      </w:r>
      <w:r w:rsidRPr="00123108">
        <w:rPr>
          <w:rFonts w:ascii="宋体" w:hAnsi="宋体" w:cs="宋体" w:hint="eastAsia"/>
          <w:sz w:val="28"/>
          <w:szCs w:val="28"/>
        </w:rPr>
        <w:t>（</w:t>
      </w:r>
      <w:r w:rsidRPr="00123108">
        <w:rPr>
          <w:rFonts w:ascii="宋体" w:hAnsi="宋体" w:cs="宋体"/>
          <w:sz w:val="28"/>
          <w:szCs w:val="28"/>
        </w:rPr>
        <w:t>各罐之间无隔堤</w:t>
      </w:r>
      <w:r w:rsidRPr="00123108">
        <w:rPr>
          <w:rFonts w:ascii="宋体" w:hAnsi="宋体" w:cs="宋体" w:hint="eastAsia"/>
          <w:sz w:val="28"/>
          <w:szCs w:val="28"/>
        </w:rPr>
        <w:t>）</w:t>
      </w:r>
      <w:r w:rsidRPr="00123108">
        <w:rPr>
          <w:rFonts w:ascii="宋体" w:hAnsi="宋体" w:cs="宋体"/>
          <w:sz w:val="28"/>
          <w:szCs w:val="28"/>
        </w:rPr>
        <w:t>，小罐区防火堤内形成池火。14时28分01秒、14时28分29秒、14时30分43秒，937#罐、936#罐、935#罐相继爆炸着火。事故发生后，大连石化公司</w:t>
      </w:r>
      <w:r w:rsidRPr="00123108">
        <w:rPr>
          <w:rFonts w:ascii="宋体" w:hAnsi="宋体" w:cs="宋体"/>
          <w:sz w:val="28"/>
          <w:szCs w:val="28"/>
        </w:rPr>
        <w:lastRenderedPageBreak/>
        <w:t>立即组织自救并向相关部门报告，同时向110指挥中心报警。在接到事故报告后，大连市主要领导带领安监、环保、公安等有关部门负责人第一时间赶到事故现场组织抢险救援工作。大连市启动了危险化学品事故应急救援预案，成立了抢险救援指挥部，调集公安、消防和医护人员开展事故应急救援工作。大连市消防部门派出40个中队846名消防官兵，出动消防车163台参与灭火。救援人员对事故罐区管排及框架实施冷却保护，并对地面流淌火和防火堤内池火进行扑救。16时大火被扑灭。同时第一时间将现场发现的两名受伤人员送往医院救治，后经抢救无效死亡。2名失踪的作业人员后经现场搜寻发现，已死亡。事故发生后，企业立即启动三级防控系统，火灾没有对其他装置、罐区造成影响，没有造成环境污染。</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 xml:space="preserve">事故原因： </w:t>
      </w:r>
    </w:p>
    <w:p w:rsidR="004F34D9" w:rsidRPr="00123108" w:rsidRDefault="004F34D9" w:rsidP="00D06780">
      <w:pPr>
        <w:spacing w:line="500" w:lineRule="exact"/>
        <w:ind w:firstLineChars="200" w:firstLine="560"/>
        <w:rPr>
          <w:rFonts w:ascii="宋体" w:hAnsi="宋体" w:cs="宋体"/>
          <w:sz w:val="28"/>
          <w:szCs w:val="28"/>
        </w:rPr>
      </w:pPr>
      <w:r w:rsidRPr="00123108">
        <w:rPr>
          <w:rFonts w:ascii="宋体" w:hAnsi="宋体" w:cs="宋体" w:hint="eastAsia"/>
          <w:sz w:val="28"/>
          <w:szCs w:val="28"/>
        </w:rPr>
        <w:t>（</w:t>
      </w:r>
      <w:r w:rsidRPr="00123108">
        <w:rPr>
          <w:rFonts w:ascii="宋体" w:hAnsi="宋体" w:cs="宋体"/>
          <w:sz w:val="28"/>
          <w:szCs w:val="28"/>
        </w:rPr>
        <w:t>一</w:t>
      </w:r>
      <w:r w:rsidRPr="00123108">
        <w:rPr>
          <w:rFonts w:ascii="宋体" w:hAnsi="宋体" w:cs="宋体" w:hint="eastAsia"/>
          <w:sz w:val="28"/>
          <w:szCs w:val="28"/>
        </w:rPr>
        <w:t>）</w:t>
      </w:r>
      <w:r w:rsidRPr="00123108">
        <w:rPr>
          <w:rFonts w:ascii="宋体" w:hAnsi="宋体" w:cs="宋体"/>
          <w:sz w:val="28"/>
          <w:szCs w:val="28"/>
        </w:rPr>
        <w:t>直接原因</w:t>
      </w:r>
    </w:p>
    <w:p w:rsidR="004F34D9" w:rsidRPr="00123108" w:rsidRDefault="004F34D9" w:rsidP="00D06780">
      <w:pPr>
        <w:spacing w:line="500" w:lineRule="exact"/>
        <w:ind w:firstLineChars="200" w:firstLine="560"/>
        <w:rPr>
          <w:rFonts w:ascii="宋体" w:hAnsi="宋体" w:cs="宋体"/>
          <w:sz w:val="28"/>
          <w:szCs w:val="28"/>
        </w:rPr>
      </w:pPr>
      <w:r w:rsidRPr="00123108">
        <w:rPr>
          <w:rFonts w:ascii="宋体" w:hAnsi="宋体" w:cs="宋体"/>
          <w:sz w:val="28"/>
          <w:szCs w:val="28"/>
        </w:rPr>
        <w:t>林沅公司作业人员在罐顶违规违章进行气割动火作业，切割火焰引燃泄漏的甲苯等易燃易爆气体，回火至罐内引起储罐爆炸。</w:t>
      </w:r>
    </w:p>
    <w:p w:rsidR="004F34D9" w:rsidRPr="00123108" w:rsidRDefault="004F34D9" w:rsidP="00D06780">
      <w:pPr>
        <w:spacing w:line="500" w:lineRule="exact"/>
        <w:ind w:firstLineChars="200" w:firstLine="560"/>
        <w:rPr>
          <w:rFonts w:ascii="宋体" w:hAnsi="宋体" w:cs="宋体"/>
          <w:sz w:val="28"/>
          <w:szCs w:val="28"/>
        </w:rPr>
      </w:pPr>
      <w:r w:rsidRPr="00123108">
        <w:rPr>
          <w:rFonts w:ascii="宋体" w:hAnsi="宋体" w:cs="宋体" w:hint="eastAsia"/>
          <w:sz w:val="28"/>
          <w:szCs w:val="28"/>
        </w:rPr>
        <w:t>（</w:t>
      </w:r>
      <w:r w:rsidRPr="00123108">
        <w:rPr>
          <w:rFonts w:ascii="宋体" w:hAnsi="宋体" w:cs="宋体"/>
          <w:sz w:val="28"/>
          <w:szCs w:val="28"/>
        </w:rPr>
        <w:t>二</w:t>
      </w:r>
      <w:r w:rsidRPr="00123108">
        <w:rPr>
          <w:rFonts w:ascii="宋体" w:hAnsi="宋体" w:cs="宋体" w:hint="eastAsia"/>
          <w:sz w:val="28"/>
          <w:szCs w:val="28"/>
        </w:rPr>
        <w:t>）</w:t>
      </w:r>
      <w:r w:rsidRPr="00123108">
        <w:rPr>
          <w:rFonts w:ascii="宋体" w:hAnsi="宋体" w:cs="宋体"/>
          <w:sz w:val="28"/>
          <w:szCs w:val="28"/>
        </w:rPr>
        <w:t>间接原因</w:t>
      </w:r>
    </w:p>
    <w:p w:rsidR="004F34D9" w:rsidRPr="00123108" w:rsidRDefault="004F34D9" w:rsidP="00D06780">
      <w:pPr>
        <w:spacing w:line="500" w:lineRule="exact"/>
        <w:ind w:firstLineChars="200" w:firstLine="560"/>
        <w:rPr>
          <w:rFonts w:ascii="宋体" w:hAnsi="宋体" w:cs="宋体"/>
          <w:sz w:val="28"/>
          <w:szCs w:val="28"/>
        </w:rPr>
      </w:pPr>
      <w:r w:rsidRPr="00123108">
        <w:rPr>
          <w:rFonts w:ascii="宋体" w:hAnsi="宋体" w:cs="宋体" w:hint="eastAsia"/>
          <w:sz w:val="28"/>
          <w:szCs w:val="28"/>
        </w:rPr>
        <w:t>（1）</w:t>
      </w:r>
      <w:r w:rsidRPr="00123108">
        <w:rPr>
          <w:rFonts w:ascii="宋体" w:hAnsi="宋体" w:cs="宋体"/>
          <w:sz w:val="28"/>
          <w:szCs w:val="28"/>
        </w:rPr>
        <w:t>中石油七建公司大连项目部在承揽939#储罐仪表维护平台更换项目后，非法分包给没有劳务分包企业资质的林沅公司，以包代管、包而不管，没有对现场作业实施安全管控。</w:t>
      </w:r>
    </w:p>
    <w:p w:rsidR="004F34D9" w:rsidRPr="00123108" w:rsidRDefault="004F34D9" w:rsidP="00D06780">
      <w:pPr>
        <w:spacing w:line="500" w:lineRule="exact"/>
        <w:ind w:firstLineChars="200" w:firstLine="560"/>
        <w:rPr>
          <w:rFonts w:ascii="宋体" w:hAnsi="宋体" w:cs="宋体"/>
          <w:sz w:val="28"/>
          <w:szCs w:val="28"/>
        </w:rPr>
      </w:pPr>
      <w:r w:rsidRPr="00123108">
        <w:rPr>
          <w:rFonts w:ascii="宋体" w:hAnsi="宋体" w:cs="宋体" w:hint="eastAsia"/>
          <w:sz w:val="28"/>
          <w:szCs w:val="28"/>
        </w:rPr>
        <w:t>（2）</w:t>
      </w:r>
      <w:r w:rsidRPr="00123108">
        <w:rPr>
          <w:rFonts w:ascii="宋体" w:hAnsi="宋体" w:cs="宋体"/>
          <w:sz w:val="28"/>
          <w:szCs w:val="28"/>
        </w:rPr>
        <w:t>林沅公司未能依法履行安全生产主体责任，未取得劳务分包企业资质就非法承接项目</w:t>
      </w:r>
      <w:r w:rsidRPr="00123108">
        <w:rPr>
          <w:rFonts w:ascii="宋体" w:hAnsi="宋体" w:cs="宋体" w:hint="eastAsia"/>
          <w:sz w:val="28"/>
          <w:szCs w:val="28"/>
        </w:rPr>
        <w:t>；</w:t>
      </w:r>
      <w:r w:rsidRPr="00123108">
        <w:rPr>
          <w:rFonts w:ascii="宋体" w:hAnsi="宋体" w:cs="宋体"/>
          <w:sz w:val="28"/>
          <w:szCs w:val="28"/>
        </w:rPr>
        <w:t>企业规章制度不健全不落实，员工安全意识淡薄，违章动火</w:t>
      </w:r>
      <w:r w:rsidRPr="00123108">
        <w:rPr>
          <w:rFonts w:ascii="宋体" w:hAnsi="宋体" w:cs="宋体" w:hint="eastAsia"/>
          <w:sz w:val="28"/>
          <w:szCs w:val="28"/>
        </w:rPr>
        <w:t>；</w:t>
      </w:r>
      <w:r w:rsidRPr="00123108">
        <w:rPr>
          <w:rFonts w:ascii="宋体" w:hAnsi="宋体" w:cs="宋体"/>
          <w:sz w:val="28"/>
          <w:szCs w:val="28"/>
        </w:rPr>
        <w:t>未对现场作业实施有效的安全管控。</w:t>
      </w:r>
    </w:p>
    <w:p w:rsidR="004F34D9" w:rsidRPr="00123108" w:rsidRDefault="004F34D9" w:rsidP="00D06780">
      <w:pPr>
        <w:spacing w:line="500" w:lineRule="exact"/>
        <w:ind w:firstLineChars="200" w:firstLine="560"/>
        <w:rPr>
          <w:rFonts w:ascii="宋体" w:hAnsi="宋体" w:cs="宋体"/>
          <w:sz w:val="28"/>
          <w:szCs w:val="28"/>
        </w:rPr>
      </w:pPr>
      <w:r w:rsidRPr="00123108">
        <w:rPr>
          <w:rFonts w:ascii="宋体" w:hAnsi="宋体" w:cs="宋体" w:hint="eastAsia"/>
          <w:sz w:val="28"/>
          <w:szCs w:val="28"/>
        </w:rPr>
        <w:t>（3）</w:t>
      </w:r>
      <w:r w:rsidRPr="00123108">
        <w:rPr>
          <w:rFonts w:ascii="宋体" w:hAnsi="宋体" w:cs="宋体"/>
          <w:sz w:val="28"/>
          <w:szCs w:val="28"/>
        </w:rPr>
        <w:t>大连石化公司安全管理责任不落实，管理及作业人员安全意识淡薄，制度执行不认真不严格，检维修管理、动火管理和承包商管理严重缺失。</w:t>
      </w:r>
    </w:p>
    <w:p w:rsidR="004F34D9" w:rsidRPr="00123108" w:rsidRDefault="004F34D9" w:rsidP="00D06780">
      <w:pPr>
        <w:spacing w:line="500" w:lineRule="exact"/>
        <w:ind w:firstLineChars="200" w:firstLine="560"/>
        <w:rPr>
          <w:rFonts w:ascii="宋体" w:hAnsi="宋体" w:cs="宋体"/>
          <w:sz w:val="28"/>
          <w:szCs w:val="28"/>
        </w:rPr>
      </w:pPr>
      <w:r w:rsidRPr="00123108">
        <w:rPr>
          <w:rFonts w:ascii="宋体" w:hAnsi="宋体" w:cs="宋体" w:hint="eastAsia"/>
          <w:sz w:val="28"/>
          <w:szCs w:val="28"/>
        </w:rPr>
        <w:t>（4）</w:t>
      </w:r>
      <w:r w:rsidRPr="00123108">
        <w:rPr>
          <w:rFonts w:ascii="宋体" w:hAnsi="宋体" w:cs="宋体"/>
          <w:sz w:val="28"/>
          <w:szCs w:val="28"/>
        </w:rPr>
        <w:t>中国石油天然气股份有限公司对大连石化公司安全生产工作监督管理不到位，对大连石化公司反复发生生产安全事故重视不够，对大连石化公司存在的安全生产责任制不落实和动火、承包商管理严重缺失等问题失察。</w:t>
      </w:r>
    </w:p>
    <w:p w:rsidR="004F34D9" w:rsidRPr="00123108" w:rsidRDefault="004F34D9" w:rsidP="00D06780">
      <w:pPr>
        <w:spacing w:line="500" w:lineRule="exact"/>
        <w:ind w:firstLineChars="200" w:firstLine="560"/>
        <w:rPr>
          <w:rFonts w:ascii="宋体" w:hAnsi="宋体" w:cs="宋体"/>
          <w:sz w:val="28"/>
          <w:szCs w:val="28"/>
        </w:rPr>
      </w:pPr>
      <w:r w:rsidRPr="00123108">
        <w:rPr>
          <w:rFonts w:ascii="宋体" w:hAnsi="宋体" w:cs="宋体" w:hint="eastAsia"/>
          <w:sz w:val="28"/>
          <w:szCs w:val="28"/>
        </w:rPr>
        <w:t>（5）</w:t>
      </w:r>
      <w:r w:rsidRPr="00123108">
        <w:rPr>
          <w:rFonts w:ascii="宋体" w:hAnsi="宋体" w:cs="宋体"/>
          <w:sz w:val="28"/>
          <w:szCs w:val="28"/>
        </w:rPr>
        <w:t>大连市安监局对大连石化公司反复发生生产安全事故监管执法不严，危险化学品安全监管工作存在漏洞，对大连石化公司在安全生产管理中</w:t>
      </w:r>
      <w:r w:rsidRPr="00123108">
        <w:rPr>
          <w:rFonts w:ascii="宋体" w:hAnsi="宋体" w:cs="宋体"/>
          <w:sz w:val="28"/>
          <w:szCs w:val="28"/>
        </w:rPr>
        <w:lastRenderedPageBreak/>
        <w:t>存在的问题失察。</w:t>
      </w:r>
    </w:p>
    <w:p w:rsidR="004F34D9" w:rsidRPr="00123108" w:rsidRDefault="004F34D9" w:rsidP="00D06780">
      <w:pPr>
        <w:spacing w:line="500" w:lineRule="exact"/>
        <w:ind w:firstLineChars="200" w:firstLine="562"/>
        <w:rPr>
          <w:rFonts w:ascii="宋体" w:hAnsi="宋体" w:cs="宋体" w:hint="eastAsia"/>
          <w:b/>
          <w:bCs/>
          <w:sz w:val="28"/>
          <w:szCs w:val="28"/>
        </w:rPr>
      </w:pPr>
      <w:r w:rsidRPr="00123108">
        <w:rPr>
          <w:rFonts w:ascii="宋体" w:hAnsi="宋体" w:cs="宋体" w:hint="eastAsia"/>
          <w:b/>
          <w:bCs/>
          <w:sz w:val="28"/>
          <w:szCs w:val="28"/>
        </w:rPr>
        <w:t>案例3：1，2-环氧丙烷火灾、爆炸事故</w:t>
      </w:r>
    </w:p>
    <w:p w:rsidR="004F34D9" w:rsidRPr="00123108" w:rsidRDefault="004F34D9" w:rsidP="00D06780">
      <w:pPr>
        <w:spacing w:line="500" w:lineRule="exact"/>
        <w:ind w:firstLineChars="200" w:firstLine="560"/>
        <w:rPr>
          <w:rFonts w:ascii="宋体" w:hAnsi="宋体" w:cs="宋体" w:hint="eastAsia"/>
          <w:sz w:val="28"/>
        </w:rPr>
      </w:pPr>
      <w:r w:rsidRPr="00123108">
        <w:rPr>
          <w:rFonts w:ascii="宋体" w:hAnsi="宋体" w:cs="宋体" w:hint="eastAsia"/>
          <w:sz w:val="28"/>
        </w:rPr>
        <w:t>事故经过：1988年4月21日15时35分，吉林省辽源市石油化工厂环氧化物工段皂化岗位1名女工从三塔釜残罐往六塔压料中，精力不集中，严重违反操作规程，操作中将压料的氮气阀门打开，却没有打开通往六塔出料的阀门，由于大量氮气进人罐内，遇高温，气体膨胀，造成此罐超压（罐为非压力容器）发生开裂，罐内物料绝大部分是1，2-环氧丙烷，少量环氧乙烷，罐裂喷出时摩擦起火造成爆炸，并引起大火，</w:t>
      </w:r>
      <w:hyperlink r:id="rId18" w:tgtFrame="_blank" w:history="1">
        <w:r w:rsidRPr="00123108">
          <w:rPr>
            <w:rFonts w:ascii="宋体" w:hAnsi="宋体" w:cs="宋体" w:hint="eastAsia"/>
            <w:sz w:val="28"/>
          </w:rPr>
          <w:t>事故</w:t>
        </w:r>
      </w:hyperlink>
      <w:r w:rsidRPr="00123108">
        <w:rPr>
          <w:rFonts w:ascii="宋体" w:hAnsi="宋体" w:cs="宋体" w:hint="eastAsia"/>
          <w:sz w:val="28"/>
        </w:rPr>
        <w:t>的直接责任者当场死亡，l名班长、2名当班工人因爆炸后操作间倒埸被砸致死。生产厂房倒塌402平方米，损坏部分非标设备和工艺管路、电气仪表等，直接损失为22.5万元。</w:t>
      </w:r>
    </w:p>
    <w:p w:rsidR="004F34D9" w:rsidRPr="00123108" w:rsidRDefault="004F34D9" w:rsidP="00D06780">
      <w:pPr>
        <w:spacing w:line="500" w:lineRule="exact"/>
        <w:ind w:firstLineChars="200" w:firstLine="560"/>
        <w:rPr>
          <w:rFonts w:ascii="宋体" w:hAnsi="宋体" w:cs="宋体" w:hint="eastAsia"/>
          <w:sz w:val="28"/>
        </w:rPr>
      </w:pPr>
      <w:r w:rsidRPr="00123108">
        <w:rPr>
          <w:rFonts w:ascii="宋体" w:hAnsi="宋体" w:cs="宋体" w:hint="eastAsia"/>
          <w:sz w:val="28"/>
        </w:rPr>
        <w:t>事故原因：这次</w:t>
      </w:r>
      <w:hyperlink r:id="rId19" w:tgtFrame="_blank" w:history="1">
        <w:r w:rsidRPr="00123108">
          <w:rPr>
            <w:rFonts w:ascii="宋体" w:hAnsi="宋体" w:cs="宋体" w:hint="eastAsia"/>
            <w:sz w:val="28"/>
          </w:rPr>
          <w:t>事故</w:t>
        </w:r>
      </w:hyperlink>
      <w:r w:rsidRPr="00123108">
        <w:rPr>
          <w:rFonts w:ascii="宋体" w:hAnsi="宋体" w:cs="宋体" w:hint="eastAsia"/>
          <w:sz w:val="28"/>
        </w:rPr>
        <w:t>的直接原因是当班女工严重违章操作，造成三塔釜残罐开裂，引发爆炸</w:t>
      </w:r>
      <w:hyperlink r:id="rId20" w:tgtFrame="_blank" w:history="1">
        <w:r w:rsidRPr="00123108">
          <w:rPr>
            <w:rFonts w:ascii="宋体" w:hAnsi="宋体" w:cs="宋体" w:hint="eastAsia"/>
            <w:sz w:val="28"/>
          </w:rPr>
          <w:t>事故</w:t>
        </w:r>
      </w:hyperlink>
      <w:r w:rsidRPr="00123108">
        <w:rPr>
          <w:rFonts w:ascii="宋体" w:hAnsi="宋体" w:cs="宋体" w:hint="eastAsia"/>
          <w:sz w:val="28"/>
        </w:rPr>
        <w:t>。而日常安全生产和劳动纪律抓得不细不严、三塔釜残罐焊接质量差，是发生这次</w:t>
      </w:r>
      <w:hyperlink r:id="rId21" w:tgtFrame="_blank" w:history="1">
        <w:r w:rsidRPr="00123108">
          <w:rPr>
            <w:rFonts w:ascii="宋体" w:hAnsi="宋体" w:cs="宋体" w:hint="eastAsia"/>
            <w:sz w:val="28"/>
          </w:rPr>
          <w:t>事故</w:t>
        </w:r>
      </w:hyperlink>
      <w:r w:rsidRPr="00123108">
        <w:rPr>
          <w:rFonts w:ascii="宋体" w:hAnsi="宋体" w:cs="宋体" w:hint="eastAsia"/>
          <w:sz w:val="28"/>
        </w:rPr>
        <w:t>的间接原因。常压容器，采用氮气加压出料方法不妥。</w:t>
      </w:r>
    </w:p>
    <w:p w:rsidR="004F34D9" w:rsidRPr="00123108" w:rsidRDefault="004F34D9" w:rsidP="00D06780">
      <w:pPr>
        <w:spacing w:line="500" w:lineRule="exact"/>
        <w:ind w:firstLineChars="200" w:firstLine="560"/>
        <w:rPr>
          <w:rFonts w:ascii="宋体" w:hAnsi="宋体" w:cs="宋体" w:hint="eastAsia"/>
          <w:sz w:val="28"/>
        </w:rPr>
      </w:pPr>
      <w:r w:rsidRPr="00123108">
        <w:rPr>
          <w:rFonts w:ascii="宋体" w:hAnsi="宋体" w:cs="宋体" w:hint="eastAsia"/>
          <w:sz w:val="28"/>
        </w:rPr>
        <w:t>防范措施：（1）制定和执行操作票；（2）常压罐不允许用加压办法压料，改用泵输送；（3）根据压料所需压力设计罐的耐压强度；（4）根据罐的现状进行强度核算，选定氮气压力，应设减压阀系统，限制氮气压力。</w:t>
      </w:r>
    </w:p>
    <w:p w:rsidR="004F34D9" w:rsidRPr="00123108" w:rsidRDefault="004F34D9" w:rsidP="00D06780">
      <w:pPr>
        <w:spacing w:line="500" w:lineRule="exact"/>
        <w:ind w:firstLine="560"/>
        <w:rPr>
          <w:rFonts w:ascii="宋体" w:hAnsi="宋体" w:cs="宋体"/>
          <w:b/>
          <w:bCs/>
          <w:sz w:val="28"/>
          <w:szCs w:val="28"/>
        </w:rPr>
      </w:pPr>
      <w:r w:rsidRPr="00123108">
        <w:rPr>
          <w:rFonts w:ascii="宋体" w:hAnsi="宋体" w:cs="宋体" w:hint="eastAsia"/>
          <w:b/>
          <w:bCs/>
          <w:sz w:val="28"/>
          <w:szCs w:val="28"/>
        </w:rPr>
        <w:t>案例4：氢气燃爆事故</w:t>
      </w:r>
    </w:p>
    <w:p w:rsidR="004F34D9" w:rsidRPr="00123108" w:rsidRDefault="004F34D9" w:rsidP="00D06780">
      <w:pPr>
        <w:spacing w:line="500" w:lineRule="exact"/>
        <w:ind w:firstLine="560"/>
        <w:rPr>
          <w:rFonts w:ascii="宋体" w:hAnsi="宋体" w:hint="eastAsia"/>
          <w:bCs/>
          <w:sz w:val="28"/>
          <w:lang w:val="zh-CN"/>
        </w:rPr>
      </w:pPr>
      <w:r w:rsidRPr="00123108">
        <w:rPr>
          <w:rFonts w:ascii="宋体" w:hAnsi="宋体" w:hint="eastAsia"/>
          <w:bCs/>
          <w:sz w:val="28"/>
          <w:lang w:val="zh-CN"/>
        </w:rPr>
        <w:t>事故经过：</w:t>
      </w:r>
      <w:r w:rsidRPr="00123108">
        <w:rPr>
          <w:rFonts w:ascii="宋体" w:hAnsi="宋体"/>
          <w:sz w:val="28"/>
        </w:rPr>
        <w:t>2001</w:t>
      </w:r>
      <w:r w:rsidRPr="00123108">
        <w:rPr>
          <w:rFonts w:ascii="宋体" w:hAnsi="宋体" w:hint="eastAsia"/>
          <w:sz w:val="28"/>
        </w:rPr>
        <w:t>年</w:t>
      </w:r>
      <w:r w:rsidRPr="00123108">
        <w:rPr>
          <w:rFonts w:ascii="宋体" w:hAnsi="宋体"/>
          <w:sz w:val="28"/>
        </w:rPr>
        <w:t>2</w:t>
      </w:r>
      <w:r w:rsidRPr="00123108">
        <w:rPr>
          <w:rFonts w:ascii="宋体" w:hAnsi="宋体" w:hint="eastAsia"/>
          <w:sz w:val="28"/>
        </w:rPr>
        <w:t>月</w:t>
      </w:r>
      <w:r w:rsidRPr="00123108">
        <w:rPr>
          <w:rFonts w:ascii="宋体" w:hAnsi="宋体"/>
          <w:sz w:val="28"/>
        </w:rPr>
        <w:t>27</w:t>
      </w:r>
      <w:r w:rsidRPr="00123108">
        <w:rPr>
          <w:rFonts w:ascii="宋体" w:hAnsi="宋体" w:hint="eastAsia"/>
          <w:sz w:val="28"/>
        </w:rPr>
        <w:t>日</w:t>
      </w:r>
      <w:r w:rsidRPr="00123108">
        <w:rPr>
          <w:rFonts w:ascii="宋体" w:hAnsi="宋体"/>
          <w:sz w:val="28"/>
        </w:rPr>
        <w:t>16</w:t>
      </w:r>
      <w:r w:rsidRPr="00123108">
        <w:rPr>
          <w:rFonts w:ascii="宋体" w:hAnsi="宋体" w:hint="eastAsia"/>
          <w:sz w:val="28"/>
        </w:rPr>
        <w:t>时</w:t>
      </w:r>
      <w:r w:rsidRPr="00123108">
        <w:rPr>
          <w:rFonts w:ascii="宋体" w:hAnsi="宋体"/>
          <w:sz w:val="28"/>
        </w:rPr>
        <w:t>45</w:t>
      </w:r>
      <w:r w:rsidRPr="00123108">
        <w:rPr>
          <w:rFonts w:ascii="宋体" w:hAnsi="宋体" w:hint="eastAsia"/>
          <w:sz w:val="28"/>
        </w:rPr>
        <w:t>分，江苏省盐城市某化肥厂合成车间管道突然破裂，随即氢气大量泄漏。厂领导立即命令操作工关闭主阀、附阀，全厂紧急停车。大约</w:t>
      </w:r>
      <w:r w:rsidRPr="00123108">
        <w:rPr>
          <w:rFonts w:ascii="宋体" w:hAnsi="宋体"/>
          <w:sz w:val="28"/>
        </w:rPr>
        <w:t>5</w:t>
      </w:r>
      <w:r w:rsidRPr="00123108">
        <w:rPr>
          <w:rFonts w:ascii="宋体" w:hAnsi="宋体" w:hint="eastAsia"/>
          <w:sz w:val="28"/>
        </w:rPr>
        <w:t>分钟后，正当大家在紧张讨论如何处理事故时，突然发生爆炸，在面积约千余平方米的爆炸中心区，合成车间近</w:t>
      </w:r>
      <w:r w:rsidRPr="00123108">
        <w:rPr>
          <w:rFonts w:ascii="宋体" w:hAnsi="宋体"/>
          <w:sz w:val="28"/>
        </w:rPr>
        <w:t>10m</w:t>
      </w:r>
      <w:r w:rsidRPr="00123108">
        <w:rPr>
          <w:rFonts w:ascii="宋体" w:hAnsi="宋体" w:hint="eastAsia"/>
          <w:sz w:val="28"/>
        </w:rPr>
        <w:t>高的厂房被炸成一片废墟，附近厂房数百扇窗户上的玻璃全部震碎，爆炸致使合成车间内当场死亡</w:t>
      </w:r>
      <w:r w:rsidRPr="00123108">
        <w:rPr>
          <w:rFonts w:ascii="宋体" w:hAnsi="宋体"/>
          <w:sz w:val="28"/>
        </w:rPr>
        <w:t>3</w:t>
      </w:r>
      <w:r w:rsidRPr="00123108">
        <w:rPr>
          <w:rFonts w:ascii="宋体" w:hAnsi="宋体" w:hint="eastAsia"/>
          <w:sz w:val="28"/>
        </w:rPr>
        <w:t>人，另有</w:t>
      </w:r>
      <w:r w:rsidRPr="00123108">
        <w:rPr>
          <w:rFonts w:ascii="宋体" w:hAnsi="宋体"/>
          <w:sz w:val="28"/>
        </w:rPr>
        <w:t>2</w:t>
      </w:r>
      <w:r w:rsidRPr="00123108">
        <w:rPr>
          <w:rFonts w:ascii="宋体" w:hAnsi="宋体" w:hint="eastAsia"/>
          <w:sz w:val="28"/>
        </w:rPr>
        <w:t>人因伤势过重抢救无效死亡，</w:t>
      </w:r>
      <w:r w:rsidRPr="00123108">
        <w:rPr>
          <w:rFonts w:ascii="宋体" w:hAnsi="宋体"/>
          <w:sz w:val="28"/>
        </w:rPr>
        <w:t>26</w:t>
      </w:r>
      <w:r w:rsidRPr="00123108">
        <w:rPr>
          <w:rFonts w:ascii="宋体" w:hAnsi="宋体" w:hint="eastAsia"/>
          <w:sz w:val="28"/>
        </w:rPr>
        <w:t>人受伤。</w:t>
      </w:r>
    </w:p>
    <w:p w:rsidR="004F34D9" w:rsidRPr="00123108" w:rsidRDefault="004F34D9" w:rsidP="00D06780">
      <w:pPr>
        <w:snapToGrid w:val="0"/>
        <w:spacing w:line="500" w:lineRule="exact"/>
        <w:ind w:firstLine="573"/>
        <w:rPr>
          <w:rFonts w:ascii="宋体" w:hAnsi="宋体" w:hint="eastAsia"/>
          <w:bCs/>
          <w:sz w:val="28"/>
          <w:lang w:val="zh-CN"/>
        </w:rPr>
      </w:pPr>
      <w:r w:rsidRPr="00123108">
        <w:rPr>
          <w:rFonts w:ascii="宋体" w:hAnsi="宋体" w:hint="eastAsia"/>
          <w:bCs/>
          <w:sz w:val="28"/>
          <w:lang w:val="zh-CN"/>
        </w:rPr>
        <w:t>事故原因：</w:t>
      </w:r>
      <w:r w:rsidRPr="00123108">
        <w:rPr>
          <w:rFonts w:ascii="宋体" w:hAnsi="宋体" w:hint="eastAsia"/>
          <w:sz w:val="28"/>
        </w:rPr>
        <w:t>根据爆炸理论，可燃气体在空气中燃爆必须具备以下条件：一是可燃气体与空气形成的混合物浓度达到爆炸极限，形成爆炸性混合气；二是有能够点燃爆炸性混合气的点火源。据调查，事发之时合成车间没有现</w:t>
      </w:r>
      <w:r w:rsidRPr="00123108">
        <w:rPr>
          <w:rFonts w:ascii="宋体" w:hAnsi="宋体" w:hint="eastAsia"/>
          <w:sz w:val="28"/>
        </w:rPr>
        <w:lastRenderedPageBreak/>
        <w:t>场动火等明火火源，那么，点火源从何而来，专家对氢爆炸事故的原因进行剖析：1、</w:t>
      </w:r>
      <w:r w:rsidRPr="00123108">
        <w:rPr>
          <w:rFonts w:hAnsi="宋体" w:hint="eastAsia"/>
          <w:sz w:val="28"/>
        </w:rPr>
        <w:t>爆炸混合气体的形成：管道破裂后，氢气大量泄漏，立即形成易燃易爆混合气体，并迅速扩散。氢气在空气中爆炸极限是</w:t>
      </w:r>
      <w:r w:rsidRPr="00123108">
        <w:rPr>
          <w:rFonts w:ascii="宋体" w:hAnsi="宋体"/>
          <w:sz w:val="28"/>
        </w:rPr>
        <w:t>4%</w:t>
      </w:r>
      <w:r w:rsidRPr="00123108">
        <w:rPr>
          <w:rFonts w:ascii="宋体" w:hAnsi="宋体" w:hint="eastAsia"/>
          <w:sz w:val="28"/>
        </w:rPr>
        <w:t>～</w:t>
      </w:r>
      <w:r w:rsidRPr="00123108">
        <w:rPr>
          <w:rFonts w:ascii="宋体" w:hAnsi="宋体"/>
          <w:sz w:val="28"/>
        </w:rPr>
        <w:t>74.1%</w:t>
      </w:r>
      <w:r w:rsidRPr="00123108">
        <w:rPr>
          <w:rFonts w:ascii="宋体" w:hAnsi="宋体" w:hint="eastAsia"/>
          <w:sz w:val="28"/>
        </w:rPr>
        <w:t>，</w:t>
      </w:r>
      <w:r w:rsidRPr="00123108">
        <w:rPr>
          <w:rFonts w:hAnsi="宋体" w:hint="eastAsia"/>
          <w:sz w:val="28"/>
        </w:rPr>
        <w:t>当氢气浓度达到爆炸极限遇点火源会发生爆炸。</w:t>
      </w:r>
      <w:r w:rsidRPr="00123108">
        <w:rPr>
          <w:rFonts w:ascii="宋体" w:hAnsi="宋体" w:hint="eastAsia"/>
          <w:sz w:val="28"/>
        </w:rPr>
        <w:t>2、点火源的产生：事故发生后，事故现场一片废墟，点火源难以十分准确定位。根据事发之前现场和事故本身情况分析，点火源的产生有以下几种可能：氢气泄漏过程中产生的静电火花；高温物体表面；电气火花；人身静电火花。①静电火花：氢气大量泄漏产生静电火花当两种不同性质的物体相互摩擦或接触时，由于它们对电子的吸引力大小不同，在物体间发生电子转移，使其中一物体失去电子而带正电荷，另一物体获得电子带负电荷。如果产生的静电荷不能及时导入大地或静电荷泄漏的速度远小于静电荷产生的速度，就会产生静电的积聚。氢气不易导电，能保持相当大的电量。</w:t>
      </w:r>
      <w:r w:rsidRPr="00123108">
        <w:rPr>
          <w:rFonts w:ascii="宋体" w:hAnsi="宋体"/>
          <w:sz w:val="28"/>
        </w:rPr>
        <w:t>a</w:t>
      </w:r>
      <w:r w:rsidRPr="00123108">
        <w:rPr>
          <w:rFonts w:ascii="宋体" w:hAnsi="宋体" w:hint="eastAsia"/>
          <w:sz w:val="28"/>
        </w:rPr>
        <w:t>、氢气在管线中流动时产生静电荷。当氢气在管线中流动时会形成气体与固体接触分离的条件，这种现象的连续发生，就会产生静电。如果氢气管道没有接地或接地不良，就会积聚一定量的静电荷。b、氢气泄漏时产生大量静电荷。当氢气从管道大量泄漏喷出时，氢气和管道破裂部位急剧摩擦，迅速接触与分离的过程，产生高静电压。接触时，在接触面形成偶电子层；分离时，偶电子层的一层电子被带走，另一层电荷留在喷口处。如果管道喷口处接地不良，就会使喷泄的氢气和喷口处分别带上大量不同符号的静电。当静电荷积聚到一定量时，就会击穿空气介质对接地体放电，产生静电火花。②高温物体表面：氢气的引燃温度是</w:t>
      </w:r>
      <w:r w:rsidRPr="00123108">
        <w:rPr>
          <w:rFonts w:ascii="宋体" w:hAnsi="宋体"/>
          <w:sz w:val="28"/>
        </w:rPr>
        <w:t>560</w:t>
      </w:r>
      <w:r w:rsidRPr="00123108">
        <w:rPr>
          <w:rFonts w:ascii="宋体" w:hAnsi="宋体" w:hint="eastAsia"/>
          <w:sz w:val="28"/>
        </w:rPr>
        <w:t>℃，氢泄漏时遇到设备管道等</w:t>
      </w:r>
      <w:r w:rsidRPr="00123108">
        <w:rPr>
          <w:rFonts w:ascii="宋体" w:hAnsi="宋体"/>
          <w:sz w:val="28"/>
        </w:rPr>
        <w:t>560</w:t>
      </w:r>
      <w:r w:rsidRPr="00123108">
        <w:rPr>
          <w:rFonts w:ascii="宋体" w:hAnsi="宋体" w:hint="eastAsia"/>
          <w:sz w:val="28"/>
        </w:rPr>
        <w:t>℃以上的物体外表面就会燃爆。虽然高温设备管道都进行了防腐保温处理，阀门外露部分和其他保温残缺之处还是存在的。③电气火花：在可燃气体中，氢气的点火能量是最低的，只有</w:t>
      </w:r>
      <w:r w:rsidRPr="00123108">
        <w:rPr>
          <w:rFonts w:ascii="宋体" w:hAnsi="宋体"/>
          <w:sz w:val="28"/>
        </w:rPr>
        <w:t>0.019mJ</w:t>
      </w:r>
      <w:r w:rsidRPr="00123108">
        <w:rPr>
          <w:rFonts w:ascii="宋体" w:hAnsi="宋体" w:hint="eastAsia"/>
          <w:sz w:val="28"/>
        </w:rPr>
        <w:t>（这个能量相当于一枚订书钉从</w:t>
      </w:r>
      <w:r w:rsidRPr="00123108">
        <w:rPr>
          <w:rFonts w:ascii="宋体" w:hAnsi="宋体"/>
          <w:sz w:val="28"/>
        </w:rPr>
        <w:t>1m</w:t>
      </w:r>
      <w:r w:rsidRPr="00123108">
        <w:rPr>
          <w:rFonts w:ascii="宋体" w:hAnsi="宋体" w:hint="eastAsia"/>
          <w:sz w:val="28"/>
        </w:rPr>
        <w:t>高处自由落下时的能量）。电线绝缘不良、接头不实、不防爆电气开关和电气设备产生的电火花均能引爆氢气。④人身静电：据实测，人在脱毛衣时可产生</w:t>
      </w:r>
      <w:r w:rsidRPr="00123108">
        <w:rPr>
          <w:rFonts w:ascii="宋体" w:hAnsi="宋体"/>
          <w:sz w:val="28"/>
        </w:rPr>
        <w:t>2800V</w:t>
      </w:r>
      <w:r w:rsidRPr="00123108">
        <w:rPr>
          <w:rFonts w:ascii="宋体" w:hAnsi="宋体" w:hint="eastAsia"/>
          <w:sz w:val="28"/>
        </w:rPr>
        <w:t>的静电压，脱混纺衣服时可产生</w:t>
      </w:r>
      <w:r w:rsidRPr="00123108">
        <w:rPr>
          <w:rFonts w:ascii="宋体" w:hAnsi="宋体"/>
          <w:sz w:val="28"/>
        </w:rPr>
        <w:t>5000V</w:t>
      </w:r>
      <w:r w:rsidRPr="00123108">
        <w:rPr>
          <w:rFonts w:ascii="宋体" w:hAnsi="宋体" w:hint="eastAsia"/>
          <w:sz w:val="28"/>
        </w:rPr>
        <w:t>静电压；当一个人穿着绝缘胶鞋在环境湿度低于</w:t>
      </w:r>
      <w:r w:rsidRPr="00123108">
        <w:rPr>
          <w:rFonts w:ascii="宋体" w:hAnsi="宋体"/>
          <w:sz w:val="28"/>
        </w:rPr>
        <w:t>70%</w:t>
      </w:r>
      <w:r w:rsidRPr="00123108">
        <w:rPr>
          <w:rFonts w:ascii="宋体" w:hAnsi="宋体" w:hint="eastAsia"/>
          <w:sz w:val="28"/>
        </w:rPr>
        <w:t>的情况下，走在橡胶地毯、塑料地板、树脂砖或大理石等高电阻的地板上时，人体静电压高达</w:t>
      </w:r>
      <w:r w:rsidRPr="00123108">
        <w:rPr>
          <w:rFonts w:ascii="宋体" w:hAnsi="宋体"/>
          <w:sz w:val="28"/>
        </w:rPr>
        <w:t>5</w:t>
      </w:r>
      <w:r w:rsidRPr="00123108">
        <w:rPr>
          <w:rFonts w:ascii="宋体" w:hAnsi="宋体" w:hint="eastAsia"/>
          <w:sz w:val="28"/>
        </w:rPr>
        <w:t>～</w:t>
      </w:r>
      <w:r w:rsidRPr="00123108">
        <w:rPr>
          <w:rFonts w:ascii="宋体" w:hAnsi="宋体"/>
          <w:sz w:val="28"/>
        </w:rPr>
        <w:t>15kV</w:t>
      </w:r>
      <w:r w:rsidRPr="00123108">
        <w:rPr>
          <w:rFonts w:ascii="宋体" w:hAnsi="宋体" w:hint="eastAsia"/>
          <w:sz w:val="28"/>
        </w:rPr>
        <w:t>。尼</w:t>
      </w:r>
      <w:r w:rsidRPr="00123108">
        <w:rPr>
          <w:rFonts w:ascii="宋体" w:hAnsi="宋体" w:hint="eastAsia"/>
          <w:sz w:val="28"/>
        </w:rPr>
        <w:lastRenderedPageBreak/>
        <w:t>龙衣服从毛衣外面脱下时，人体可带</w:t>
      </w:r>
      <w:r w:rsidRPr="00123108">
        <w:rPr>
          <w:rFonts w:ascii="宋体" w:hAnsi="宋体"/>
          <w:sz w:val="28"/>
        </w:rPr>
        <w:t>10kV</w:t>
      </w:r>
      <w:r w:rsidRPr="00123108">
        <w:rPr>
          <w:rFonts w:ascii="宋体" w:hAnsi="宋体" w:hint="eastAsia"/>
          <w:sz w:val="28"/>
        </w:rPr>
        <w:t>以上的静电，穿尼龙羊毛混纺服再坐到人造革面的椅子上，当站起时人体就会产生近万伏的电压。穿脱化纤服装时所产生的静电放电能量也很可观，足以点燃空气中的氢气。当人体对地静电压为</w:t>
      </w:r>
      <w:r w:rsidRPr="00123108">
        <w:rPr>
          <w:rFonts w:ascii="宋体" w:hAnsi="宋体"/>
          <w:sz w:val="28"/>
        </w:rPr>
        <w:t>2kV</w:t>
      </w:r>
      <w:r w:rsidRPr="00123108">
        <w:rPr>
          <w:rFonts w:ascii="宋体" w:hAnsi="宋体" w:hint="eastAsia"/>
          <w:sz w:val="28"/>
        </w:rPr>
        <w:t>时，设人体对地电容为</w:t>
      </w:r>
      <w:r w:rsidRPr="00123108">
        <w:rPr>
          <w:rFonts w:ascii="宋体" w:hAnsi="宋体"/>
          <w:sz w:val="28"/>
        </w:rPr>
        <w:t>200pF</w:t>
      </w:r>
      <w:r w:rsidRPr="00123108">
        <w:rPr>
          <w:rFonts w:ascii="宋体" w:hAnsi="宋体" w:hint="eastAsia"/>
          <w:sz w:val="28"/>
        </w:rPr>
        <w:t>，则人体静电放电时所产生的能量为：</w:t>
      </w:r>
      <w:r w:rsidRPr="00123108">
        <w:rPr>
          <w:rFonts w:ascii="宋体" w:hAnsi="宋体"/>
          <w:sz w:val="28"/>
        </w:rPr>
        <w:t>E=</w:t>
      </w:r>
      <w:r w:rsidRPr="00123108">
        <w:rPr>
          <w:rFonts w:ascii="宋体" w:hAnsi="宋体" w:hint="eastAsia"/>
          <w:sz w:val="28"/>
        </w:rPr>
        <w:t>（</w:t>
      </w:r>
      <w:r w:rsidRPr="00123108">
        <w:rPr>
          <w:rFonts w:ascii="宋体" w:hAnsi="宋体"/>
          <w:sz w:val="28"/>
        </w:rPr>
        <w:t>1/2</w:t>
      </w:r>
      <w:r w:rsidRPr="00123108">
        <w:rPr>
          <w:rFonts w:ascii="宋体" w:hAnsi="宋体" w:hint="eastAsia"/>
          <w:sz w:val="28"/>
        </w:rPr>
        <w:t>）</w:t>
      </w:r>
      <w:r w:rsidRPr="00123108">
        <w:rPr>
          <w:rFonts w:ascii="宋体" w:hAnsi="宋体"/>
          <w:sz w:val="28"/>
        </w:rPr>
        <w:t>CU2=0.4mJ</w:t>
      </w:r>
      <w:r w:rsidRPr="00123108">
        <w:rPr>
          <w:rFonts w:ascii="宋体" w:hAnsi="宋体" w:hint="eastAsia"/>
          <w:sz w:val="28"/>
        </w:rPr>
        <w:t>，这比氢气的最小点火能量</w:t>
      </w:r>
      <w:r w:rsidRPr="00123108">
        <w:rPr>
          <w:rFonts w:ascii="宋体" w:hAnsi="宋体"/>
          <w:sz w:val="28"/>
        </w:rPr>
        <w:t>0.019mJ</w:t>
      </w:r>
      <w:r w:rsidRPr="00123108">
        <w:rPr>
          <w:rFonts w:ascii="宋体" w:hAnsi="宋体" w:hint="eastAsia"/>
          <w:sz w:val="28"/>
        </w:rPr>
        <w:t>高出很多倍，这个能量足以引爆氢气（人能感觉到的最小火花能量约为</w:t>
      </w:r>
      <w:r w:rsidRPr="00123108">
        <w:rPr>
          <w:rFonts w:ascii="宋体" w:hAnsi="宋体"/>
          <w:sz w:val="28"/>
        </w:rPr>
        <w:t>1mJ</w:t>
      </w:r>
      <w:r w:rsidRPr="00123108">
        <w:rPr>
          <w:rFonts w:ascii="宋体" w:hAnsi="宋体" w:hint="eastAsia"/>
          <w:sz w:val="28"/>
        </w:rPr>
        <w:t>）。3、火灾的形成：氢气点火能量仅需</w:t>
      </w:r>
      <w:r w:rsidRPr="00123108">
        <w:rPr>
          <w:rFonts w:ascii="宋体" w:hAnsi="宋体"/>
          <w:sz w:val="28"/>
        </w:rPr>
        <w:t>0.019mJ</w:t>
      </w:r>
      <w:r w:rsidRPr="00123108">
        <w:rPr>
          <w:rFonts w:ascii="宋体" w:hAnsi="宋体" w:hint="eastAsia"/>
          <w:sz w:val="28"/>
        </w:rPr>
        <w:t>。氢气和空气形成的可燃混合气遇静电火花、电气火花或</w:t>
      </w:r>
      <w:r w:rsidRPr="00123108">
        <w:rPr>
          <w:rFonts w:ascii="宋体" w:hAnsi="宋体"/>
          <w:sz w:val="28"/>
        </w:rPr>
        <w:t>500</w:t>
      </w:r>
      <w:r w:rsidRPr="00123108">
        <w:rPr>
          <w:rFonts w:ascii="宋体" w:hAnsi="宋体" w:hint="eastAsia"/>
          <w:sz w:val="28"/>
        </w:rPr>
        <w:t>℃以上的热物体等点火源，就会发生燃烧爆炸；如果可燃混合气的浓度达到</w:t>
      </w:r>
      <w:r w:rsidRPr="00123108">
        <w:rPr>
          <w:rFonts w:ascii="宋体" w:hAnsi="宋体"/>
          <w:sz w:val="28"/>
        </w:rPr>
        <w:t>18.3%</w:t>
      </w:r>
      <w:r w:rsidRPr="00123108">
        <w:rPr>
          <w:rFonts w:ascii="宋体" w:hAnsi="宋体" w:hint="eastAsia"/>
          <w:sz w:val="28"/>
        </w:rPr>
        <w:t>～</w:t>
      </w:r>
      <w:r w:rsidRPr="00123108">
        <w:rPr>
          <w:rFonts w:ascii="宋体" w:hAnsi="宋体"/>
          <w:sz w:val="28"/>
        </w:rPr>
        <w:t>59%</w:t>
      </w:r>
      <w:r w:rsidRPr="00123108">
        <w:rPr>
          <w:rFonts w:ascii="宋体" w:hAnsi="宋体" w:hint="eastAsia"/>
          <w:sz w:val="28"/>
        </w:rPr>
        <w:t>，就会发生爆轰现象。发生爆轰时，高速燃烧反应的冲击波，在极短时间内引起的压力极高，这个压力几乎等于正常爆炸产生最大压力的</w:t>
      </w:r>
      <w:r w:rsidRPr="00123108">
        <w:rPr>
          <w:rFonts w:ascii="宋体" w:hAnsi="宋体"/>
          <w:sz w:val="28"/>
        </w:rPr>
        <w:t>20</w:t>
      </w:r>
      <w:r w:rsidRPr="00123108">
        <w:rPr>
          <w:rFonts w:ascii="宋体" w:hAnsi="宋体" w:hint="eastAsia"/>
          <w:sz w:val="28"/>
        </w:rPr>
        <w:t>倍，对建筑物能在同一初始条件下瞬间毁灭性摧毁，具有特别大的破坏力。</w:t>
      </w:r>
    </w:p>
    <w:p w:rsidR="004F34D9" w:rsidRPr="00123108" w:rsidRDefault="004F34D9" w:rsidP="00D06780">
      <w:pPr>
        <w:snapToGrid w:val="0"/>
        <w:spacing w:line="500" w:lineRule="exact"/>
        <w:ind w:firstLine="573"/>
        <w:rPr>
          <w:rFonts w:ascii="宋体" w:hAnsi="宋体" w:hint="eastAsia"/>
          <w:sz w:val="28"/>
        </w:rPr>
      </w:pPr>
      <w:r w:rsidRPr="00123108">
        <w:rPr>
          <w:rFonts w:ascii="宋体" w:hAnsi="宋体" w:hint="eastAsia"/>
          <w:bCs/>
          <w:sz w:val="28"/>
          <w:lang w:val="zh-CN"/>
        </w:rPr>
        <w:t>防范措施：</w:t>
      </w:r>
      <w:r w:rsidRPr="00123108">
        <w:rPr>
          <w:rFonts w:ascii="宋体" w:hAnsi="宋体" w:hint="eastAsia"/>
          <w:sz w:val="28"/>
        </w:rPr>
        <w:t>1、加强相关安全技术知识的培训，提高职工对临氢设备危险性的认识。建立健全各项规章制度，认真贯彻执行《氢气使用安全技术规程》</w:t>
      </w:r>
      <w:r w:rsidRPr="00123108">
        <w:rPr>
          <w:rFonts w:ascii="宋体" w:hAnsi="宋体"/>
          <w:sz w:val="28"/>
        </w:rPr>
        <w:t>GB</w:t>
      </w:r>
      <w:r w:rsidRPr="00123108">
        <w:rPr>
          <w:rFonts w:ascii="宋体" w:hAnsi="宋体" w:hint="eastAsia"/>
          <w:sz w:val="28"/>
        </w:rPr>
        <w:t xml:space="preserve"> </w:t>
      </w:r>
      <w:r w:rsidRPr="00123108">
        <w:rPr>
          <w:rFonts w:ascii="宋体" w:hAnsi="宋体"/>
          <w:sz w:val="28"/>
        </w:rPr>
        <w:t>4962</w:t>
      </w:r>
      <w:r w:rsidRPr="00123108">
        <w:rPr>
          <w:rFonts w:ascii="宋体" w:hAnsi="宋体" w:hint="eastAsia"/>
          <w:sz w:val="28"/>
        </w:rPr>
        <w:t>及《氢气站设计规范》</w:t>
      </w:r>
      <w:r w:rsidRPr="00123108">
        <w:rPr>
          <w:rFonts w:ascii="宋体" w:hAnsi="宋体"/>
          <w:sz w:val="28"/>
        </w:rPr>
        <w:t>GB</w:t>
      </w:r>
      <w:r w:rsidRPr="00123108">
        <w:rPr>
          <w:rFonts w:ascii="宋体" w:hAnsi="宋体" w:hint="eastAsia"/>
          <w:sz w:val="28"/>
        </w:rPr>
        <w:t xml:space="preserve"> </w:t>
      </w:r>
      <w:r w:rsidRPr="00123108">
        <w:rPr>
          <w:rFonts w:ascii="宋体" w:hAnsi="宋体"/>
          <w:sz w:val="28"/>
        </w:rPr>
        <w:t>50177</w:t>
      </w:r>
      <w:r w:rsidRPr="00123108">
        <w:rPr>
          <w:rFonts w:ascii="宋体" w:hAnsi="宋体" w:hint="eastAsia"/>
          <w:sz w:val="28"/>
        </w:rPr>
        <w:t>和相关石化设计标准。2、切实加强临氢系统的设备管理，对临氢部位的氢腐蚀、氢脆等情况定期进行技术分析和系统检漏，并利用设备周期大检修之际彻底检修。3、临氢设备防爆区之内严禁明火。进入该区域人员应穿防静电服或纯棉工作服；在该区域内严禁使用手机等通讯设备；防爆区内电气设施包括照明灯具、开关应为防爆型，电线绝缘良好、接头牢靠；防爆区内严禁存在暴露的热物体。4、临氢设备管道应装设专用静电接地线，氢管道泄漏时，严禁使用易产生静电的物品如胶皮包裹堵漏。</w:t>
      </w:r>
    </w:p>
    <w:p w:rsidR="004F34D9" w:rsidRPr="00123108" w:rsidRDefault="004F34D9" w:rsidP="00D06780">
      <w:pPr>
        <w:spacing w:line="500" w:lineRule="exact"/>
        <w:ind w:firstLineChars="200" w:firstLine="562"/>
        <w:rPr>
          <w:rFonts w:ascii="宋体" w:hAnsi="宋体" w:cs="宋体" w:hint="eastAsia"/>
          <w:b/>
          <w:bCs/>
          <w:sz w:val="28"/>
          <w:szCs w:val="28"/>
        </w:rPr>
      </w:pPr>
      <w:r w:rsidRPr="00123108">
        <w:rPr>
          <w:rFonts w:ascii="宋体" w:hAnsi="宋体" w:cs="宋体" w:hint="eastAsia"/>
          <w:b/>
          <w:bCs/>
          <w:sz w:val="28"/>
          <w:szCs w:val="28"/>
        </w:rPr>
        <w:t>案例5：苯乙烯装置苯中毒事故</w:t>
      </w:r>
    </w:p>
    <w:p w:rsidR="004F34D9" w:rsidRPr="00123108" w:rsidRDefault="004F34D9" w:rsidP="00D06780">
      <w:pPr>
        <w:spacing w:line="500" w:lineRule="exact"/>
        <w:ind w:firstLineChars="200" w:firstLine="560"/>
        <w:rPr>
          <w:rFonts w:ascii="宋体" w:hAnsi="宋体" w:cs="宋体"/>
          <w:sz w:val="28"/>
          <w:szCs w:val="28"/>
        </w:rPr>
      </w:pPr>
      <w:r w:rsidRPr="00123108">
        <w:rPr>
          <w:rFonts w:ascii="宋体" w:hAnsi="宋体" w:cs="宋体" w:hint="eastAsia"/>
          <w:sz w:val="28"/>
          <w:szCs w:val="28"/>
        </w:rPr>
        <w:t>事故经过：2009年8月7日下午，某石化公司苯乙烯装置乙苯单元分离系统引乙苯和苯，建立苯系统循环。8月8日7时30分，乙苯单元脱轻组分塔釜进行循环升温。8月9日17时32分，系统仍处在循环升温过程中，脱轻组分塔釜底泵出口单向阀法兰处突然泄漏，液体苯大量喷出。一名现场操作工闻声赶到迅速将釜底泵停止，并去外操间汇报。值班长立即与外操班长</w:t>
      </w:r>
      <w:r w:rsidRPr="00123108">
        <w:rPr>
          <w:rFonts w:ascii="宋体" w:hAnsi="宋体" w:cs="宋体" w:hint="eastAsia"/>
          <w:sz w:val="28"/>
          <w:szCs w:val="28"/>
        </w:rPr>
        <w:lastRenderedPageBreak/>
        <w:t>带五套防毒面具和防化手套到现场，并用对讲机通知相关人员，五名员工佩戴防毒面具和防化手套轮流作业，关闭了釜底泵进出口阀，之后五人撤离泄漏区。随后，两名工艺技术员佩戴空气呼吸器紧固泄漏处螺栓，泄漏停止。17时50分，发现一名轮流关闭釜底泵进出口阀的员工昏迷在泄漏点下风处18.6米的地面上，该名员工经送医院抢救无效死亡。</w:t>
      </w:r>
    </w:p>
    <w:p w:rsidR="004F34D9" w:rsidRPr="00123108" w:rsidRDefault="004F34D9" w:rsidP="00D06780">
      <w:pPr>
        <w:spacing w:line="500" w:lineRule="exact"/>
        <w:ind w:firstLineChars="200" w:firstLine="560"/>
        <w:rPr>
          <w:rFonts w:ascii="宋体" w:hAnsi="宋体" w:cs="宋体"/>
          <w:sz w:val="28"/>
          <w:szCs w:val="28"/>
        </w:rPr>
      </w:pPr>
      <w:r w:rsidRPr="00123108">
        <w:rPr>
          <w:rFonts w:ascii="宋体" w:hAnsi="宋体" w:cs="宋体" w:hint="eastAsia"/>
          <w:sz w:val="28"/>
          <w:szCs w:val="28"/>
        </w:rPr>
        <w:t>事故原因：事故发生后，某石化公司立即向集团公司、炼油与化工分公司和地方政府进行了报告，并积极配合地方政府开展事故调查工作。经调查分析，认定事故的原因是脱轻组分塔釜底泵出口单向阀第一道法兰垫片因施工残留的石棉板被苯溶剂浸透冲出，致使法兰密封失效，大量苯发生泄漏。在关闭釜底泵阀门过程中，员工没有佩戴正压式空气呼吸器，只是配戴了巡检使用的防毒面具，防毒面具滤毒罐被高浓度苯击穿，且在撤离中晕倒在下风处，长时间接触苯，造成中毒致死。这起事故暴露出施工单位质量管理不严格，施工质量把关不严，监理单位不尽责，导致部分垫片安装质量不合格，为工程建设项目埋下安全隐患。但也暴露出建设单位部分员工应急知识掌握不全面，应急演练缺乏针对性，自 我保护意识和防护能力不强，在紧急情况下不能正确使用个人防护用品，造成事故后果扩大。教训深刻，代价沉重，必须引起各单位的高度重视和反思，坚决避免类似事故的发生。</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防范措施：（1）要迅速将这起事故通报到基层班组，结合集团公司《反违章禁令》和《HSE管理原则》，以及近期集团公司下发的《关于切实做好六十周年国庆期间</w:t>
      </w:r>
      <w:hyperlink r:id="rId22" w:tgtFrame="_blank" w:tooltip="安全信息网 安全生产信息网" w:history="1">
        <w:r w:rsidRPr="00123108">
          <w:rPr>
            <w:rFonts w:ascii="宋体" w:hAnsi="宋体" w:cs="宋体" w:hint="eastAsia"/>
            <w:sz w:val="28"/>
            <w:szCs w:val="28"/>
          </w:rPr>
          <w:t>安全生产</w:t>
        </w:r>
      </w:hyperlink>
      <w:r w:rsidRPr="00123108">
        <w:rPr>
          <w:rFonts w:ascii="宋体" w:hAnsi="宋体" w:cs="宋体" w:hint="eastAsia"/>
          <w:sz w:val="28"/>
          <w:szCs w:val="28"/>
        </w:rPr>
        <w:t>工作的通知》（安全[2009]516号）精神，发动岗位员工认真查找安全隐患，严肃查处违章指挥、违章操作和违反劳动纪律的行为，切实落实各项</w:t>
      </w:r>
      <w:hyperlink r:id="rId23" w:tgtFrame="_blank" w:tooltip="安全信息网 安全生产信息网" w:history="1">
        <w:r w:rsidRPr="00123108">
          <w:rPr>
            <w:rFonts w:ascii="宋体" w:hAnsi="宋体" w:cs="宋体" w:hint="eastAsia"/>
            <w:sz w:val="28"/>
            <w:szCs w:val="28"/>
          </w:rPr>
          <w:t>安全生产</w:t>
        </w:r>
      </w:hyperlink>
      <w:r w:rsidRPr="00123108">
        <w:rPr>
          <w:rFonts w:ascii="宋体" w:hAnsi="宋体" w:cs="宋体" w:hint="eastAsia"/>
          <w:sz w:val="28"/>
          <w:szCs w:val="28"/>
        </w:rPr>
        <w:t>治本措施，确保</w:t>
      </w:r>
      <w:hyperlink r:id="rId24" w:tgtFrame="_blank" w:tooltip="安全信息网 安全生产信息网" w:history="1">
        <w:r w:rsidRPr="00123108">
          <w:rPr>
            <w:rFonts w:ascii="宋体" w:hAnsi="宋体" w:cs="宋体" w:hint="eastAsia"/>
            <w:sz w:val="28"/>
            <w:szCs w:val="28"/>
          </w:rPr>
          <w:t>安全生产</w:t>
        </w:r>
      </w:hyperlink>
      <w:r w:rsidRPr="00123108">
        <w:rPr>
          <w:rFonts w:ascii="宋体" w:hAnsi="宋体" w:cs="宋体" w:hint="eastAsia"/>
          <w:sz w:val="28"/>
          <w:szCs w:val="28"/>
        </w:rPr>
        <w:t>。（2）要严格执行国家《工程建设质量管理条例》，切实加 强工程施工质量管理工作，从源头消除事故隐患。要强化施工现场质量管理，确保达到质量和安全标准。对所有项目都要实行质量负责制，对所有关键工序、步骤和环节，做到记录详尽、有据可查、责任到人，对出现质量问题的有关责任人员，要严肃处理， 决不姑息迁就。（3）要加强工程施工质量监督工作，制定科学、安全的施工工期，坚决杜绝随意压缩工期。要督促工程监理单位认真履行职责，选派具备相应</w:t>
      </w:r>
      <w:r w:rsidRPr="00123108">
        <w:rPr>
          <w:rFonts w:ascii="宋体" w:hAnsi="宋体" w:cs="宋体" w:hint="eastAsia"/>
          <w:sz w:val="28"/>
          <w:szCs w:val="28"/>
        </w:rPr>
        <w:lastRenderedPageBreak/>
        <w:t>资格的监理人员进驻施工现场进行监理，对于不认真履行职责的现场监理要及时清出，建设单位也要加强对 施工过程的监督检查。要认真组织工程建设项目验收，组织设计、施工、工程监理等有关单位严格按照国家和行业有关标准进行验收，及时整改发现的问题。（4）全面检查重点要害岗位个人防护用品和现场救援装备的配备情况和完好状况，确保在紧急情况下好用、够用。要进一步完善应急预案，制定演练计划，加强应急演练，提高应急处理﻿能力。加强应急救援知识培训，使员工熟悉岗位风险和现场有毒有害物料性质，增强自我防护意识。</w:t>
      </w:r>
    </w:p>
    <w:p w:rsidR="004F34D9" w:rsidRPr="00123108" w:rsidRDefault="004F34D9" w:rsidP="00D06780">
      <w:pPr>
        <w:spacing w:line="500" w:lineRule="exact"/>
        <w:ind w:firstLineChars="200" w:firstLine="562"/>
        <w:rPr>
          <w:rFonts w:ascii="宋体" w:hAnsi="宋体" w:cs="宋体" w:hint="eastAsia"/>
          <w:b/>
          <w:bCs/>
          <w:sz w:val="28"/>
          <w:szCs w:val="28"/>
        </w:rPr>
      </w:pPr>
      <w:r w:rsidRPr="00123108">
        <w:rPr>
          <w:rFonts w:ascii="宋体" w:hAnsi="宋体" w:cs="宋体" w:hint="eastAsia"/>
          <w:b/>
          <w:bCs/>
          <w:sz w:val="28"/>
          <w:szCs w:val="28"/>
        </w:rPr>
        <w:t>案例6：1，2-环氧丙烷中毒事故</w:t>
      </w:r>
    </w:p>
    <w:p w:rsidR="004F34D9" w:rsidRPr="00123108" w:rsidRDefault="004F34D9" w:rsidP="00D06780">
      <w:pPr>
        <w:spacing w:line="500" w:lineRule="exact"/>
        <w:ind w:firstLineChars="200" w:firstLine="560"/>
        <w:rPr>
          <w:rFonts w:ascii="宋体" w:hAnsi="宋体" w:hint="eastAsia"/>
          <w:sz w:val="28"/>
        </w:rPr>
      </w:pPr>
      <w:r w:rsidRPr="00123108">
        <w:rPr>
          <w:rFonts w:ascii="宋体" w:hAnsi="宋体" w:hint="eastAsia"/>
          <w:sz w:val="28"/>
        </w:rPr>
        <w:t>事故经过：2004年6月10日0时15分左右，位于太平村的金陵石化化工二厂内的“威尔化工”一车间，12名上夜班的工人，突然被一股刺鼻的异味呛得呼吸困难，喉咙发干，胃部难过。这一情况很快被车间领导得知，几分钟后，12名工人立即被送到了医院。从侧面得知12名工人是1，2-环氧丙烷中毒，其他一概不知。为了避免出现意外，医生只好根据1，2-环氧丙烷毒性对症下药。经留院观察后，12名工人身体均无异常，于凌晨两点返回单位继续上班。</w:t>
      </w:r>
    </w:p>
    <w:p w:rsidR="004F34D9" w:rsidRPr="00123108" w:rsidRDefault="004F34D9" w:rsidP="00D06780">
      <w:pPr>
        <w:spacing w:line="500" w:lineRule="exact"/>
        <w:ind w:firstLineChars="200" w:firstLine="560"/>
        <w:rPr>
          <w:rFonts w:ascii="宋体" w:hAnsi="宋体" w:hint="eastAsia"/>
          <w:sz w:val="28"/>
        </w:rPr>
      </w:pPr>
      <w:r w:rsidRPr="00123108">
        <w:rPr>
          <w:rFonts w:ascii="宋体" w:hAnsi="宋体" w:hint="eastAsia"/>
          <w:sz w:val="28"/>
        </w:rPr>
        <w:t>事故原因：金陵石化化工二厂1，2-环氧丙烷车间与“威尔化工”的车间靠得很近。当晚，1，2-环氧丙烷车间用高热蒸气清洗管道里的残余1，2-环氧丙烷，清洗出的1，2-环氧丙烷随着蒸气飘到邻近的“威尔化工”的车间里，导致12名职工中毒。</w:t>
      </w:r>
    </w:p>
    <w:p w:rsidR="004F34D9" w:rsidRPr="00123108" w:rsidRDefault="004F34D9" w:rsidP="00D06780">
      <w:pPr>
        <w:pStyle w:val="aff4"/>
        <w:spacing w:before="0" w:beforeAutospacing="0" w:after="0" w:afterAutospacing="0" w:line="500" w:lineRule="exact"/>
        <w:ind w:firstLineChars="200" w:firstLine="562"/>
        <w:rPr>
          <w:rFonts w:cs="宋体" w:hint="eastAsia"/>
          <w:b/>
          <w:bCs/>
          <w:sz w:val="28"/>
          <w:szCs w:val="28"/>
        </w:rPr>
      </w:pPr>
      <w:r w:rsidRPr="00123108">
        <w:rPr>
          <w:rFonts w:cs="宋体" w:hint="eastAsia"/>
          <w:b/>
          <w:bCs/>
          <w:sz w:val="28"/>
          <w:szCs w:val="28"/>
        </w:rPr>
        <w:t>案例7：液态烃泵泄漏事故</w:t>
      </w:r>
    </w:p>
    <w:p w:rsidR="004F34D9" w:rsidRPr="00123108" w:rsidRDefault="004F34D9" w:rsidP="00D06780">
      <w:pPr>
        <w:snapToGrid w:val="0"/>
        <w:spacing w:line="500" w:lineRule="exact"/>
        <w:ind w:firstLine="573"/>
        <w:rPr>
          <w:rFonts w:ascii="宋体" w:hAnsi="宋体" w:cs="Arial" w:hint="eastAsia"/>
          <w:sz w:val="28"/>
          <w:szCs w:val="28"/>
        </w:rPr>
      </w:pPr>
      <w:r w:rsidRPr="00123108">
        <w:rPr>
          <w:rFonts w:ascii="宋体" w:hAnsi="宋体" w:hint="eastAsia"/>
          <w:sz w:val="28"/>
        </w:rPr>
        <w:t>事故经过：</w:t>
      </w:r>
      <w:r w:rsidRPr="00123108">
        <w:rPr>
          <w:rFonts w:ascii="宋体" w:hAnsi="宋体" w:cs="Arial" w:hint="eastAsia"/>
          <w:sz w:val="28"/>
          <w:szCs w:val="28"/>
        </w:rPr>
        <w:t>2000年3月30日晚11：40，炼油厂一车间催化裂化装置发生因液态烃泵泄漏而引发的火灾事故。大火烧损装置精制区部分机泵、管线、仪表、构架等设施，造成直接经济损失77万余元，装置停工11天。</w:t>
      </w:r>
    </w:p>
    <w:p w:rsidR="004F34D9" w:rsidRPr="00123108" w:rsidRDefault="004F34D9" w:rsidP="00D06780">
      <w:pPr>
        <w:snapToGrid w:val="0"/>
        <w:spacing w:line="500" w:lineRule="exact"/>
        <w:ind w:firstLine="573"/>
        <w:rPr>
          <w:rFonts w:ascii="宋体" w:hAnsi="宋体" w:cs="Arial" w:hint="eastAsia"/>
          <w:sz w:val="28"/>
          <w:szCs w:val="28"/>
        </w:rPr>
      </w:pPr>
      <w:r w:rsidRPr="00123108">
        <w:rPr>
          <w:rFonts w:ascii="宋体" w:hAnsi="宋体" w:hint="eastAsia"/>
          <w:sz w:val="28"/>
        </w:rPr>
        <w:t>事故原因分析：</w:t>
      </w:r>
      <w:r w:rsidRPr="00123108">
        <w:rPr>
          <w:rFonts w:ascii="宋体" w:hAnsi="宋体" w:cs="Arial" w:hint="eastAsia"/>
          <w:sz w:val="28"/>
          <w:szCs w:val="28"/>
        </w:rPr>
        <w:t>这是公司建厂以来发生的最大一起事故，引发事故的直接原因是泵P-3201/A机械密封部位发生液化气泄漏。由于该泵未得到及时检修，带病运行5个多小时，同时因机泵润滑状况不良，引起轴承损坏，随后抱轴，泵轴温度骤然上升，泄漏出的液化气遇高温泵轴发生自燃，进一步</w:t>
      </w:r>
      <w:r w:rsidRPr="00123108">
        <w:rPr>
          <w:rFonts w:ascii="宋体" w:hAnsi="宋体" w:cs="Arial" w:hint="eastAsia"/>
          <w:sz w:val="28"/>
          <w:szCs w:val="28"/>
        </w:rPr>
        <w:lastRenderedPageBreak/>
        <w:t>造成机泵动平衡破坏，振动加剧，机泵出入口法兰垫片撕开，使大量液化气外泄，引发火灾。</w:t>
      </w:r>
    </w:p>
    <w:p w:rsidR="004F34D9" w:rsidRPr="00123108" w:rsidRDefault="004F34D9" w:rsidP="00D06780">
      <w:pPr>
        <w:snapToGrid w:val="0"/>
        <w:spacing w:line="500" w:lineRule="exact"/>
        <w:ind w:firstLine="573"/>
        <w:rPr>
          <w:rFonts w:ascii="宋体" w:hAnsi="宋体" w:cs="Arial" w:hint="eastAsia"/>
          <w:sz w:val="28"/>
          <w:szCs w:val="28"/>
        </w:rPr>
      </w:pPr>
      <w:r w:rsidRPr="00123108">
        <w:rPr>
          <w:rFonts w:ascii="宋体" w:hAnsi="宋体" w:cs="Arial" w:hint="eastAsia"/>
          <w:sz w:val="28"/>
          <w:szCs w:val="28"/>
        </w:rPr>
        <w:t>引发事故的主观原因：（1）、当班外操工汪某思想麻痹，未按外操的《安全生产责任制》第2.7.4条“做好机泵等设备的日常维护工作”的要求进行维护监控。（2）、检安公司机一车间值班人员谢某，已知液态烃泵发生泄漏，未按公司《设备使用和维护规范》中第4.3.2条“发现缺陷及时消除”的要求安排检修处理，也没有对存在严重隐患的设备进行重点监护。（3）、班长龚某未认真履行岗位职责，在外操汪某向其反映液化气泵泄漏问题后，未能按《岗位责任制》第2.9条“组织本班搞好设备维护保养工作，消除跑、冒、滴、漏”的要求，组织或督促岗位操作人员对泄漏的设备进行正确处理。（4）、车间副主任吴某，对炼油一车间催化裂化装置的安全生产负主要责任，但工作中未能认真执行《安全生产责任制》，对车间的安全生产没有严格管理，对操作人员的安全职责没有落到实处，尤其是对直接作业环节的管理标准不高，要求不严。（5）、炼油一车间值班干部值班职责不落实，没有主动对生产现场情况进行了解，车间领导对工艺、设备管理制度及岗位责任制的贯彻落实不到位。（6）、炼油厂、检安公司及公司有关职能部门，对各项规章制度的落实工作抓得不够。综上情况，这是一起由于岗位人员责任心不强，责任制不落实，工作不到位而引发的火灾事故。从深层次分析，又是由于各级管理人员管理不严，标准不高，在生产集约化程度提高的同时，管理工作未能及时跟上而引发的事故。</w:t>
      </w:r>
    </w:p>
    <w:p w:rsidR="004F34D9" w:rsidRPr="00123108" w:rsidRDefault="004F34D9" w:rsidP="00D06780">
      <w:pPr>
        <w:snapToGrid w:val="0"/>
        <w:spacing w:line="500" w:lineRule="exact"/>
        <w:ind w:firstLine="573"/>
        <w:rPr>
          <w:rFonts w:ascii="宋体" w:hAnsi="宋体" w:hint="eastAsia"/>
          <w:sz w:val="28"/>
        </w:rPr>
      </w:pPr>
      <w:r w:rsidRPr="00123108">
        <w:rPr>
          <w:rFonts w:ascii="宋体" w:hAnsi="宋体" w:hint="eastAsia"/>
          <w:sz w:val="28"/>
        </w:rPr>
        <w:t>事故</w:t>
      </w:r>
      <w:r w:rsidRPr="00123108">
        <w:rPr>
          <w:rFonts w:ascii="宋体" w:hAnsi="宋体" w:cs="Arial" w:hint="eastAsia"/>
          <w:sz w:val="28"/>
          <w:szCs w:val="28"/>
        </w:rPr>
        <w:t>教训：为使全公司职工永远记住这起事故教训，经公司安委会会议讨论，决定将公司“事故教训日”由“7.23”改为“3.30”。</w:t>
      </w:r>
    </w:p>
    <w:p w:rsidR="004F34D9" w:rsidRPr="00123108" w:rsidRDefault="004F34D9" w:rsidP="00D06780">
      <w:pPr>
        <w:spacing w:line="500" w:lineRule="exact"/>
        <w:ind w:firstLineChars="200" w:firstLine="560"/>
        <w:rPr>
          <w:rFonts w:ascii="宋体" w:hAnsi="宋体" w:hint="eastAsia"/>
          <w:sz w:val="28"/>
          <w:szCs w:val="28"/>
        </w:rPr>
      </w:pPr>
      <w:bookmarkStart w:id="1608" w:name="_Toc3809133"/>
      <w:r w:rsidRPr="00123108">
        <w:rPr>
          <w:rFonts w:ascii="宋体" w:hAnsi="宋体" w:hint="eastAsia"/>
          <w:sz w:val="28"/>
        </w:rPr>
        <w:t>以上事故案例所涉及的物料或设备或工艺等在本项目中都有涉及，所以项目在生产中要吸取以上案例的经验教训，严防事故的发生。</w:t>
      </w:r>
    </w:p>
    <w:p w:rsidR="004F34D9" w:rsidRPr="00123108" w:rsidRDefault="004F34D9" w:rsidP="00D06780">
      <w:pPr>
        <w:spacing w:line="500" w:lineRule="exact"/>
        <w:ind w:firstLineChars="200" w:firstLine="560"/>
        <w:rPr>
          <w:rFonts w:ascii="宋体" w:hAnsi="宋体"/>
          <w:sz w:val="28"/>
        </w:rPr>
      </w:pPr>
      <w:r w:rsidRPr="00123108">
        <w:rPr>
          <w:rFonts w:ascii="宋体" w:hAnsi="宋体" w:hint="eastAsia"/>
          <w:sz w:val="28"/>
          <w:szCs w:val="28"/>
        </w:rPr>
        <w:t>另据</w:t>
      </w:r>
      <w:r w:rsidRPr="00123108">
        <w:rPr>
          <w:rFonts w:ascii="宋体" w:hAnsi="宋体"/>
          <w:sz w:val="28"/>
        </w:rPr>
        <w:t>美国M &amp; M Protection Consultants. W. G Garrison编制的“世界石油化工企业近30年100起特大型火灾爆炸事故汇编</w:t>
      </w:r>
      <w:r w:rsidRPr="00123108">
        <w:rPr>
          <w:rFonts w:ascii="宋体" w:hAnsi="宋体" w:hint="eastAsia"/>
          <w:sz w:val="28"/>
        </w:rPr>
        <w:t>（</w:t>
      </w:r>
      <w:r w:rsidRPr="00123108">
        <w:rPr>
          <w:rFonts w:ascii="宋体" w:hAnsi="宋体"/>
          <w:sz w:val="28"/>
        </w:rPr>
        <w:t>11版</w:t>
      </w:r>
      <w:r w:rsidRPr="00123108">
        <w:rPr>
          <w:rFonts w:ascii="宋体" w:hAnsi="宋体" w:hint="eastAsia"/>
          <w:sz w:val="28"/>
        </w:rPr>
        <w:t>）</w:t>
      </w:r>
      <w:r w:rsidRPr="00123108">
        <w:rPr>
          <w:rFonts w:ascii="宋体" w:hAnsi="宋体"/>
          <w:sz w:val="28"/>
        </w:rPr>
        <w:t>”，汇编论述了近年来国外发生的损失超过1000万美元的特大型火灾爆炸事故，对这些事故进行分析，从中可以得到许多有益的规律，进行分析、借鉴。</w:t>
      </w:r>
    </w:p>
    <w:p w:rsidR="004F34D9" w:rsidRPr="00123108" w:rsidRDefault="004F34D9" w:rsidP="00D06780">
      <w:pPr>
        <w:spacing w:line="500" w:lineRule="exact"/>
        <w:ind w:firstLineChars="200" w:firstLine="560"/>
        <w:rPr>
          <w:rFonts w:ascii="宋体" w:hAnsi="宋体" w:hint="eastAsia"/>
          <w:sz w:val="28"/>
        </w:rPr>
      </w:pPr>
      <w:r w:rsidRPr="00123108">
        <w:rPr>
          <w:rFonts w:ascii="宋体" w:hAnsi="宋体"/>
          <w:sz w:val="28"/>
        </w:rPr>
        <w:lastRenderedPageBreak/>
        <w:t>按石油化工装置划分事故，根据</w:t>
      </w:r>
      <w:r w:rsidRPr="00123108">
        <w:rPr>
          <w:rFonts w:ascii="宋体" w:hAnsi="宋体" w:hint="eastAsia"/>
          <w:sz w:val="28"/>
        </w:rPr>
        <w:t>“</w:t>
      </w:r>
      <w:r w:rsidRPr="00123108">
        <w:rPr>
          <w:rFonts w:ascii="宋体" w:hAnsi="宋体"/>
          <w:sz w:val="28"/>
        </w:rPr>
        <w:t>世界石油化工企业近30年发生的100起特大型火灾爆炸事故</w:t>
      </w:r>
      <w:r w:rsidRPr="00123108">
        <w:rPr>
          <w:rFonts w:ascii="宋体" w:hAnsi="宋体" w:hint="eastAsia"/>
          <w:sz w:val="28"/>
        </w:rPr>
        <w:t>”</w:t>
      </w:r>
      <w:r w:rsidRPr="00123108">
        <w:rPr>
          <w:rFonts w:ascii="宋体" w:hAnsi="宋体"/>
          <w:sz w:val="28"/>
        </w:rPr>
        <w:t>可统计归纳出如下事故比率</w:t>
      </w:r>
      <w:r w:rsidRPr="00123108">
        <w:rPr>
          <w:rFonts w:ascii="宋体" w:hAnsi="宋体" w:hint="eastAsia"/>
          <w:sz w:val="28"/>
        </w:rPr>
        <w:t>下</w:t>
      </w:r>
      <w:r w:rsidRPr="00123108">
        <w:rPr>
          <w:rFonts w:ascii="宋体" w:hAnsi="宋体"/>
          <w:sz w:val="28"/>
        </w:rPr>
        <w:t>表。</w:t>
      </w:r>
    </w:p>
    <w:p w:rsidR="004F34D9" w:rsidRPr="00123108" w:rsidRDefault="004F34D9">
      <w:pPr>
        <w:spacing w:line="360" w:lineRule="auto"/>
        <w:jc w:val="center"/>
        <w:rPr>
          <w:rFonts w:ascii="宋体" w:hAnsi="宋体" w:cs="宋体" w:hint="eastAsia"/>
          <w:b/>
          <w:bCs/>
          <w:snapToGrid w:val="0"/>
          <w:kern w:val="0"/>
          <w:sz w:val="28"/>
          <w:szCs w:val="32"/>
        </w:rPr>
      </w:pPr>
      <w:r w:rsidRPr="00123108">
        <w:rPr>
          <w:rFonts w:ascii="宋体" w:hAnsi="宋体" w:cs="宋体" w:hint="eastAsia"/>
          <w:b/>
          <w:sz w:val="28"/>
          <w:szCs w:val="28"/>
        </w:rPr>
        <w:t>附表1.15-1</w:t>
      </w:r>
      <w:r w:rsidRPr="00123108">
        <w:rPr>
          <w:rFonts w:ascii="宋体" w:hAnsi="宋体" w:cs="宋体" w:hint="eastAsia"/>
          <w:b/>
          <w:bCs/>
          <w:snapToGrid w:val="0"/>
          <w:kern w:val="0"/>
          <w:sz w:val="28"/>
          <w:szCs w:val="32"/>
        </w:rPr>
        <w:t xml:space="preserve">  事故比率表</w:t>
      </w:r>
    </w:p>
    <w:tbl>
      <w:tblPr>
        <w:tblW w:w="0" w:type="auto"/>
        <w:jc w:val="center"/>
        <w:tblInd w:w="0" w:type="dxa"/>
        <w:tblBorders>
          <w:top w:val="thinThickSmallGap" w:sz="12" w:space="0" w:color="auto"/>
          <w:bottom w:val="thickThinSmallGap" w:sz="12" w:space="0" w:color="auto"/>
          <w:insideH w:val="single" w:sz="4" w:space="0" w:color="auto"/>
          <w:insideV w:val="single" w:sz="4" w:space="0" w:color="auto"/>
        </w:tblBorders>
        <w:tblLayout w:type="fixed"/>
        <w:tblLook w:val="0000" w:firstRow="0" w:lastRow="0" w:firstColumn="0" w:lastColumn="0" w:noHBand="0" w:noVBand="0"/>
      </w:tblPr>
      <w:tblGrid>
        <w:gridCol w:w="3118"/>
        <w:gridCol w:w="2880"/>
        <w:gridCol w:w="3060"/>
      </w:tblGrid>
      <w:tr w:rsidR="004F34D9" w:rsidRPr="00123108">
        <w:trPr>
          <w:jc w:val="center"/>
        </w:trPr>
        <w:tc>
          <w:tcPr>
            <w:tcW w:w="3118" w:type="dxa"/>
            <w:tcBorders>
              <w:top w:val="single" w:sz="4" w:space="0" w:color="auto"/>
              <w:lef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装置</w:t>
            </w:r>
          </w:p>
        </w:tc>
        <w:tc>
          <w:tcPr>
            <w:tcW w:w="2880" w:type="dxa"/>
            <w:tcBorders>
              <w:top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次数</w:t>
            </w:r>
          </w:p>
        </w:tc>
        <w:tc>
          <w:tcPr>
            <w:tcW w:w="3060" w:type="dxa"/>
            <w:tcBorders>
              <w:top w:val="single" w:sz="4" w:space="0" w:color="auto"/>
              <w:right w:val="single" w:sz="4" w:space="0" w:color="auto"/>
            </w:tcBorders>
            <w:vAlign w:val="center"/>
          </w:tcPr>
          <w:p w:rsidR="004F34D9" w:rsidRPr="00123108" w:rsidRDefault="004F34D9">
            <w:pPr>
              <w:adjustRightInd w:val="0"/>
              <w:snapToGrid w:val="0"/>
              <w:jc w:val="center"/>
              <w:rPr>
                <w:rFonts w:ascii="宋体" w:hAnsi="宋体" w:hint="eastAsia"/>
                <w:bCs/>
                <w:szCs w:val="21"/>
              </w:rPr>
            </w:pPr>
            <w:r w:rsidRPr="00123108">
              <w:rPr>
                <w:rFonts w:ascii="宋体" w:hAnsi="宋体"/>
                <w:bCs/>
                <w:szCs w:val="21"/>
              </w:rPr>
              <w:t>所占比例</w:t>
            </w:r>
            <w:r w:rsidRPr="00123108">
              <w:rPr>
                <w:rFonts w:ascii="宋体" w:hAnsi="宋体" w:hint="eastAsia"/>
                <w:bCs/>
                <w:szCs w:val="21"/>
              </w:rPr>
              <w:t>（</w:t>
            </w:r>
            <w:r w:rsidRPr="00123108">
              <w:rPr>
                <w:rFonts w:ascii="宋体" w:hAnsi="宋体"/>
                <w:bCs/>
                <w:szCs w:val="21"/>
              </w:rPr>
              <w:t>%</w:t>
            </w:r>
            <w:r w:rsidRPr="00123108">
              <w:rPr>
                <w:rFonts w:ascii="宋体" w:hAnsi="宋体" w:hint="eastAsia"/>
                <w:bCs/>
                <w:szCs w:val="21"/>
              </w:rPr>
              <w:t>）</w:t>
            </w:r>
          </w:p>
        </w:tc>
      </w:tr>
      <w:tr w:rsidR="004F34D9" w:rsidRPr="00123108">
        <w:trPr>
          <w:jc w:val="center"/>
        </w:trPr>
        <w:tc>
          <w:tcPr>
            <w:tcW w:w="3118" w:type="dxa"/>
            <w:tcBorders>
              <w:lef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烷基化</w:t>
            </w:r>
          </w:p>
        </w:tc>
        <w:tc>
          <w:tcPr>
            <w:tcW w:w="2880" w:type="dxa"/>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6</w:t>
            </w:r>
          </w:p>
        </w:tc>
        <w:tc>
          <w:tcPr>
            <w:tcW w:w="3060" w:type="dxa"/>
            <w:tcBorders>
              <w:righ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6.3</w:t>
            </w:r>
          </w:p>
        </w:tc>
      </w:tr>
      <w:tr w:rsidR="004F34D9" w:rsidRPr="00123108">
        <w:trPr>
          <w:jc w:val="center"/>
        </w:trPr>
        <w:tc>
          <w:tcPr>
            <w:tcW w:w="3118" w:type="dxa"/>
            <w:tcBorders>
              <w:lef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加氢</w:t>
            </w:r>
          </w:p>
        </w:tc>
        <w:tc>
          <w:tcPr>
            <w:tcW w:w="2880" w:type="dxa"/>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7</w:t>
            </w:r>
          </w:p>
        </w:tc>
        <w:tc>
          <w:tcPr>
            <w:tcW w:w="3060" w:type="dxa"/>
            <w:tcBorders>
              <w:righ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7.3</w:t>
            </w:r>
          </w:p>
        </w:tc>
      </w:tr>
      <w:tr w:rsidR="004F34D9" w:rsidRPr="00123108">
        <w:trPr>
          <w:jc w:val="center"/>
        </w:trPr>
        <w:tc>
          <w:tcPr>
            <w:tcW w:w="3118" w:type="dxa"/>
            <w:tcBorders>
              <w:lef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催化气分</w:t>
            </w:r>
          </w:p>
        </w:tc>
        <w:tc>
          <w:tcPr>
            <w:tcW w:w="2880" w:type="dxa"/>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7</w:t>
            </w:r>
          </w:p>
        </w:tc>
        <w:tc>
          <w:tcPr>
            <w:tcW w:w="3060" w:type="dxa"/>
            <w:tcBorders>
              <w:righ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7.3</w:t>
            </w:r>
          </w:p>
        </w:tc>
      </w:tr>
      <w:tr w:rsidR="004F34D9" w:rsidRPr="00123108">
        <w:trPr>
          <w:jc w:val="center"/>
        </w:trPr>
        <w:tc>
          <w:tcPr>
            <w:tcW w:w="3118" w:type="dxa"/>
            <w:tcBorders>
              <w:lef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焦化</w:t>
            </w:r>
          </w:p>
        </w:tc>
        <w:tc>
          <w:tcPr>
            <w:tcW w:w="2880" w:type="dxa"/>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4</w:t>
            </w:r>
          </w:p>
        </w:tc>
        <w:tc>
          <w:tcPr>
            <w:tcW w:w="3060" w:type="dxa"/>
            <w:tcBorders>
              <w:righ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4.2</w:t>
            </w:r>
          </w:p>
        </w:tc>
      </w:tr>
      <w:tr w:rsidR="004F34D9" w:rsidRPr="00123108">
        <w:trPr>
          <w:jc w:val="center"/>
        </w:trPr>
        <w:tc>
          <w:tcPr>
            <w:tcW w:w="3118" w:type="dxa"/>
            <w:tcBorders>
              <w:lef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溶剂脱沥青</w:t>
            </w:r>
          </w:p>
        </w:tc>
        <w:tc>
          <w:tcPr>
            <w:tcW w:w="2880" w:type="dxa"/>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3</w:t>
            </w:r>
          </w:p>
        </w:tc>
        <w:tc>
          <w:tcPr>
            <w:tcW w:w="3060" w:type="dxa"/>
            <w:tcBorders>
              <w:righ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3.16</w:t>
            </w:r>
          </w:p>
        </w:tc>
      </w:tr>
      <w:tr w:rsidR="004F34D9" w:rsidRPr="00123108">
        <w:trPr>
          <w:jc w:val="center"/>
        </w:trPr>
        <w:tc>
          <w:tcPr>
            <w:tcW w:w="3118" w:type="dxa"/>
            <w:tcBorders>
              <w:lef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蒸馏</w:t>
            </w:r>
          </w:p>
        </w:tc>
        <w:tc>
          <w:tcPr>
            <w:tcW w:w="2880" w:type="dxa"/>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3</w:t>
            </w:r>
          </w:p>
        </w:tc>
        <w:tc>
          <w:tcPr>
            <w:tcW w:w="3060" w:type="dxa"/>
            <w:tcBorders>
              <w:righ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3.16</w:t>
            </w:r>
          </w:p>
        </w:tc>
      </w:tr>
      <w:tr w:rsidR="004F34D9" w:rsidRPr="00123108">
        <w:trPr>
          <w:jc w:val="center"/>
        </w:trPr>
        <w:tc>
          <w:tcPr>
            <w:tcW w:w="3118" w:type="dxa"/>
            <w:tcBorders>
              <w:lef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罐区</w:t>
            </w:r>
          </w:p>
        </w:tc>
        <w:tc>
          <w:tcPr>
            <w:tcW w:w="2880" w:type="dxa"/>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16</w:t>
            </w:r>
          </w:p>
        </w:tc>
        <w:tc>
          <w:tcPr>
            <w:tcW w:w="3060" w:type="dxa"/>
            <w:tcBorders>
              <w:righ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16.8</w:t>
            </w:r>
          </w:p>
        </w:tc>
      </w:tr>
      <w:tr w:rsidR="004F34D9" w:rsidRPr="00123108">
        <w:trPr>
          <w:jc w:val="center"/>
        </w:trPr>
        <w:tc>
          <w:tcPr>
            <w:tcW w:w="3118" w:type="dxa"/>
            <w:tcBorders>
              <w:lef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油船</w:t>
            </w:r>
          </w:p>
        </w:tc>
        <w:tc>
          <w:tcPr>
            <w:tcW w:w="2880" w:type="dxa"/>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6</w:t>
            </w:r>
          </w:p>
        </w:tc>
        <w:tc>
          <w:tcPr>
            <w:tcW w:w="3060" w:type="dxa"/>
            <w:tcBorders>
              <w:righ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6.3</w:t>
            </w:r>
          </w:p>
        </w:tc>
      </w:tr>
      <w:tr w:rsidR="004F34D9" w:rsidRPr="00123108">
        <w:trPr>
          <w:jc w:val="center"/>
        </w:trPr>
        <w:tc>
          <w:tcPr>
            <w:tcW w:w="3118" w:type="dxa"/>
            <w:tcBorders>
              <w:lef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乙烯</w:t>
            </w:r>
          </w:p>
        </w:tc>
        <w:tc>
          <w:tcPr>
            <w:tcW w:w="2880" w:type="dxa"/>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7</w:t>
            </w:r>
          </w:p>
        </w:tc>
        <w:tc>
          <w:tcPr>
            <w:tcW w:w="3060" w:type="dxa"/>
            <w:tcBorders>
              <w:righ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7.3</w:t>
            </w:r>
          </w:p>
        </w:tc>
      </w:tr>
      <w:tr w:rsidR="004F34D9" w:rsidRPr="00123108">
        <w:trPr>
          <w:jc w:val="center"/>
        </w:trPr>
        <w:tc>
          <w:tcPr>
            <w:tcW w:w="3118" w:type="dxa"/>
            <w:tcBorders>
              <w:lef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乙烯加工</w:t>
            </w:r>
          </w:p>
        </w:tc>
        <w:tc>
          <w:tcPr>
            <w:tcW w:w="2880" w:type="dxa"/>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8</w:t>
            </w:r>
          </w:p>
        </w:tc>
        <w:tc>
          <w:tcPr>
            <w:tcW w:w="3060" w:type="dxa"/>
            <w:tcBorders>
              <w:righ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8.7</w:t>
            </w:r>
          </w:p>
        </w:tc>
      </w:tr>
      <w:tr w:rsidR="004F34D9" w:rsidRPr="00123108">
        <w:trPr>
          <w:jc w:val="center"/>
        </w:trPr>
        <w:tc>
          <w:tcPr>
            <w:tcW w:w="3118" w:type="dxa"/>
            <w:tcBorders>
              <w:lef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聚乙烯等塑胶</w:t>
            </w:r>
          </w:p>
        </w:tc>
        <w:tc>
          <w:tcPr>
            <w:tcW w:w="2880" w:type="dxa"/>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9</w:t>
            </w:r>
          </w:p>
        </w:tc>
        <w:tc>
          <w:tcPr>
            <w:tcW w:w="3060" w:type="dxa"/>
            <w:tcBorders>
              <w:righ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9.5</w:t>
            </w:r>
          </w:p>
        </w:tc>
      </w:tr>
      <w:tr w:rsidR="004F34D9" w:rsidRPr="00123108">
        <w:trPr>
          <w:jc w:val="center"/>
        </w:trPr>
        <w:tc>
          <w:tcPr>
            <w:tcW w:w="3118" w:type="dxa"/>
            <w:tcBorders>
              <w:lef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橡胶</w:t>
            </w:r>
          </w:p>
        </w:tc>
        <w:tc>
          <w:tcPr>
            <w:tcW w:w="2880" w:type="dxa"/>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1</w:t>
            </w:r>
          </w:p>
        </w:tc>
        <w:tc>
          <w:tcPr>
            <w:tcW w:w="3060" w:type="dxa"/>
            <w:tcBorders>
              <w:righ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1.1</w:t>
            </w:r>
          </w:p>
        </w:tc>
      </w:tr>
      <w:tr w:rsidR="004F34D9" w:rsidRPr="00123108">
        <w:trPr>
          <w:jc w:val="center"/>
        </w:trPr>
        <w:tc>
          <w:tcPr>
            <w:tcW w:w="3118" w:type="dxa"/>
            <w:tcBorders>
              <w:lef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天然气输送</w:t>
            </w:r>
          </w:p>
        </w:tc>
        <w:tc>
          <w:tcPr>
            <w:tcW w:w="2880" w:type="dxa"/>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8</w:t>
            </w:r>
          </w:p>
        </w:tc>
        <w:tc>
          <w:tcPr>
            <w:tcW w:w="3060" w:type="dxa"/>
            <w:tcBorders>
              <w:righ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8.4</w:t>
            </w:r>
          </w:p>
        </w:tc>
      </w:tr>
      <w:tr w:rsidR="004F34D9" w:rsidRPr="00123108">
        <w:trPr>
          <w:jc w:val="center"/>
        </w:trPr>
        <w:tc>
          <w:tcPr>
            <w:tcW w:w="3118" w:type="dxa"/>
            <w:tcBorders>
              <w:lef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合成氨</w:t>
            </w:r>
          </w:p>
        </w:tc>
        <w:tc>
          <w:tcPr>
            <w:tcW w:w="2880" w:type="dxa"/>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1</w:t>
            </w:r>
          </w:p>
        </w:tc>
        <w:tc>
          <w:tcPr>
            <w:tcW w:w="3060" w:type="dxa"/>
            <w:tcBorders>
              <w:righ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1.1</w:t>
            </w:r>
          </w:p>
        </w:tc>
      </w:tr>
      <w:tr w:rsidR="004F34D9" w:rsidRPr="00123108">
        <w:trPr>
          <w:jc w:val="center"/>
        </w:trPr>
        <w:tc>
          <w:tcPr>
            <w:tcW w:w="3118" w:type="dxa"/>
            <w:tcBorders>
              <w:left w:val="single" w:sz="4" w:space="0" w:color="auto"/>
              <w:bottom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电厂</w:t>
            </w:r>
          </w:p>
        </w:tc>
        <w:tc>
          <w:tcPr>
            <w:tcW w:w="2880" w:type="dxa"/>
            <w:tcBorders>
              <w:bottom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1</w:t>
            </w:r>
          </w:p>
        </w:tc>
        <w:tc>
          <w:tcPr>
            <w:tcW w:w="3060" w:type="dxa"/>
            <w:tcBorders>
              <w:bottom w:val="single" w:sz="4" w:space="0" w:color="auto"/>
              <w:right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1.1</w:t>
            </w:r>
          </w:p>
        </w:tc>
      </w:tr>
    </w:tbl>
    <w:p w:rsidR="004F34D9" w:rsidRPr="00123108" w:rsidRDefault="004F34D9">
      <w:pPr>
        <w:spacing w:line="360" w:lineRule="auto"/>
        <w:ind w:firstLineChars="200" w:firstLine="560"/>
        <w:rPr>
          <w:rFonts w:ascii="宋体" w:hAnsi="宋体"/>
          <w:sz w:val="28"/>
          <w:szCs w:val="28"/>
        </w:rPr>
      </w:pPr>
      <w:r w:rsidRPr="00123108">
        <w:rPr>
          <w:rFonts w:ascii="宋体" w:hAnsi="宋体"/>
          <w:sz w:val="28"/>
          <w:szCs w:val="28"/>
        </w:rPr>
        <w:t>从</w:t>
      </w:r>
      <w:r w:rsidRPr="00123108">
        <w:rPr>
          <w:rFonts w:ascii="宋体" w:hAnsi="宋体" w:hint="eastAsia"/>
          <w:sz w:val="28"/>
          <w:szCs w:val="28"/>
        </w:rPr>
        <w:t>附表1.15-1</w:t>
      </w:r>
      <w:r w:rsidRPr="00123108">
        <w:rPr>
          <w:rFonts w:ascii="宋体" w:hAnsi="宋体"/>
          <w:sz w:val="28"/>
          <w:szCs w:val="28"/>
        </w:rPr>
        <w:t>中可以清楚地知道罐区是发生火灾爆炸</w:t>
      </w:r>
      <w:r w:rsidRPr="00123108">
        <w:rPr>
          <w:rFonts w:ascii="宋体" w:hAnsi="宋体" w:hint="eastAsia"/>
          <w:sz w:val="28"/>
          <w:szCs w:val="28"/>
        </w:rPr>
        <w:t>事故</w:t>
      </w:r>
      <w:r w:rsidRPr="00123108">
        <w:rPr>
          <w:rFonts w:ascii="宋体" w:hAnsi="宋体"/>
          <w:sz w:val="28"/>
          <w:szCs w:val="28"/>
        </w:rPr>
        <w:t>的比例最高</w:t>
      </w:r>
      <w:r w:rsidRPr="00123108">
        <w:rPr>
          <w:rFonts w:ascii="宋体" w:hAnsi="宋体" w:hint="eastAsia"/>
          <w:sz w:val="28"/>
          <w:szCs w:val="28"/>
        </w:rPr>
        <w:t>。</w:t>
      </w:r>
      <w:r w:rsidRPr="00123108">
        <w:rPr>
          <w:rFonts w:ascii="宋体" w:hAnsi="宋体"/>
          <w:sz w:val="28"/>
          <w:szCs w:val="28"/>
        </w:rPr>
        <w:t>如果按事故原因进行分析，则得出</w:t>
      </w:r>
      <w:r w:rsidRPr="00123108">
        <w:rPr>
          <w:rFonts w:ascii="宋体" w:hAnsi="宋体" w:hint="eastAsia"/>
          <w:sz w:val="28"/>
          <w:szCs w:val="28"/>
        </w:rPr>
        <w:t>下表</w:t>
      </w:r>
      <w:r w:rsidRPr="00123108">
        <w:rPr>
          <w:rFonts w:ascii="宋体" w:hAnsi="宋体"/>
          <w:sz w:val="28"/>
          <w:szCs w:val="28"/>
        </w:rPr>
        <w:t>所列结果。</w:t>
      </w:r>
    </w:p>
    <w:p w:rsidR="004F34D9" w:rsidRPr="00123108" w:rsidRDefault="004F34D9">
      <w:pPr>
        <w:spacing w:line="360" w:lineRule="auto"/>
        <w:jc w:val="center"/>
        <w:rPr>
          <w:rFonts w:ascii="宋体" w:hAnsi="宋体" w:cs="宋体" w:hint="eastAsia"/>
          <w:b/>
          <w:bCs/>
          <w:szCs w:val="21"/>
        </w:rPr>
      </w:pPr>
      <w:r w:rsidRPr="00123108">
        <w:rPr>
          <w:rFonts w:ascii="宋体" w:hAnsi="宋体" w:cs="宋体" w:hint="eastAsia"/>
          <w:b/>
          <w:sz w:val="28"/>
          <w:szCs w:val="28"/>
        </w:rPr>
        <w:t>附表1.15-2</w:t>
      </w:r>
      <w:r w:rsidRPr="00123108">
        <w:rPr>
          <w:rFonts w:ascii="宋体" w:hAnsi="宋体" w:cs="宋体" w:hint="eastAsia"/>
          <w:b/>
          <w:bCs/>
          <w:sz w:val="28"/>
          <w:szCs w:val="28"/>
        </w:rPr>
        <w:t xml:space="preserve">  按事故原因分类的事故频率分布表</w:t>
      </w:r>
    </w:p>
    <w:tbl>
      <w:tblPr>
        <w:tblW w:w="0" w:type="auto"/>
        <w:jc w:val="center"/>
        <w:tblInd w:w="0" w:type="dxa"/>
        <w:tblBorders>
          <w:top w:val="thinThickSmallGap" w:sz="12" w:space="0" w:color="auto"/>
          <w:bottom w:val="thickThinSmallGap" w:sz="12" w:space="0" w:color="auto"/>
          <w:insideH w:val="single" w:sz="4" w:space="0" w:color="auto"/>
          <w:insideV w:val="single" w:sz="4" w:space="0" w:color="auto"/>
        </w:tblBorders>
        <w:tblLayout w:type="fixed"/>
        <w:tblLook w:val="0000" w:firstRow="0" w:lastRow="0" w:firstColumn="0" w:lastColumn="0" w:noHBand="0" w:noVBand="0"/>
      </w:tblPr>
      <w:tblGrid>
        <w:gridCol w:w="755"/>
        <w:gridCol w:w="2381"/>
        <w:gridCol w:w="2065"/>
        <w:gridCol w:w="1812"/>
        <w:gridCol w:w="1812"/>
      </w:tblGrid>
      <w:tr w:rsidR="004F34D9" w:rsidRPr="00123108">
        <w:trPr>
          <w:jc w:val="center"/>
        </w:trPr>
        <w:tc>
          <w:tcPr>
            <w:tcW w:w="755" w:type="dxa"/>
            <w:tcBorders>
              <w:top w:val="single" w:sz="4" w:space="0" w:color="auto"/>
              <w:left w:val="single" w:sz="4" w:space="0" w:color="auto"/>
            </w:tcBorders>
          </w:tcPr>
          <w:p w:rsidR="004F34D9" w:rsidRPr="00123108" w:rsidRDefault="004F34D9">
            <w:pPr>
              <w:adjustRightInd w:val="0"/>
              <w:snapToGrid w:val="0"/>
              <w:jc w:val="center"/>
              <w:rPr>
                <w:rFonts w:ascii="宋体" w:hAnsi="宋体"/>
                <w:bCs/>
                <w:szCs w:val="21"/>
              </w:rPr>
            </w:pPr>
            <w:r w:rsidRPr="00123108">
              <w:rPr>
                <w:rFonts w:ascii="宋体" w:hAnsi="宋体"/>
                <w:bCs/>
                <w:szCs w:val="21"/>
              </w:rPr>
              <w:t>序号</w:t>
            </w:r>
          </w:p>
        </w:tc>
        <w:tc>
          <w:tcPr>
            <w:tcW w:w="2381" w:type="dxa"/>
            <w:tcBorders>
              <w:top w:val="single" w:sz="4" w:space="0" w:color="auto"/>
            </w:tcBorders>
          </w:tcPr>
          <w:p w:rsidR="004F34D9" w:rsidRPr="00123108" w:rsidRDefault="004F34D9">
            <w:pPr>
              <w:adjustRightInd w:val="0"/>
              <w:snapToGrid w:val="0"/>
              <w:jc w:val="center"/>
              <w:rPr>
                <w:rFonts w:ascii="宋体" w:hAnsi="宋体"/>
                <w:bCs/>
                <w:szCs w:val="21"/>
              </w:rPr>
            </w:pPr>
            <w:r w:rsidRPr="00123108">
              <w:rPr>
                <w:rFonts w:ascii="宋体" w:hAnsi="宋体"/>
                <w:bCs/>
                <w:szCs w:val="21"/>
              </w:rPr>
              <w:t>事故原因</w:t>
            </w:r>
          </w:p>
        </w:tc>
        <w:tc>
          <w:tcPr>
            <w:tcW w:w="2065" w:type="dxa"/>
            <w:tcBorders>
              <w:top w:val="single" w:sz="4" w:space="0" w:color="auto"/>
            </w:tcBorders>
          </w:tcPr>
          <w:p w:rsidR="004F34D9" w:rsidRPr="00123108" w:rsidRDefault="004F34D9">
            <w:pPr>
              <w:adjustRightInd w:val="0"/>
              <w:snapToGrid w:val="0"/>
              <w:jc w:val="center"/>
              <w:rPr>
                <w:rFonts w:ascii="宋体" w:hAnsi="宋体" w:hint="eastAsia"/>
                <w:bCs/>
                <w:szCs w:val="21"/>
              </w:rPr>
            </w:pPr>
            <w:r w:rsidRPr="00123108">
              <w:rPr>
                <w:rFonts w:ascii="宋体" w:hAnsi="宋体"/>
                <w:bCs/>
                <w:szCs w:val="21"/>
              </w:rPr>
              <w:t>事故频率数</w:t>
            </w:r>
            <w:r w:rsidRPr="00123108">
              <w:rPr>
                <w:rFonts w:ascii="宋体" w:hAnsi="宋体" w:hint="eastAsia"/>
                <w:bCs/>
                <w:szCs w:val="21"/>
              </w:rPr>
              <w:t>（</w:t>
            </w:r>
            <w:r w:rsidRPr="00123108">
              <w:rPr>
                <w:rFonts w:ascii="宋体" w:hAnsi="宋体"/>
                <w:bCs/>
                <w:szCs w:val="21"/>
              </w:rPr>
              <w:t>件</w:t>
            </w:r>
            <w:r w:rsidRPr="00123108">
              <w:rPr>
                <w:rFonts w:ascii="宋体" w:hAnsi="宋体" w:hint="eastAsia"/>
                <w:bCs/>
                <w:szCs w:val="21"/>
              </w:rPr>
              <w:t>）</w:t>
            </w:r>
          </w:p>
        </w:tc>
        <w:tc>
          <w:tcPr>
            <w:tcW w:w="1812" w:type="dxa"/>
            <w:tcBorders>
              <w:top w:val="single" w:sz="4" w:space="0" w:color="auto"/>
            </w:tcBorders>
          </w:tcPr>
          <w:p w:rsidR="004F34D9" w:rsidRPr="00123108" w:rsidRDefault="004F34D9">
            <w:pPr>
              <w:adjustRightInd w:val="0"/>
              <w:snapToGrid w:val="0"/>
              <w:jc w:val="center"/>
              <w:rPr>
                <w:rFonts w:ascii="宋体" w:hAnsi="宋体" w:hint="eastAsia"/>
                <w:bCs/>
                <w:szCs w:val="21"/>
              </w:rPr>
            </w:pPr>
            <w:r w:rsidRPr="00123108">
              <w:rPr>
                <w:rFonts w:ascii="宋体" w:hAnsi="宋体"/>
                <w:bCs/>
                <w:szCs w:val="21"/>
              </w:rPr>
              <w:t>事故频率</w:t>
            </w:r>
            <w:r w:rsidRPr="00123108">
              <w:rPr>
                <w:rFonts w:ascii="宋体" w:hAnsi="宋体" w:hint="eastAsia"/>
                <w:bCs/>
                <w:szCs w:val="21"/>
              </w:rPr>
              <w:t>（</w:t>
            </w:r>
            <w:r w:rsidRPr="00123108">
              <w:rPr>
                <w:rFonts w:ascii="宋体" w:hAnsi="宋体"/>
                <w:bCs/>
                <w:szCs w:val="21"/>
              </w:rPr>
              <w:t>%</w:t>
            </w:r>
            <w:r w:rsidRPr="00123108">
              <w:rPr>
                <w:rFonts w:ascii="宋体" w:hAnsi="宋体" w:hint="eastAsia"/>
                <w:bCs/>
                <w:szCs w:val="21"/>
              </w:rPr>
              <w:t>）</w:t>
            </w:r>
          </w:p>
        </w:tc>
        <w:tc>
          <w:tcPr>
            <w:tcW w:w="1812" w:type="dxa"/>
            <w:tcBorders>
              <w:top w:val="single" w:sz="4" w:space="0" w:color="auto"/>
              <w:right w:val="single" w:sz="4" w:space="0" w:color="auto"/>
            </w:tcBorders>
          </w:tcPr>
          <w:p w:rsidR="004F34D9" w:rsidRPr="00123108" w:rsidRDefault="004F34D9">
            <w:pPr>
              <w:adjustRightInd w:val="0"/>
              <w:snapToGrid w:val="0"/>
              <w:jc w:val="center"/>
              <w:rPr>
                <w:rFonts w:ascii="宋体" w:hAnsi="宋体"/>
                <w:bCs/>
                <w:szCs w:val="21"/>
              </w:rPr>
            </w:pPr>
            <w:r w:rsidRPr="00123108">
              <w:rPr>
                <w:rFonts w:ascii="宋体" w:hAnsi="宋体"/>
                <w:bCs/>
                <w:szCs w:val="21"/>
              </w:rPr>
              <w:t>所占比例顺序</w:t>
            </w:r>
          </w:p>
        </w:tc>
      </w:tr>
      <w:tr w:rsidR="004F34D9" w:rsidRPr="00123108">
        <w:trPr>
          <w:jc w:val="center"/>
        </w:trPr>
        <w:tc>
          <w:tcPr>
            <w:tcW w:w="755" w:type="dxa"/>
            <w:tcBorders>
              <w:left w:val="single" w:sz="4" w:space="0" w:color="auto"/>
            </w:tcBorders>
          </w:tcPr>
          <w:p w:rsidR="004F34D9" w:rsidRPr="00123108" w:rsidRDefault="004F34D9">
            <w:pPr>
              <w:adjustRightInd w:val="0"/>
              <w:snapToGrid w:val="0"/>
              <w:jc w:val="center"/>
              <w:rPr>
                <w:rFonts w:ascii="宋体" w:hAnsi="宋体"/>
                <w:bCs/>
                <w:szCs w:val="21"/>
              </w:rPr>
            </w:pPr>
            <w:r w:rsidRPr="00123108">
              <w:rPr>
                <w:rFonts w:ascii="宋体" w:hAnsi="宋体"/>
                <w:bCs/>
                <w:szCs w:val="21"/>
              </w:rPr>
              <w:t>1</w:t>
            </w:r>
          </w:p>
        </w:tc>
        <w:tc>
          <w:tcPr>
            <w:tcW w:w="2381" w:type="dxa"/>
            <w:vAlign w:val="center"/>
          </w:tcPr>
          <w:p w:rsidR="004F34D9" w:rsidRPr="00123108" w:rsidRDefault="004F34D9">
            <w:pPr>
              <w:pStyle w:val="af6"/>
              <w:snapToGrid w:val="0"/>
              <w:jc w:val="center"/>
              <w:rPr>
                <w:bCs/>
                <w:sz w:val="21"/>
                <w:szCs w:val="21"/>
              </w:rPr>
            </w:pPr>
            <w:r w:rsidRPr="00123108">
              <w:rPr>
                <w:bCs/>
                <w:sz w:val="21"/>
                <w:szCs w:val="21"/>
              </w:rPr>
              <w:t>阀门、管线泄漏</w:t>
            </w:r>
          </w:p>
        </w:tc>
        <w:tc>
          <w:tcPr>
            <w:tcW w:w="2065" w:type="dxa"/>
          </w:tcPr>
          <w:p w:rsidR="004F34D9" w:rsidRPr="00123108" w:rsidRDefault="004F34D9">
            <w:pPr>
              <w:adjustRightInd w:val="0"/>
              <w:snapToGrid w:val="0"/>
              <w:jc w:val="center"/>
              <w:rPr>
                <w:rFonts w:ascii="宋体" w:hAnsi="宋体"/>
                <w:bCs/>
                <w:szCs w:val="21"/>
              </w:rPr>
            </w:pPr>
            <w:r w:rsidRPr="00123108">
              <w:rPr>
                <w:rFonts w:ascii="宋体" w:hAnsi="宋体"/>
                <w:bCs/>
                <w:szCs w:val="21"/>
              </w:rPr>
              <w:t>34</w:t>
            </w:r>
          </w:p>
        </w:tc>
        <w:tc>
          <w:tcPr>
            <w:tcW w:w="1812" w:type="dxa"/>
          </w:tcPr>
          <w:p w:rsidR="004F34D9" w:rsidRPr="00123108" w:rsidRDefault="004F34D9">
            <w:pPr>
              <w:adjustRightInd w:val="0"/>
              <w:snapToGrid w:val="0"/>
              <w:jc w:val="center"/>
              <w:rPr>
                <w:rFonts w:ascii="宋体" w:hAnsi="宋体"/>
                <w:bCs/>
                <w:szCs w:val="21"/>
              </w:rPr>
            </w:pPr>
            <w:r w:rsidRPr="00123108">
              <w:rPr>
                <w:rFonts w:ascii="宋体" w:hAnsi="宋体"/>
                <w:bCs/>
                <w:szCs w:val="21"/>
              </w:rPr>
              <w:t>35.1</w:t>
            </w:r>
          </w:p>
        </w:tc>
        <w:tc>
          <w:tcPr>
            <w:tcW w:w="1812" w:type="dxa"/>
            <w:tcBorders>
              <w:right w:val="single" w:sz="4" w:space="0" w:color="auto"/>
            </w:tcBorders>
          </w:tcPr>
          <w:p w:rsidR="004F34D9" w:rsidRPr="00123108" w:rsidRDefault="004F34D9">
            <w:pPr>
              <w:adjustRightInd w:val="0"/>
              <w:snapToGrid w:val="0"/>
              <w:jc w:val="center"/>
              <w:rPr>
                <w:rFonts w:ascii="宋体" w:hAnsi="宋体"/>
                <w:bCs/>
                <w:szCs w:val="21"/>
              </w:rPr>
            </w:pPr>
            <w:r w:rsidRPr="00123108">
              <w:rPr>
                <w:rFonts w:ascii="宋体" w:hAnsi="宋体"/>
                <w:bCs/>
                <w:szCs w:val="21"/>
              </w:rPr>
              <w:t>1</w:t>
            </w:r>
          </w:p>
        </w:tc>
      </w:tr>
      <w:tr w:rsidR="004F34D9" w:rsidRPr="00123108">
        <w:trPr>
          <w:jc w:val="center"/>
        </w:trPr>
        <w:tc>
          <w:tcPr>
            <w:tcW w:w="755" w:type="dxa"/>
            <w:tcBorders>
              <w:left w:val="single" w:sz="4" w:space="0" w:color="auto"/>
            </w:tcBorders>
          </w:tcPr>
          <w:p w:rsidR="004F34D9" w:rsidRPr="00123108" w:rsidRDefault="004F34D9">
            <w:pPr>
              <w:adjustRightInd w:val="0"/>
              <w:snapToGrid w:val="0"/>
              <w:jc w:val="center"/>
              <w:rPr>
                <w:rFonts w:ascii="宋体" w:hAnsi="宋体"/>
                <w:bCs/>
                <w:szCs w:val="21"/>
              </w:rPr>
            </w:pPr>
            <w:r w:rsidRPr="00123108">
              <w:rPr>
                <w:rFonts w:ascii="宋体" w:hAnsi="宋体"/>
                <w:bCs/>
                <w:szCs w:val="21"/>
              </w:rPr>
              <w:t>2</w:t>
            </w:r>
          </w:p>
        </w:tc>
        <w:tc>
          <w:tcPr>
            <w:tcW w:w="2381" w:type="dxa"/>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泵、设备故障</w:t>
            </w:r>
          </w:p>
        </w:tc>
        <w:tc>
          <w:tcPr>
            <w:tcW w:w="2065" w:type="dxa"/>
          </w:tcPr>
          <w:p w:rsidR="004F34D9" w:rsidRPr="00123108" w:rsidRDefault="004F34D9">
            <w:pPr>
              <w:adjustRightInd w:val="0"/>
              <w:snapToGrid w:val="0"/>
              <w:jc w:val="center"/>
              <w:rPr>
                <w:rFonts w:ascii="宋体" w:hAnsi="宋体"/>
                <w:bCs/>
                <w:szCs w:val="21"/>
              </w:rPr>
            </w:pPr>
            <w:r w:rsidRPr="00123108">
              <w:rPr>
                <w:rFonts w:ascii="宋体" w:hAnsi="宋体"/>
                <w:bCs/>
                <w:szCs w:val="21"/>
              </w:rPr>
              <w:t>18</w:t>
            </w:r>
          </w:p>
        </w:tc>
        <w:tc>
          <w:tcPr>
            <w:tcW w:w="1812" w:type="dxa"/>
          </w:tcPr>
          <w:p w:rsidR="004F34D9" w:rsidRPr="00123108" w:rsidRDefault="004F34D9">
            <w:pPr>
              <w:adjustRightInd w:val="0"/>
              <w:snapToGrid w:val="0"/>
              <w:jc w:val="center"/>
              <w:rPr>
                <w:rFonts w:ascii="宋体" w:hAnsi="宋体"/>
                <w:bCs/>
                <w:szCs w:val="21"/>
              </w:rPr>
            </w:pPr>
            <w:r w:rsidRPr="00123108">
              <w:rPr>
                <w:rFonts w:ascii="宋体" w:hAnsi="宋体"/>
                <w:bCs/>
                <w:szCs w:val="21"/>
              </w:rPr>
              <w:t>18.2</w:t>
            </w:r>
          </w:p>
        </w:tc>
        <w:tc>
          <w:tcPr>
            <w:tcW w:w="1812" w:type="dxa"/>
            <w:tcBorders>
              <w:right w:val="single" w:sz="4" w:space="0" w:color="auto"/>
            </w:tcBorders>
          </w:tcPr>
          <w:p w:rsidR="004F34D9" w:rsidRPr="00123108" w:rsidRDefault="004F34D9">
            <w:pPr>
              <w:adjustRightInd w:val="0"/>
              <w:snapToGrid w:val="0"/>
              <w:jc w:val="center"/>
              <w:rPr>
                <w:rFonts w:ascii="宋体" w:hAnsi="宋体"/>
                <w:bCs/>
                <w:szCs w:val="21"/>
              </w:rPr>
            </w:pPr>
            <w:r w:rsidRPr="00123108">
              <w:rPr>
                <w:rFonts w:ascii="宋体" w:hAnsi="宋体"/>
                <w:bCs/>
                <w:szCs w:val="21"/>
              </w:rPr>
              <w:t>2</w:t>
            </w:r>
          </w:p>
        </w:tc>
      </w:tr>
      <w:tr w:rsidR="004F34D9" w:rsidRPr="00123108">
        <w:trPr>
          <w:jc w:val="center"/>
        </w:trPr>
        <w:tc>
          <w:tcPr>
            <w:tcW w:w="755" w:type="dxa"/>
            <w:tcBorders>
              <w:left w:val="single" w:sz="4" w:space="0" w:color="auto"/>
            </w:tcBorders>
          </w:tcPr>
          <w:p w:rsidR="004F34D9" w:rsidRPr="00123108" w:rsidRDefault="004F34D9">
            <w:pPr>
              <w:adjustRightInd w:val="0"/>
              <w:snapToGrid w:val="0"/>
              <w:jc w:val="center"/>
              <w:rPr>
                <w:rFonts w:ascii="宋体" w:hAnsi="宋体"/>
                <w:bCs/>
                <w:szCs w:val="21"/>
              </w:rPr>
            </w:pPr>
            <w:r w:rsidRPr="00123108">
              <w:rPr>
                <w:rFonts w:ascii="宋体" w:hAnsi="宋体"/>
                <w:bCs/>
                <w:szCs w:val="21"/>
              </w:rPr>
              <w:t>3</w:t>
            </w:r>
          </w:p>
        </w:tc>
        <w:tc>
          <w:tcPr>
            <w:tcW w:w="2381" w:type="dxa"/>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操作失误</w:t>
            </w:r>
          </w:p>
        </w:tc>
        <w:tc>
          <w:tcPr>
            <w:tcW w:w="2065" w:type="dxa"/>
          </w:tcPr>
          <w:p w:rsidR="004F34D9" w:rsidRPr="00123108" w:rsidRDefault="004F34D9">
            <w:pPr>
              <w:adjustRightInd w:val="0"/>
              <w:snapToGrid w:val="0"/>
              <w:jc w:val="center"/>
              <w:rPr>
                <w:rFonts w:ascii="宋体" w:hAnsi="宋体"/>
                <w:bCs/>
                <w:szCs w:val="21"/>
              </w:rPr>
            </w:pPr>
            <w:r w:rsidRPr="00123108">
              <w:rPr>
                <w:rFonts w:ascii="宋体" w:hAnsi="宋体"/>
                <w:bCs/>
                <w:szCs w:val="21"/>
              </w:rPr>
              <w:t>15</w:t>
            </w:r>
          </w:p>
        </w:tc>
        <w:tc>
          <w:tcPr>
            <w:tcW w:w="1812" w:type="dxa"/>
          </w:tcPr>
          <w:p w:rsidR="004F34D9" w:rsidRPr="00123108" w:rsidRDefault="004F34D9">
            <w:pPr>
              <w:adjustRightInd w:val="0"/>
              <w:snapToGrid w:val="0"/>
              <w:jc w:val="center"/>
              <w:rPr>
                <w:rFonts w:ascii="宋体" w:hAnsi="宋体"/>
                <w:bCs/>
                <w:szCs w:val="21"/>
              </w:rPr>
            </w:pPr>
            <w:r w:rsidRPr="00123108">
              <w:rPr>
                <w:rFonts w:ascii="宋体" w:hAnsi="宋体"/>
                <w:bCs/>
                <w:szCs w:val="21"/>
              </w:rPr>
              <w:t>15.6</w:t>
            </w:r>
          </w:p>
        </w:tc>
        <w:tc>
          <w:tcPr>
            <w:tcW w:w="1812" w:type="dxa"/>
            <w:tcBorders>
              <w:right w:val="single" w:sz="4" w:space="0" w:color="auto"/>
            </w:tcBorders>
          </w:tcPr>
          <w:p w:rsidR="004F34D9" w:rsidRPr="00123108" w:rsidRDefault="004F34D9">
            <w:pPr>
              <w:adjustRightInd w:val="0"/>
              <w:snapToGrid w:val="0"/>
              <w:jc w:val="center"/>
              <w:rPr>
                <w:rFonts w:ascii="宋体" w:hAnsi="宋体"/>
                <w:bCs/>
                <w:szCs w:val="21"/>
              </w:rPr>
            </w:pPr>
            <w:r w:rsidRPr="00123108">
              <w:rPr>
                <w:rFonts w:ascii="宋体" w:hAnsi="宋体"/>
                <w:bCs/>
                <w:szCs w:val="21"/>
              </w:rPr>
              <w:t>3</w:t>
            </w:r>
          </w:p>
        </w:tc>
      </w:tr>
      <w:tr w:rsidR="004F34D9" w:rsidRPr="00123108">
        <w:trPr>
          <w:jc w:val="center"/>
        </w:trPr>
        <w:tc>
          <w:tcPr>
            <w:tcW w:w="755" w:type="dxa"/>
            <w:tcBorders>
              <w:left w:val="single" w:sz="4" w:space="0" w:color="auto"/>
            </w:tcBorders>
          </w:tcPr>
          <w:p w:rsidR="004F34D9" w:rsidRPr="00123108" w:rsidRDefault="004F34D9">
            <w:pPr>
              <w:adjustRightInd w:val="0"/>
              <w:snapToGrid w:val="0"/>
              <w:jc w:val="center"/>
              <w:rPr>
                <w:rFonts w:ascii="宋体" w:hAnsi="宋体"/>
                <w:bCs/>
                <w:szCs w:val="21"/>
              </w:rPr>
            </w:pPr>
            <w:r w:rsidRPr="00123108">
              <w:rPr>
                <w:rFonts w:ascii="宋体" w:hAnsi="宋体"/>
                <w:bCs/>
                <w:szCs w:val="21"/>
              </w:rPr>
              <w:t>4</w:t>
            </w:r>
          </w:p>
        </w:tc>
        <w:tc>
          <w:tcPr>
            <w:tcW w:w="2381" w:type="dxa"/>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仪表、电气失控</w:t>
            </w:r>
          </w:p>
        </w:tc>
        <w:tc>
          <w:tcPr>
            <w:tcW w:w="2065" w:type="dxa"/>
          </w:tcPr>
          <w:p w:rsidR="004F34D9" w:rsidRPr="00123108" w:rsidRDefault="004F34D9">
            <w:pPr>
              <w:adjustRightInd w:val="0"/>
              <w:snapToGrid w:val="0"/>
              <w:jc w:val="center"/>
              <w:rPr>
                <w:rFonts w:ascii="宋体" w:hAnsi="宋体"/>
                <w:bCs/>
                <w:szCs w:val="21"/>
              </w:rPr>
            </w:pPr>
            <w:r w:rsidRPr="00123108">
              <w:rPr>
                <w:rFonts w:ascii="宋体" w:hAnsi="宋体"/>
                <w:bCs/>
                <w:szCs w:val="21"/>
              </w:rPr>
              <w:t>12</w:t>
            </w:r>
          </w:p>
        </w:tc>
        <w:tc>
          <w:tcPr>
            <w:tcW w:w="1812" w:type="dxa"/>
          </w:tcPr>
          <w:p w:rsidR="004F34D9" w:rsidRPr="00123108" w:rsidRDefault="004F34D9">
            <w:pPr>
              <w:adjustRightInd w:val="0"/>
              <w:snapToGrid w:val="0"/>
              <w:jc w:val="center"/>
              <w:rPr>
                <w:rFonts w:ascii="宋体" w:hAnsi="宋体"/>
                <w:bCs/>
                <w:szCs w:val="21"/>
              </w:rPr>
            </w:pPr>
            <w:r w:rsidRPr="00123108">
              <w:rPr>
                <w:rFonts w:ascii="宋体" w:hAnsi="宋体"/>
                <w:bCs/>
                <w:szCs w:val="21"/>
              </w:rPr>
              <w:t>12.4</w:t>
            </w:r>
          </w:p>
        </w:tc>
        <w:tc>
          <w:tcPr>
            <w:tcW w:w="1812" w:type="dxa"/>
            <w:tcBorders>
              <w:right w:val="single" w:sz="4" w:space="0" w:color="auto"/>
            </w:tcBorders>
          </w:tcPr>
          <w:p w:rsidR="004F34D9" w:rsidRPr="00123108" w:rsidRDefault="004F34D9">
            <w:pPr>
              <w:adjustRightInd w:val="0"/>
              <w:snapToGrid w:val="0"/>
              <w:jc w:val="center"/>
              <w:rPr>
                <w:rFonts w:ascii="宋体" w:hAnsi="宋体"/>
                <w:bCs/>
                <w:szCs w:val="21"/>
              </w:rPr>
            </w:pPr>
            <w:r w:rsidRPr="00123108">
              <w:rPr>
                <w:rFonts w:ascii="宋体" w:hAnsi="宋体"/>
                <w:bCs/>
                <w:szCs w:val="21"/>
              </w:rPr>
              <w:t>4</w:t>
            </w:r>
          </w:p>
        </w:tc>
      </w:tr>
      <w:tr w:rsidR="004F34D9" w:rsidRPr="00123108">
        <w:trPr>
          <w:jc w:val="center"/>
        </w:trPr>
        <w:tc>
          <w:tcPr>
            <w:tcW w:w="755" w:type="dxa"/>
            <w:tcBorders>
              <w:left w:val="single" w:sz="4" w:space="0" w:color="auto"/>
            </w:tcBorders>
          </w:tcPr>
          <w:p w:rsidR="004F34D9" w:rsidRPr="00123108" w:rsidRDefault="004F34D9">
            <w:pPr>
              <w:adjustRightInd w:val="0"/>
              <w:snapToGrid w:val="0"/>
              <w:jc w:val="center"/>
              <w:rPr>
                <w:rFonts w:ascii="宋体" w:hAnsi="宋体"/>
                <w:bCs/>
                <w:szCs w:val="21"/>
              </w:rPr>
            </w:pPr>
            <w:r w:rsidRPr="00123108">
              <w:rPr>
                <w:rFonts w:ascii="宋体" w:hAnsi="宋体"/>
                <w:bCs/>
                <w:szCs w:val="21"/>
              </w:rPr>
              <w:t>5</w:t>
            </w:r>
          </w:p>
        </w:tc>
        <w:tc>
          <w:tcPr>
            <w:tcW w:w="2381" w:type="dxa"/>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突沸、反应失控</w:t>
            </w:r>
          </w:p>
        </w:tc>
        <w:tc>
          <w:tcPr>
            <w:tcW w:w="2065" w:type="dxa"/>
          </w:tcPr>
          <w:p w:rsidR="004F34D9" w:rsidRPr="00123108" w:rsidRDefault="004F34D9">
            <w:pPr>
              <w:adjustRightInd w:val="0"/>
              <w:snapToGrid w:val="0"/>
              <w:jc w:val="center"/>
              <w:rPr>
                <w:rFonts w:ascii="宋体" w:hAnsi="宋体"/>
                <w:bCs/>
                <w:szCs w:val="21"/>
              </w:rPr>
            </w:pPr>
            <w:r w:rsidRPr="00123108">
              <w:rPr>
                <w:rFonts w:ascii="宋体" w:hAnsi="宋体"/>
                <w:bCs/>
                <w:szCs w:val="21"/>
              </w:rPr>
              <w:t>10</w:t>
            </w:r>
          </w:p>
        </w:tc>
        <w:tc>
          <w:tcPr>
            <w:tcW w:w="1812" w:type="dxa"/>
          </w:tcPr>
          <w:p w:rsidR="004F34D9" w:rsidRPr="00123108" w:rsidRDefault="004F34D9">
            <w:pPr>
              <w:adjustRightInd w:val="0"/>
              <w:snapToGrid w:val="0"/>
              <w:jc w:val="center"/>
              <w:rPr>
                <w:rFonts w:ascii="宋体" w:hAnsi="宋体"/>
                <w:bCs/>
                <w:szCs w:val="21"/>
              </w:rPr>
            </w:pPr>
            <w:r w:rsidRPr="00123108">
              <w:rPr>
                <w:rFonts w:ascii="宋体" w:hAnsi="宋体"/>
                <w:bCs/>
                <w:szCs w:val="21"/>
              </w:rPr>
              <w:t>10.4</w:t>
            </w:r>
          </w:p>
        </w:tc>
        <w:tc>
          <w:tcPr>
            <w:tcW w:w="1812" w:type="dxa"/>
            <w:tcBorders>
              <w:right w:val="single" w:sz="4" w:space="0" w:color="auto"/>
            </w:tcBorders>
          </w:tcPr>
          <w:p w:rsidR="004F34D9" w:rsidRPr="00123108" w:rsidRDefault="004F34D9">
            <w:pPr>
              <w:adjustRightInd w:val="0"/>
              <w:snapToGrid w:val="0"/>
              <w:jc w:val="center"/>
              <w:rPr>
                <w:rFonts w:ascii="宋体" w:hAnsi="宋体"/>
                <w:bCs/>
                <w:szCs w:val="21"/>
              </w:rPr>
            </w:pPr>
            <w:r w:rsidRPr="00123108">
              <w:rPr>
                <w:rFonts w:ascii="宋体" w:hAnsi="宋体"/>
                <w:bCs/>
                <w:szCs w:val="21"/>
              </w:rPr>
              <w:t>5</w:t>
            </w:r>
          </w:p>
        </w:tc>
      </w:tr>
      <w:tr w:rsidR="004F34D9" w:rsidRPr="00123108">
        <w:trPr>
          <w:jc w:val="center"/>
        </w:trPr>
        <w:tc>
          <w:tcPr>
            <w:tcW w:w="755" w:type="dxa"/>
            <w:tcBorders>
              <w:left w:val="single" w:sz="4" w:space="0" w:color="auto"/>
              <w:bottom w:val="single" w:sz="4" w:space="0" w:color="auto"/>
            </w:tcBorders>
          </w:tcPr>
          <w:p w:rsidR="004F34D9" w:rsidRPr="00123108" w:rsidRDefault="004F34D9">
            <w:pPr>
              <w:adjustRightInd w:val="0"/>
              <w:snapToGrid w:val="0"/>
              <w:jc w:val="center"/>
              <w:rPr>
                <w:rFonts w:ascii="宋体" w:hAnsi="宋体"/>
                <w:bCs/>
                <w:szCs w:val="21"/>
              </w:rPr>
            </w:pPr>
            <w:r w:rsidRPr="00123108">
              <w:rPr>
                <w:rFonts w:ascii="宋体" w:hAnsi="宋体"/>
                <w:bCs/>
                <w:szCs w:val="21"/>
              </w:rPr>
              <w:t>6</w:t>
            </w:r>
          </w:p>
        </w:tc>
        <w:tc>
          <w:tcPr>
            <w:tcW w:w="2381" w:type="dxa"/>
            <w:tcBorders>
              <w:bottom w:val="single" w:sz="4" w:space="0" w:color="auto"/>
            </w:tcBorders>
            <w:vAlign w:val="center"/>
          </w:tcPr>
          <w:p w:rsidR="004F34D9" w:rsidRPr="00123108" w:rsidRDefault="004F34D9">
            <w:pPr>
              <w:adjustRightInd w:val="0"/>
              <w:snapToGrid w:val="0"/>
              <w:jc w:val="center"/>
              <w:rPr>
                <w:rFonts w:ascii="宋体" w:hAnsi="宋体"/>
                <w:bCs/>
                <w:szCs w:val="21"/>
              </w:rPr>
            </w:pPr>
            <w:r w:rsidRPr="00123108">
              <w:rPr>
                <w:rFonts w:ascii="宋体" w:hAnsi="宋体"/>
                <w:bCs/>
                <w:szCs w:val="21"/>
              </w:rPr>
              <w:t>雷击自然灾害</w:t>
            </w:r>
          </w:p>
        </w:tc>
        <w:tc>
          <w:tcPr>
            <w:tcW w:w="2065" w:type="dxa"/>
            <w:tcBorders>
              <w:bottom w:val="single" w:sz="4" w:space="0" w:color="auto"/>
            </w:tcBorders>
          </w:tcPr>
          <w:p w:rsidR="004F34D9" w:rsidRPr="00123108" w:rsidRDefault="004F34D9">
            <w:pPr>
              <w:adjustRightInd w:val="0"/>
              <w:snapToGrid w:val="0"/>
              <w:jc w:val="center"/>
              <w:rPr>
                <w:rFonts w:ascii="宋体" w:hAnsi="宋体"/>
                <w:bCs/>
                <w:szCs w:val="21"/>
              </w:rPr>
            </w:pPr>
            <w:r w:rsidRPr="00123108">
              <w:rPr>
                <w:rFonts w:ascii="宋体" w:hAnsi="宋体"/>
                <w:bCs/>
                <w:szCs w:val="21"/>
              </w:rPr>
              <w:t>8</w:t>
            </w:r>
          </w:p>
        </w:tc>
        <w:tc>
          <w:tcPr>
            <w:tcW w:w="1812" w:type="dxa"/>
            <w:tcBorders>
              <w:bottom w:val="single" w:sz="4" w:space="0" w:color="auto"/>
            </w:tcBorders>
          </w:tcPr>
          <w:p w:rsidR="004F34D9" w:rsidRPr="00123108" w:rsidRDefault="004F34D9">
            <w:pPr>
              <w:adjustRightInd w:val="0"/>
              <w:snapToGrid w:val="0"/>
              <w:jc w:val="center"/>
              <w:rPr>
                <w:rFonts w:ascii="宋体" w:hAnsi="宋体"/>
                <w:bCs/>
                <w:szCs w:val="21"/>
              </w:rPr>
            </w:pPr>
            <w:r w:rsidRPr="00123108">
              <w:rPr>
                <w:rFonts w:ascii="宋体" w:hAnsi="宋体"/>
                <w:bCs/>
                <w:szCs w:val="21"/>
              </w:rPr>
              <w:t>8.2</w:t>
            </w:r>
          </w:p>
        </w:tc>
        <w:tc>
          <w:tcPr>
            <w:tcW w:w="1812" w:type="dxa"/>
            <w:tcBorders>
              <w:bottom w:val="single" w:sz="4" w:space="0" w:color="auto"/>
              <w:right w:val="single" w:sz="4" w:space="0" w:color="auto"/>
            </w:tcBorders>
          </w:tcPr>
          <w:p w:rsidR="004F34D9" w:rsidRPr="00123108" w:rsidRDefault="004F34D9">
            <w:pPr>
              <w:adjustRightInd w:val="0"/>
              <w:snapToGrid w:val="0"/>
              <w:jc w:val="center"/>
              <w:rPr>
                <w:rFonts w:ascii="宋体" w:hAnsi="宋体"/>
                <w:bCs/>
                <w:szCs w:val="21"/>
              </w:rPr>
            </w:pPr>
            <w:r w:rsidRPr="00123108">
              <w:rPr>
                <w:rFonts w:ascii="宋体" w:hAnsi="宋体"/>
                <w:bCs/>
                <w:szCs w:val="21"/>
              </w:rPr>
              <w:t>6</w:t>
            </w:r>
          </w:p>
        </w:tc>
      </w:tr>
    </w:tbl>
    <w:p w:rsidR="004F34D9" w:rsidRPr="00123108" w:rsidRDefault="004F34D9" w:rsidP="00D06780">
      <w:pPr>
        <w:spacing w:line="500" w:lineRule="exact"/>
        <w:ind w:firstLineChars="200" w:firstLine="560"/>
        <w:rPr>
          <w:rFonts w:ascii="宋体" w:hAnsi="宋体"/>
          <w:sz w:val="28"/>
          <w:szCs w:val="28"/>
        </w:rPr>
      </w:pPr>
      <w:r w:rsidRPr="00123108">
        <w:rPr>
          <w:rFonts w:ascii="宋体" w:hAnsi="宋体"/>
          <w:sz w:val="28"/>
          <w:szCs w:val="28"/>
        </w:rPr>
        <w:t>经事故频率分布来看，由于阀门、管线泄漏而引起的特大火灾爆炸事故所占比重很大，占35.1%；而泵、设备故障及仪表、电气失控比重也不小，占30.6%；对于完全可以避免的人为损失失误亦达到15.6%；而装置内物料突沸和反应失控占10.4%；不可忽视的雷击也占到8.2%，因此，避雷应予以重视。</w:t>
      </w:r>
    </w:p>
    <w:p w:rsidR="004F34D9" w:rsidRPr="00123108" w:rsidRDefault="004F34D9" w:rsidP="00D06780">
      <w:pPr>
        <w:spacing w:line="500" w:lineRule="exact"/>
        <w:ind w:firstLineChars="200" w:firstLine="560"/>
        <w:rPr>
          <w:rFonts w:ascii="宋体" w:hAnsi="宋体" w:hint="eastAsia"/>
          <w:sz w:val="28"/>
          <w:szCs w:val="28"/>
        </w:rPr>
        <w:sectPr w:rsidR="004F34D9" w:rsidRPr="00123108">
          <w:pgSz w:w="11906" w:h="16838"/>
          <w:pgMar w:top="1418" w:right="1134" w:bottom="1134" w:left="1588" w:header="851" w:footer="992" w:gutter="0"/>
          <w:paperSrc w:first="7" w:other="7"/>
          <w:cols w:space="720"/>
          <w:docGrid w:type="lines" w:linePitch="381"/>
        </w:sectPr>
      </w:pPr>
      <w:r w:rsidRPr="00123108">
        <w:rPr>
          <w:rFonts w:ascii="宋体" w:hAnsi="宋体"/>
          <w:sz w:val="28"/>
          <w:szCs w:val="28"/>
        </w:rPr>
        <w:t>此外，在100起特大火灾爆炸事故中，报警及消防不力也是事态扩大的一个重要因素，竟有12起是因消防水泵无法启动而造成灾难性后果。值得注意的是烃类、蒸气等飘逸扩散的蒸气云团以及烃类、蒸气积聚弥漫在建筑</w:t>
      </w:r>
      <w:r w:rsidRPr="00123108">
        <w:rPr>
          <w:rFonts w:ascii="宋体" w:hAnsi="宋体"/>
          <w:sz w:val="28"/>
          <w:szCs w:val="28"/>
        </w:rPr>
        <w:lastRenderedPageBreak/>
        <w:t>物内产生的爆炸不仅所占事故比例高达至43%，而且这种爆炸是最具毁灭性的，其爆炸产生的冲击波、热辐射以及飞散抛掷物等还会造成二次事故。</w:t>
      </w:r>
    </w:p>
    <w:p w:rsidR="004F34D9" w:rsidRPr="00123108" w:rsidRDefault="004F34D9" w:rsidP="00D06780">
      <w:pPr>
        <w:pStyle w:val="1"/>
        <w:spacing w:beforeLines="0" w:before="0" w:afterLines="0" w:after="0" w:line="500" w:lineRule="exact"/>
        <w:rPr>
          <w:rFonts w:ascii="宋体" w:eastAsia="宋体" w:cs="宋体" w:hint="eastAsia"/>
          <w:spacing w:val="-4"/>
        </w:rPr>
      </w:pPr>
      <w:bookmarkStart w:id="1609" w:name="_Toc252533366"/>
      <w:bookmarkStart w:id="1610" w:name="_Toc3809134"/>
      <w:bookmarkStart w:id="1611" w:name="_Toc6082"/>
      <w:bookmarkStart w:id="1612" w:name="_Toc24403"/>
      <w:bookmarkStart w:id="1613" w:name="_Toc238867573"/>
      <w:bookmarkStart w:id="1614" w:name="_Toc28292"/>
      <w:bookmarkStart w:id="1615" w:name="_Toc245793563"/>
      <w:bookmarkStart w:id="1616" w:name="_Toc21227"/>
      <w:bookmarkStart w:id="1617" w:name="_Toc6464"/>
      <w:bookmarkStart w:id="1618" w:name="_Toc5381"/>
      <w:bookmarkStart w:id="1619" w:name="_Toc190935886"/>
      <w:bookmarkEnd w:id="1608"/>
      <w:r w:rsidRPr="00123108">
        <w:rPr>
          <w:rFonts w:ascii="宋体" w:eastAsia="宋体" w:cs="宋体" w:hint="eastAsia"/>
          <w:spacing w:val="-4"/>
        </w:rPr>
        <w:lastRenderedPageBreak/>
        <w:t>附件2  定性、定量分析过程</w:t>
      </w:r>
      <w:bookmarkEnd w:id="1609"/>
      <w:bookmarkEnd w:id="1610"/>
      <w:bookmarkEnd w:id="1611"/>
      <w:bookmarkEnd w:id="1612"/>
      <w:bookmarkEnd w:id="1613"/>
      <w:bookmarkEnd w:id="1614"/>
      <w:bookmarkEnd w:id="1615"/>
      <w:bookmarkEnd w:id="1616"/>
      <w:bookmarkEnd w:id="1617"/>
      <w:bookmarkEnd w:id="1618"/>
      <w:bookmarkEnd w:id="1619"/>
    </w:p>
    <w:p w:rsidR="004F34D9" w:rsidRPr="00123108" w:rsidRDefault="004F34D9" w:rsidP="00D06780">
      <w:pPr>
        <w:pStyle w:val="2"/>
        <w:spacing w:line="500" w:lineRule="exact"/>
        <w:jc w:val="both"/>
        <w:rPr>
          <w:rFonts w:ascii="宋体" w:eastAsia="宋体" w:cs="宋体" w:hint="eastAsia"/>
          <w:sz w:val="28"/>
          <w:szCs w:val="28"/>
        </w:rPr>
      </w:pPr>
      <w:bookmarkStart w:id="1620" w:name="_Toc14635"/>
      <w:bookmarkStart w:id="1621" w:name="_Toc17978"/>
      <w:bookmarkStart w:id="1622" w:name="_Toc245793564"/>
      <w:bookmarkStart w:id="1623" w:name="_Toc224442453"/>
      <w:bookmarkStart w:id="1624" w:name="_Toc238867574"/>
      <w:bookmarkStart w:id="1625" w:name="_Toc252533367"/>
      <w:bookmarkStart w:id="1626" w:name="_Toc225056944"/>
      <w:bookmarkStart w:id="1627" w:name="_Toc236122703"/>
      <w:bookmarkStart w:id="1628" w:name="_Toc12784"/>
      <w:bookmarkStart w:id="1629" w:name="_Toc15405"/>
      <w:bookmarkStart w:id="1630" w:name="_Toc10266"/>
      <w:bookmarkStart w:id="1631" w:name="_Toc6938"/>
      <w:bookmarkStart w:id="1632" w:name="_Toc3809135"/>
      <w:bookmarkStart w:id="1633" w:name="_Toc190935887"/>
      <w:r w:rsidRPr="00123108">
        <w:rPr>
          <w:rFonts w:ascii="宋体" w:eastAsia="宋体" w:cs="宋体" w:hint="eastAsia"/>
          <w:sz w:val="28"/>
          <w:szCs w:val="28"/>
        </w:rPr>
        <w:t>附件2.1  固有危险程度分析</w:t>
      </w:r>
      <w:bookmarkEnd w:id="1633"/>
    </w:p>
    <w:p w:rsidR="004F34D9" w:rsidRPr="00123108" w:rsidRDefault="004F34D9" w:rsidP="00D06780">
      <w:pPr>
        <w:pStyle w:val="2fd"/>
        <w:spacing w:line="500" w:lineRule="exact"/>
        <w:ind w:firstLineChars="0" w:firstLine="0"/>
        <w:jc w:val="left"/>
        <w:outlineLvl w:val="2"/>
        <w:rPr>
          <w:rFonts w:ascii="宋体" w:hAnsi="宋体" w:cs="宋体" w:hint="eastAsia"/>
          <w:b/>
          <w:bCs/>
          <w:sz w:val="28"/>
          <w:szCs w:val="28"/>
        </w:rPr>
      </w:pPr>
      <w:bookmarkStart w:id="1634" w:name="_Toc190935888"/>
      <w:r w:rsidRPr="00123108">
        <w:rPr>
          <w:rFonts w:ascii="宋体" w:hAnsi="宋体" w:cs="宋体" w:hint="eastAsia"/>
          <w:b/>
          <w:bCs/>
          <w:sz w:val="28"/>
          <w:szCs w:val="28"/>
        </w:rPr>
        <w:t>附件2.1.1  危险化学品数量、状态、部位及其状况分析</w:t>
      </w:r>
      <w:bookmarkEnd w:id="1634"/>
    </w:p>
    <w:p w:rsidR="004F34D9" w:rsidRPr="00123108" w:rsidRDefault="004F34D9" w:rsidP="00D06780">
      <w:pPr>
        <w:pStyle w:val="2fd"/>
        <w:spacing w:line="500" w:lineRule="exact"/>
        <w:ind w:firstLine="560"/>
        <w:jc w:val="left"/>
        <w:rPr>
          <w:rFonts w:ascii="宋体" w:hAnsi="宋体" w:cs="宋体" w:hint="eastAsia"/>
          <w:sz w:val="28"/>
          <w:szCs w:val="28"/>
        </w:rPr>
      </w:pPr>
      <w:r w:rsidRPr="00123108">
        <w:rPr>
          <w:rFonts w:ascii="宋体" w:hAnsi="宋体" w:cs="宋体" w:hint="eastAsia"/>
          <w:sz w:val="28"/>
          <w:szCs w:val="28"/>
        </w:rPr>
        <w:t>本项目涉及的危险化学品数量、状态、部位及其状况（温度、压力）分析详见下附表2.1-1。</w:t>
      </w:r>
    </w:p>
    <w:p w:rsidR="004F34D9" w:rsidRDefault="004F34D9" w:rsidP="00D06780">
      <w:pPr>
        <w:pStyle w:val="2fd"/>
        <w:spacing w:line="500" w:lineRule="exact"/>
        <w:ind w:firstLine="562"/>
        <w:jc w:val="left"/>
        <w:rPr>
          <w:rFonts w:ascii="宋体" w:hAnsi="宋体" w:cs="宋体" w:hint="eastAsia"/>
          <w:b/>
          <w:bCs/>
          <w:sz w:val="28"/>
          <w:szCs w:val="28"/>
        </w:rPr>
      </w:pPr>
      <w:r w:rsidRPr="00123108">
        <w:rPr>
          <w:rFonts w:ascii="宋体" w:hAnsi="宋体" w:cs="宋体" w:hint="eastAsia"/>
          <w:b/>
          <w:bCs/>
          <w:sz w:val="28"/>
          <w:szCs w:val="28"/>
        </w:rPr>
        <w:t>附表2.1-1  危险化学品数量、状态、部位及其状况一览表</w:t>
      </w:r>
    </w:p>
    <w:p w:rsidR="00331EFA" w:rsidRDefault="00331EFA" w:rsidP="00331EFA">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Pr="00123108" w:rsidRDefault="004F34D9">
      <w:pPr>
        <w:pStyle w:val="2fd"/>
        <w:spacing w:line="240" w:lineRule="auto"/>
        <w:ind w:firstLine="480"/>
        <w:jc w:val="left"/>
        <w:rPr>
          <w:rFonts w:ascii="宋体" w:hAnsi="宋体" w:cs="宋体" w:hint="eastAsia"/>
        </w:rPr>
      </w:pPr>
    </w:p>
    <w:p w:rsidR="004F34D9" w:rsidRPr="00123108" w:rsidRDefault="004F34D9" w:rsidP="00D06780">
      <w:pPr>
        <w:spacing w:line="500" w:lineRule="exact"/>
        <w:outlineLvl w:val="2"/>
        <w:rPr>
          <w:rFonts w:ascii="宋体" w:hAnsi="宋体" w:cs="宋体" w:hint="eastAsia"/>
          <w:b/>
          <w:bCs/>
          <w:sz w:val="28"/>
          <w:szCs w:val="28"/>
        </w:rPr>
      </w:pPr>
      <w:bookmarkStart w:id="1635" w:name="_Toc190935889"/>
      <w:r w:rsidRPr="00123108">
        <w:rPr>
          <w:rFonts w:ascii="宋体" w:hAnsi="宋体" w:cs="宋体" w:hint="eastAsia"/>
          <w:b/>
          <w:bCs/>
          <w:sz w:val="28"/>
          <w:szCs w:val="28"/>
        </w:rPr>
        <w:t>附件2.1.2  定量分析建设项目各个评价单元的固有危险程度</w:t>
      </w:r>
      <w:bookmarkEnd w:id="1635"/>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（1）</w:t>
      </w:r>
      <w:r w:rsidRPr="00123108">
        <w:rPr>
          <w:rFonts w:ascii="宋体" w:hAnsi="宋体" w:cs="宋体" w:hint="eastAsia"/>
          <w:kern w:val="0"/>
          <w:sz w:val="28"/>
          <w:szCs w:val="28"/>
        </w:rPr>
        <w:t>具有</w:t>
      </w:r>
      <w:r w:rsidRPr="00123108">
        <w:rPr>
          <w:rFonts w:ascii="宋体" w:hAnsi="宋体" w:cs="宋体" w:hint="eastAsia"/>
          <w:sz w:val="28"/>
          <w:szCs w:val="28"/>
        </w:rPr>
        <w:t>可燃性的化学品的质量及燃烧后放出的热量</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kern w:val="0"/>
          <w:sz w:val="28"/>
          <w:szCs w:val="28"/>
        </w:rPr>
        <w:t>具有</w:t>
      </w:r>
      <w:r w:rsidRPr="00123108">
        <w:rPr>
          <w:rFonts w:ascii="宋体" w:hAnsi="宋体" w:cs="宋体" w:hint="eastAsia"/>
          <w:sz w:val="28"/>
          <w:szCs w:val="28"/>
        </w:rPr>
        <w:t>可燃性的化学品的质量及燃烧后放出的热量计算结果见附表2.1-2。</w:t>
      </w:r>
    </w:p>
    <w:p w:rsidR="004F34D9" w:rsidRDefault="004F34D9" w:rsidP="00D06780">
      <w:pPr>
        <w:spacing w:line="500" w:lineRule="exact"/>
        <w:jc w:val="center"/>
        <w:rPr>
          <w:rFonts w:ascii="宋体" w:hAnsi="宋体" w:cs="宋体" w:hint="eastAsia"/>
          <w:b/>
          <w:sz w:val="28"/>
          <w:szCs w:val="28"/>
        </w:rPr>
      </w:pPr>
      <w:r w:rsidRPr="00123108">
        <w:rPr>
          <w:rFonts w:ascii="宋体" w:hAnsi="宋体" w:cs="宋体" w:hint="eastAsia"/>
          <w:b/>
          <w:sz w:val="28"/>
          <w:szCs w:val="28"/>
        </w:rPr>
        <w:t>附表2.1-2  可燃性化学品的质量及燃烧后放出的热量</w:t>
      </w:r>
    </w:p>
    <w:p w:rsidR="00331EFA" w:rsidRDefault="00331EFA" w:rsidP="00331EFA">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Pr="00123108" w:rsidRDefault="004F34D9" w:rsidP="00D06780">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（2）具有腐蚀性的化学品的数量、状态、部位及其状况</w:t>
      </w:r>
    </w:p>
    <w:p w:rsidR="004F34D9" w:rsidRPr="00123108" w:rsidRDefault="004F34D9" w:rsidP="00D06780">
      <w:pPr>
        <w:spacing w:line="500" w:lineRule="exact"/>
        <w:ind w:firstLineChars="200" w:firstLine="560"/>
        <w:rPr>
          <w:rFonts w:ascii="宋体" w:hAnsi="宋体"/>
          <w:sz w:val="28"/>
          <w:szCs w:val="28"/>
        </w:rPr>
      </w:pPr>
      <w:r w:rsidRPr="00123108">
        <w:rPr>
          <w:rFonts w:ascii="宋体" w:hAnsi="宋体" w:cs="宋体" w:hint="eastAsia"/>
          <w:sz w:val="28"/>
          <w:szCs w:val="28"/>
        </w:rPr>
        <w:t>具有腐蚀性的化学品的数量、状态、部位及其状况详见附表2.1-1。</w:t>
      </w:r>
    </w:p>
    <w:p w:rsidR="004F34D9" w:rsidRPr="00123108" w:rsidRDefault="004F34D9" w:rsidP="00D06780">
      <w:pPr>
        <w:pStyle w:val="2"/>
        <w:spacing w:line="500" w:lineRule="exact"/>
        <w:jc w:val="both"/>
        <w:rPr>
          <w:rFonts w:ascii="宋体" w:eastAsia="宋体" w:cs="宋体" w:hint="eastAsia"/>
          <w:sz w:val="28"/>
          <w:szCs w:val="28"/>
        </w:rPr>
      </w:pPr>
      <w:bookmarkStart w:id="1636" w:name="_Toc190935890"/>
      <w:r w:rsidRPr="00123108">
        <w:rPr>
          <w:rFonts w:ascii="宋体" w:eastAsia="宋体" w:cs="宋体" w:hint="eastAsia"/>
          <w:sz w:val="28"/>
          <w:szCs w:val="28"/>
        </w:rPr>
        <w:t>附件2.2  风险程度</w:t>
      </w:r>
      <w:bookmarkEnd w:id="1622"/>
      <w:bookmarkEnd w:id="1623"/>
      <w:bookmarkEnd w:id="1624"/>
      <w:bookmarkEnd w:id="1625"/>
      <w:bookmarkEnd w:id="1626"/>
      <w:bookmarkEnd w:id="1627"/>
      <w:r w:rsidRPr="00123108">
        <w:rPr>
          <w:rFonts w:ascii="宋体" w:eastAsia="宋体" w:cs="宋体" w:hint="eastAsia"/>
          <w:sz w:val="28"/>
          <w:szCs w:val="28"/>
        </w:rPr>
        <w:t>分析</w:t>
      </w:r>
      <w:bookmarkEnd w:id="1620"/>
      <w:bookmarkEnd w:id="1621"/>
      <w:bookmarkEnd w:id="1628"/>
      <w:bookmarkEnd w:id="1629"/>
      <w:bookmarkEnd w:id="1630"/>
      <w:bookmarkEnd w:id="1631"/>
      <w:bookmarkEnd w:id="1632"/>
      <w:bookmarkEnd w:id="1636"/>
    </w:p>
    <w:p w:rsidR="004F34D9" w:rsidRPr="00123108" w:rsidRDefault="004F34D9" w:rsidP="00D06780">
      <w:pPr>
        <w:pStyle w:val="2fd"/>
        <w:spacing w:line="500" w:lineRule="exact"/>
        <w:ind w:firstLineChars="0" w:firstLine="0"/>
        <w:outlineLvl w:val="2"/>
        <w:rPr>
          <w:rFonts w:ascii="宋体" w:hAnsi="宋体" w:cs="宋体" w:hint="eastAsia"/>
          <w:b/>
          <w:bCs/>
          <w:sz w:val="28"/>
          <w:lang w:val="zh-CN"/>
        </w:rPr>
      </w:pPr>
      <w:bookmarkStart w:id="1637" w:name="_Toc16182"/>
      <w:bookmarkStart w:id="1638" w:name="_Toc22616"/>
      <w:bookmarkStart w:id="1639" w:name="_Toc12887"/>
      <w:bookmarkStart w:id="1640" w:name="_Toc7263"/>
      <w:bookmarkStart w:id="1641" w:name="_Toc19829"/>
      <w:bookmarkStart w:id="1642" w:name="_Toc2782"/>
      <w:bookmarkStart w:id="1643" w:name="_Toc190935891"/>
      <w:r w:rsidRPr="00123108">
        <w:rPr>
          <w:rFonts w:ascii="宋体" w:hAnsi="宋体" w:cs="宋体" w:hint="eastAsia"/>
          <w:b/>
          <w:bCs/>
          <w:sz w:val="28"/>
          <w:lang w:val="zh-CN"/>
        </w:rPr>
        <w:t>附件2.2.1</w:t>
      </w:r>
      <w:r w:rsidRPr="00123108">
        <w:rPr>
          <w:rFonts w:ascii="宋体" w:hAnsi="宋体" w:cs="宋体" w:hint="eastAsia"/>
          <w:b/>
          <w:bCs/>
          <w:sz w:val="28"/>
        </w:rPr>
        <w:t xml:space="preserve">  </w:t>
      </w:r>
      <w:r w:rsidRPr="00123108">
        <w:rPr>
          <w:rFonts w:ascii="宋体" w:hAnsi="宋体" w:cs="宋体" w:hint="eastAsia"/>
          <w:b/>
          <w:bCs/>
          <w:sz w:val="28"/>
          <w:lang w:val="zh-CN"/>
        </w:rPr>
        <w:t>个人风险值和社会风险值计算</w:t>
      </w:r>
      <w:bookmarkEnd w:id="1643"/>
    </w:p>
    <w:p w:rsidR="004F34D9" w:rsidRPr="00123108" w:rsidRDefault="004F34D9" w:rsidP="00D06780">
      <w:pPr>
        <w:spacing w:line="500" w:lineRule="exact"/>
        <w:ind w:firstLineChars="250" w:firstLine="700"/>
        <w:rPr>
          <w:rFonts w:ascii="宋体" w:hAnsi="宋体" w:cs="宋体" w:hint="eastAsia"/>
          <w:sz w:val="28"/>
          <w:szCs w:val="28"/>
        </w:rPr>
      </w:pPr>
      <w:r w:rsidRPr="00123108">
        <w:rPr>
          <w:rFonts w:ascii="宋体" w:hAnsi="宋体" w:cs="宋体" w:hint="eastAsia"/>
          <w:sz w:val="28"/>
          <w:szCs w:val="28"/>
        </w:rPr>
        <w:t>（1）个人风险基准</w:t>
      </w:r>
    </w:p>
    <w:p w:rsidR="004F34D9" w:rsidRPr="00123108" w:rsidRDefault="004F34D9" w:rsidP="00D06780">
      <w:pPr>
        <w:spacing w:line="500" w:lineRule="exact"/>
        <w:ind w:firstLineChars="250" w:firstLine="700"/>
        <w:rPr>
          <w:rFonts w:hint="eastAsia"/>
        </w:rPr>
      </w:pPr>
      <w:r w:rsidRPr="00123108">
        <w:rPr>
          <w:rFonts w:ascii="宋体" w:hAnsi="宋体" w:cs="宋体" w:hint="eastAsia"/>
          <w:sz w:val="28"/>
          <w:szCs w:val="28"/>
        </w:rPr>
        <w:t>根据《危险化学品生产装置和储存设施风险基准》GB 36894-2018的规定：通过定量风险评价，个人风险基准应满足附</w:t>
      </w:r>
      <w:r w:rsidRPr="00123108">
        <w:rPr>
          <w:rFonts w:ascii="宋体" w:hAnsi="宋体" w:hint="eastAsia"/>
          <w:sz w:val="28"/>
        </w:rPr>
        <w:t>表2.2-1</w:t>
      </w:r>
      <w:r w:rsidRPr="00123108">
        <w:rPr>
          <w:rFonts w:ascii="宋体" w:hAnsi="宋体" w:cs="宋体" w:hint="eastAsia"/>
          <w:sz w:val="28"/>
          <w:szCs w:val="28"/>
        </w:rPr>
        <w:t>的要求。社会风险基准应满足附</w:t>
      </w:r>
      <w:r w:rsidRPr="00123108">
        <w:rPr>
          <w:rFonts w:ascii="宋体" w:hAnsi="宋体" w:hint="eastAsia"/>
          <w:sz w:val="28"/>
        </w:rPr>
        <w:t>图2.2-1</w:t>
      </w:r>
      <w:r w:rsidRPr="00123108">
        <w:rPr>
          <w:rFonts w:ascii="宋体" w:hAnsi="宋体" w:cs="宋体" w:hint="eastAsia"/>
          <w:sz w:val="28"/>
          <w:szCs w:val="28"/>
        </w:rPr>
        <w:t>的要求。</w:t>
      </w:r>
    </w:p>
    <w:p w:rsidR="004F34D9" w:rsidRPr="00123108" w:rsidRDefault="004F34D9" w:rsidP="00D06780">
      <w:pPr>
        <w:spacing w:line="500" w:lineRule="exact"/>
        <w:jc w:val="center"/>
        <w:rPr>
          <w:rFonts w:ascii="黑体" w:eastAsia="黑体" w:hAnsi="黑体" w:cs="宋体" w:hint="eastAsia"/>
          <w:b/>
          <w:bCs/>
          <w:sz w:val="28"/>
          <w:szCs w:val="28"/>
        </w:rPr>
      </w:pPr>
      <w:r w:rsidRPr="00123108">
        <w:rPr>
          <w:rFonts w:ascii="黑体" w:eastAsia="黑体" w:hAnsi="黑体" w:cs="宋体" w:hint="eastAsia"/>
          <w:b/>
          <w:bCs/>
          <w:sz w:val="28"/>
          <w:szCs w:val="28"/>
        </w:rPr>
        <w:t>附表2.2-1  个人风险基准</w:t>
      </w:r>
    </w:p>
    <w:tbl>
      <w:tblPr>
        <w:tblW w:w="939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24"/>
        <w:gridCol w:w="3259"/>
        <w:gridCol w:w="2907"/>
      </w:tblGrid>
      <w:tr w:rsidR="004F34D9" w:rsidRPr="00123108">
        <w:trPr>
          <w:trHeight w:val="340"/>
          <w:jc w:val="center"/>
        </w:trPr>
        <w:tc>
          <w:tcPr>
            <w:tcW w:w="1716" w:type="pct"/>
            <w:vMerge w:val="restart"/>
            <w:tcMar>
              <w:top w:w="0" w:type="dxa"/>
              <w:left w:w="108" w:type="dxa"/>
              <w:bottom w:w="0" w:type="dxa"/>
              <w:right w:w="108" w:type="dxa"/>
            </w:tcMar>
            <w:vAlign w:val="center"/>
          </w:tcPr>
          <w:p w:rsidR="004F34D9" w:rsidRPr="00123108" w:rsidRDefault="004F34D9">
            <w:pPr>
              <w:ind w:firstLineChars="200" w:firstLine="420"/>
              <w:jc w:val="center"/>
              <w:rPr>
                <w:rFonts w:ascii="宋体" w:hAnsi="宋体" w:cs="宋体" w:hint="eastAsia"/>
                <w:kern w:val="0"/>
                <w:szCs w:val="21"/>
              </w:rPr>
            </w:pPr>
            <w:r w:rsidRPr="00123108">
              <w:rPr>
                <w:rFonts w:ascii="宋体" w:hAnsi="宋体" w:cs="宋体" w:hint="eastAsia"/>
                <w:kern w:val="0"/>
                <w:szCs w:val="21"/>
              </w:rPr>
              <w:t>防护目标</w:t>
            </w:r>
          </w:p>
        </w:tc>
        <w:tc>
          <w:tcPr>
            <w:tcW w:w="3283" w:type="pct"/>
            <w:gridSpan w:val="2"/>
            <w:tcMar>
              <w:top w:w="0" w:type="dxa"/>
              <w:left w:w="108" w:type="dxa"/>
              <w:bottom w:w="0" w:type="dxa"/>
              <w:right w:w="108" w:type="dxa"/>
            </w:tcMar>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个人风险基准/（次/年）≤</w:t>
            </w:r>
          </w:p>
        </w:tc>
      </w:tr>
      <w:tr w:rsidR="004F34D9" w:rsidRPr="00123108">
        <w:trPr>
          <w:trHeight w:val="340"/>
          <w:jc w:val="center"/>
        </w:trPr>
        <w:tc>
          <w:tcPr>
            <w:tcW w:w="1716" w:type="pct"/>
            <w:vMerge/>
            <w:tcMar>
              <w:top w:w="0" w:type="dxa"/>
              <w:left w:w="108" w:type="dxa"/>
              <w:bottom w:w="0" w:type="dxa"/>
              <w:right w:w="108" w:type="dxa"/>
            </w:tcMar>
            <w:vAlign w:val="center"/>
          </w:tcPr>
          <w:p w:rsidR="004F34D9" w:rsidRPr="00123108" w:rsidRDefault="004F34D9">
            <w:pPr>
              <w:ind w:firstLineChars="200" w:firstLine="420"/>
              <w:jc w:val="center"/>
              <w:rPr>
                <w:rFonts w:ascii="宋体" w:hAnsi="宋体" w:cs="宋体" w:hint="eastAsia"/>
                <w:szCs w:val="21"/>
              </w:rPr>
            </w:pPr>
          </w:p>
        </w:tc>
        <w:tc>
          <w:tcPr>
            <w:tcW w:w="1735" w:type="pct"/>
            <w:tcMar>
              <w:top w:w="0" w:type="dxa"/>
              <w:left w:w="108" w:type="dxa"/>
              <w:bottom w:w="0" w:type="dxa"/>
              <w:right w:w="108" w:type="dxa"/>
            </w:tcMar>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危险化学品新建、改建、扩建生产装置和储存设施</w:t>
            </w:r>
          </w:p>
        </w:tc>
        <w:tc>
          <w:tcPr>
            <w:tcW w:w="1548" w:type="pct"/>
            <w:tcMar>
              <w:top w:w="0" w:type="dxa"/>
              <w:left w:w="108" w:type="dxa"/>
              <w:bottom w:w="0" w:type="dxa"/>
              <w:right w:w="108" w:type="dxa"/>
            </w:tcMar>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危险化学品在役生产装置和储存设施</w:t>
            </w:r>
          </w:p>
        </w:tc>
      </w:tr>
      <w:tr w:rsidR="004F34D9" w:rsidRPr="00123108">
        <w:trPr>
          <w:trHeight w:val="340"/>
          <w:jc w:val="center"/>
        </w:trPr>
        <w:tc>
          <w:tcPr>
            <w:tcW w:w="1716" w:type="pct"/>
            <w:tcMar>
              <w:top w:w="0" w:type="dxa"/>
              <w:left w:w="108" w:type="dxa"/>
              <w:bottom w:w="0" w:type="dxa"/>
              <w:right w:w="108" w:type="dxa"/>
            </w:tcMar>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高敏感防护目标</w:t>
            </w:r>
          </w:p>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重要防护目标</w:t>
            </w:r>
          </w:p>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一般防护目标中的一类防护目标</w:t>
            </w:r>
          </w:p>
        </w:tc>
        <w:tc>
          <w:tcPr>
            <w:tcW w:w="1735" w:type="pct"/>
            <w:tcMar>
              <w:top w:w="0" w:type="dxa"/>
              <w:left w:w="108" w:type="dxa"/>
              <w:bottom w:w="0" w:type="dxa"/>
              <w:right w:w="108" w:type="dxa"/>
            </w:tcMar>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3×10</w:t>
            </w:r>
            <w:r w:rsidRPr="00123108">
              <w:rPr>
                <w:rFonts w:ascii="宋体" w:hAnsi="宋体" w:cs="宋体" w:hint="eastAsia"/>
                <w:kern w:val="0"/>
                <w:szCs w:val="21"/>
                <w:vertAlign w:val="superscript"/>
              </w:rPr>
              <w:t>-7</w:t>
            </w:r>
          </w:p>
        </w:tc>
        <w:tc>
          <w:tcPr>
            <w:tcW w:w="1548" w:type="pct"/>
            <w:tcMar>
              <w:top w:w="0" w:type="dxa"/>
              <w:left w:w="108" w:type="dxa"/>
              <w:bottom w:w="0" w:type="dxa"/>
              <w:right w:w="108" w:type="dxa"/>
            </w:tcMar>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3×10</w:t>
            </w:r>
            <w:r w:rsidRPr="00123108">
              <w:rPr>
                <w:rFonts w:ascii="宋体" w:hAnsi="宋体" w:cs="宋体" w:hint="eastAsia"/>
                <w:kern w:val="0"/>
                <w:szCs w:val="21"/>
                <w:vertAlign w:val="superscript"/>
              </w:rPr>
              <w:t>-6</w:t>
            </w:r>
          </w:p>
        </w:tc>
      </w:tr>
      <w:tr w:rsidR="004F34D9" w:rsidRPr="00123108">
        <w:trPr>
          <w:trHeight w:val="340"/>
          <w:jc w:val="center"/>
        </w:trPr>
        <w:tc>
          <w:tcPr>
            <w:tcW w:w="1716" w:type="pct"/>
            <w:tcMar>
              <w:top w:w="0" w:type="dxa"/>
              <w:left w:w="108" w:type="dxa"/>
              <w:bottom w:w="0" w:type="dxa"/>
              <w:right w:w="108" w:type="dxa"/>
            </w:tcMar>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一般防护目标中的二类防护目标</w:t>
            </w:r>
          </w:p>
        </w:tc>
        <w:tc>
          <w:tcPr>
            <w:tcW w:w="1735" w:type="pct"/>
            <w:tcMar>
              <w:top w:w="0" w:type="dxa"/>
              <w:left w:w="108" w:type="dxa"/>
              <w:bottom w:w="0" w:type="dxa"/>
              <w:right w:w="108" w:type="dxa"/>
            </w:tcMar>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3×10</w:t>
            </w:r>
            <w:r w:rsidRPr="00123108">
              <w:rPr>
                <w:rFonts w:ascii="宋体" w:hAnsi="宋体" w:cs="宋体" w:hint="eastAsia"/>
                <w:kern w:val="0"/>
                <w:szCs w:val="21"/>
                <w:vertAlign w:val="superscript"/>
              </w:rPr>
              <w:t>-6</w:t>
            </w:r>
          </w:p>
        </w:tc>
        <w:tc>
          <w:tcPr>
            <w:tcW w:w="1548" w:type="pct"/>
            <w:tcMar>
              <w:top w:w="0" w:type="dxa"/>
              <w:left w:w="108" w:type="dxa"/>
              <w:bottom w:w="0" w:type="dxa"/>
              <w:right w:w="108" w:type="dxa"/>
            </w:tcMar>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1×10</w:t>
            </w:r>
            <w:r w:rsidRPr="00123108">
              <w:rPr>
                <w:rFonts w:ascii="宋体" w:hAnsi="宋体" w:cs="宋体" w:hint="eastAsia"/>
                <w:kern w:val="0"/>
                <w:szCs w:val="21"/>
                <w:vertAlign w:val="superscript"/>
              </w:rPr>
              <w:t>-5</w:t>
            </w:r>
          </w:p>
        </w:tc>
      </w:tr>
      <w:tr w:rsidR="004F34D9" w:rsidRPr="00123108">
        <w:trPr>
          <w:trHeight w:val="340"/>
          <w:jc w:val="center"/>
        </w:trPr>
        <w:tc>
          <w:tcPr>
            <w:tcW w:w="1716" w:type="pct"/>
            <w:tcMar>
              <w:top w:w="0" w:type="dxa"/>
              <w:left w:w="108" w:type="dxa"/>
              <w:bottom w:w="0" w:type="dxa"/>
              <w:right w:w="108" w:type="dxa"/>
            </w:tcMar>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一般防护目标中的三类防护目标</w:t>
            </w:r>
          </w:p>
        </w:tc>
        <w:tc>
          <w:tcPr>
            <w:tcW w:w="1735" w:type="pct"/>
            <w:tcMar>
              <w:top w:w="0" w:type="dxa"/>
              <w:left w:w="108" w:type="dxa"/>
              <w:bottom w:w="0" w:type="dxa"/>
              <w:right w:w="108" w:type="dxa"/>
            </w:tcMar>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1×10</w:t>
            </w:r>
            <w:r w:rsidRPr="00123108">
              <w:rPr>
                <w:rFonts w:ascii="宋体" w:hAnsi="宋体" w:cs="宋体" w:hint="eastAsia"/>
                <w:kern w:val="0"/>
                <w:szCs w:val="21"/>
                <w:vertAlign w:val="superscript"/>
              </w:rPr>
              <w:t>-5</w:t>
            </w:r>
          </w:p>
        </w:tc>
        <w:tc>
          <w:tcPr>
            <w:tcW w:w="1548" w:type="pct"/>
            <w:tcMar>
              <w:top w:w="0" w:type="dxa"/>
              <w:left w:w="108" w:type="dxa"/>
              <w:bottom w:w="0" w:type="dxa"/>
              <w:right w:w="108" w:type="dxa"/>
            </w:tcMar>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3×10</w:t>
            </w:r>
            <w:r w:rsidRPr="00123108">
              <w:rPr>
                <w:rFonts w:ascii="宋体" w:hAnsi="宋体" w:cs="宋体" w:hint="eastAsia"/>
                <w:kern w:val="0"/>
                <w:szCs w:val="21"/>
                <w:vertAlign w:val="superscript"/>
              </w:rPr>
              <w:t>-5</w:t>
            </w:r>
          </w:p>
        </w:tc>
      </w:tr>
    </w:tbl>
    <w:p w:rsidR="004F34D9" w:rsidRPr="00123108" w:rsidRDefault="004F34D9">
      <w:pPr>
        <w:spacing w:line="360" w:lineRule="auto"/>
        <w:jc w:val="center"/>
        <w:rPr>
          <w:rFonts w:ascii="黑体" w:eastAsia="黑体" w:hAnsi="黑体" w:cs="宋体" w:hint="eastAsia"/>
          <w:b/>
          <w:bCs/>
          <w:sz w:val="28"/>
          <w:szCs w:val="28"/>
        </w:rPr>
      </w:pPr>
      <w:r w:rsidRPr="00123108">
        <w:rPr>
          <w:rFonts w:ascii="黑体" w:eastAsia="黑体" w:hAnsi="黑体" w:cs="宋体" w:hint="eastAsia"/>
          <w:b/>
          <w:bCs/>
          <w:sz w:val="28"/>
          <w:szCs w:val="28"/>
        </w:rPr>
        <w:lastRenderedPageBreak/>
        <w:t>附表2.2-2  一般防护目标的分类</w:t>
      </w:r>
    </w:p>
    <w:tbl>
      <w:tblPr>
        <w:tblW w:w="4995"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6"/>
        <w:gridCol w:w="1661"/>
        <w:gridCol w:w="1888"/>
        <w:gridCol w:w="1461"/>
      </w:tblGrid>
      <w:tr w:rsidR="004F34D9" w:rsidRPr="00123108">
        <w:trPr>
          <w:trHeight w:val="340"/>
          <w:jc w:val="center"/>
        </w:trPr>
        <w:tc>
          <w:tcPr>
            <w:tcW w:w="2267"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防护目标类型</w:t>
            </w:r>
          </w:p>
        </w:tc>
        <w:tc>
          <w:tcPr>
            <w:tcW w:w="906"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一类防护目标</w:t>
            </w:r>
          </w:p>
        </w:tc>
        <w:tc>
          <w:tcPr>
            <w:tcW w:w="1030"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二类防护目标</w:t>
            </w:r>
          </w:p>
        </w:tc>
        <w:tc>
          <w:tcPr>
            <w:tcW w:w="797"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三类防护目标</w:t>
            </w:r>
          </w:p>
        </w:tc>
      </w:tr>
      <w:tr w:rsidR="004F34D9" w:rsidRPr="00123108">
        <w:trPr>
          <w:trHeight w:val="340"/>
          <w:jc w:val="center"/>
        </w:trPr>
        <w:tc>
          <w:tcPr>
            <w:tcW w:w="2267" w:type="pct"/>
            <w:vAlign w:val="center"/>
          </w:tcPr>
          <w:p w:rsidR="004F34D9" w:rsidRPr="00123108" w:rsidRDefault="004F34D9">
            <w:pPr>
              <w:widowControl/>
              <w:snapToGrid w:val="0"/>
              <w:jc w:val="center"/>
              <w:rPr>
                <w:rFonts w:ascii="宋体" w:hAnsi="宋体" w:cs="宋体" w:hint="eastAsia"/>
                <w:kern w:val="0"/>
                <w:szCs w:val="21"/>
                <w:lang w:val="zh-CN"/>
              </w:rPr>
            </w:pPr>
            <w:r w:rsidRPr="00123108">
              <w:rPr>
                <w:rFonts w:ascii="宋体" w:hAnsi="宋体" w:cs="宋体" w:hint="eastAsia"/>
                <w:kern w:val="0"/>
                <w:szCs w:val="21"/>
                <w:lang w:val="zh-CN"/>
              </w:rPr>
              <w:t>住宅及相应服务设施</w:t>
            </w:r>
          </w:p>
          <w:p w:rsidR="004F34D9" w:rsidRPr="00123108" w:rsidRDefault="004F34D9">
            <w:pPr>
              <w:widowControl/>
              <w:snapToGrid w:val="0"/>
              <w:jc w:val="center"/>
              <w:rPr>
                <w:rFonts w:ascii="宋体" w:hAnsi="宋体" w:cs="宋体" w:hint="eastAsia"/>
                <w:kern w:val="0"/>
                <w:szCs w:val="21"/>
                <w:lang w:val="zh-CN"/>
              </w:rPr>
            </w:pPr>
            <w:r w:rsidRPr="00123108">
              <w:rPr>
                <w:rFonts w:ascii="宋体" w:hAnsi="宋体" w:cs="宋体" w:hint="eastAsia"/>
                <w:kern w:val="0"/>
                <w:szCs w:val="21"/>
                <w:lang w:val="zh-CN"/>
              </w:rPr>
              <w:t>住宅包括：农村居民点、低层住区、中层和高层住宅建筑等</w:t>
            </w:r>
          </w:p>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相应服务设施包括：居住小区及小区级以下的幼托、文化、体育、商业、卫生服务、养老助残设施，不包括中小学</w:t>
            </w:r>
          </w:p>
        </w:tc>
        <w:tc>
          <w:tcPr>
            <w:tcW w:w="906"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居住户数30户以上，或居住人数100人以上</w:t>
            </w:r>
          </w:p>
        </w:tc>
        <w:tc>
          <w:tcPr>
            <w:tcW w:w="1030"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居住户数10户以上30户以下，或居住人数30人以上100人以下</w:t>
            </w:r>
          </w:p>
        </w:tc>
        <w:tc>
          <w:tcPr>
            <w:tcW w:w="797"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居住户数10户以下，或居住人数30人以下</w:t>
            </w:r>
          </w:p>
        </w:tc>
      </w:tr>
      <w:tr w:rsidR="004F34D9" w:rsidRPr="00123108">
        <w:trPr>
          <w:trHeight w:val="340"/>
          <w:jc w:val="center"/>
        </w:trPr>
        <w:tc>
          <w:tcPr>
            <w:tcW w:w="2267" w:type="pct"/>
            <w:vAlign w:val="center"/>
          </w:tcPr>
          <w:p w:rsidR="004F34D9" w:rsidRPr="00123108" w:rsidRDefault="004F34D9">
            <w:pPr>
              <w:widowControl/>
              <w:snapToGrid w:val="0"/>
              <w:jc w:val="center"/>
              <w:rPr>
                <w:rFonts w:ascii="宋体" w:hAnsi="宋体" w:cs="宋体" w:hint="eastAsia"/>
                <w:kern w:val="0"/>
                <w:szCs w:val="21"/>
                <w:lang w:val="zh-CN"/>
              </w:rPr>
            </w:pPr>
            <w:r w:rsidRPr="00123108">
              <w:rPr>
                <w:rFonts w:ascii="宋体" w:hAnsi="宋体" w:cs="宋体" w:hint="eastAsia"/>
                <w:kern w:val="0"/>
                <w:szCs w:val="21"/>
                <w:lang w:val="zh-CN"/>
              </w:rPr>
              <w:t>行政办公设施</w:t>
            </w:r>
          </w:p>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包括：党政机关、社会团体、科研、事业单位等）楼及其相关设施</w:t>
            </w:r>
          </w:p>
        </w:tc>
        <w:tc>
          <w:tcPr>
            <w:tcW w:w="906"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县级以上党政机关以及其他办公人数100人以上的行政办公建筑</w:t>
            </w:r>
          </w:p>
        </w:tc>
        <w:tc>
          <w:tcPr>
            <w:tcW w:w="1030"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办公人数100人以下的行政办公建筑</w:t>
            </w:r>
          </w:p>
        </w:tc>
        <w:tc>
          <w:tcPr>
            <w:tcW w:w="797" w:type="pct"/>
            <w:vAlign w:val="center"/>
          </w:tcPr>
          <w:p w:rsidR="004F34D9" w:rsidRPr="00123108" w:rsidRDefault="004F34D9">
            <w:pPr>
              <w:widowControl/>
              <w:snapToGrid w:val="0"/>
              <w:jc w:val="center"/>
              <w:rPr>
                <w:rFonts w:ascii="宋体" w:hAnsi="宋体" w:cs="宋体" w:hint="eastAsia"/>
                <w:kern w:val="0"/>
                <w:szCs w:val="21"/>
              </w:rPr>
            </w:pPr>
          </w:p>
        </w:tc>
      </w:tr>
      <w:tr w:rsidR="004F34D9" w:rsidRPr="00123108">
        <w:trPr>
          <w:trHeight w:val="340"/>
          <w:jc w:val="center"/>
        </w:trPr>
        <w:tc>
          <w:tcPr>
            <w:tcW w:w="2267" w:type="pct"/>
            <w:vAlign w:val="center"/>
          </w:tcPr>
          <w:p w:rsidR="004F34D9" w:rsidRPr="00123108" w:rsidRDefault="004F34D9">
            <w:pPr>
              <w:widowControl/>
              <w:snapToGrid w:val="0"/>
              <w:jc w:val="center"/>
              <w:rPr>
                <w:rFonts w:ascii="宋体" w:hAnsi="宋体" w:cs="宋体" w:hint="eastAsia"/>
                <w:kern w:val="0"/>
                <w:szCs w:val="21"/>
                <w:lang w:val="zh-CN"/>
              </w:rPr>
            </w:pPr>
            <w:r w:rsidRPr="00123108">
              <w:rPr>
                <w:rFonts w:ascii="宋体" w:hAnsi="宋体" w:cs="宋体" w:hint="eastAsia"/>
                <w:kern w:val="0"/>
                <w:szCs w:val="21"/>
                <w:lang w:val="zh-CN"/>
              </w:rPr>
              <w:t>体育场馆</w:t>
            </w:r>
          </w:p>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不包括：学校等机构专用的体育设施</w:t>
            </w:r>
          </w:p>
        </w:tc>
        <w:tc>
          <w:tcPr>
            <w:tcW w:w="906"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总建筑面积500m</w:t>
            </w:r>
            <w:r w:rsidRPr="00123108">
              <w:rPr>
                <w:rFonts w:ascii="宋体" w:hAnsi="宋体" w:cs="宋体" w:hint="eastAsia"/>
                <w:kern w:val="0"/>
                <w:szCs w:val="21"/>
                <w:vertAlign w:val="superscript"/>
                <w:lang w:val="zh-CN"/>
              </w:rPr>
              <w:t>2</w:t>
            </w:r>
            <w:r w:rsidRPr="00123108">
              <w:rPr>
                <w:rFonts w:ascii="宋体" w:hAnsi="宋体" w:cs="宋体" w:hint="eastAsia"/>
                <w:kern w:val="0"/>
                <w:szCs w:val="21"/>
                <w:lang w:val="zh-CN"/>
              </w:rPr>
              <w:t>以上的</w:t>
            </w:r>
          </w:p>
        </w:tc>
        <w:tc>
          <w:tcPr>
            <w:tcW w:w="1030"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总建筑面积5000m</w:t>
            </w:r>
            <w:r w:rsidRPr="00123108">
              <w:rPr>
                <w:rFonts w:ascii="宋体" w:hAnsi="宋体" w:cs="宋体" w:hint="eastAsia"/>
                <w:kern w:val="0"/>
                <w:szCs w:val="21"/>
                <w:vertAlign w:val="superscript"/>
                <w:lang w:val="zh-CN"/>
              </w:rPr>
              <w:t>2</w:t>
            </w:r>
            <w:r w:rsidRPr="00123108">
              <w:rPr>
                <w:rFonts w:ascii="宋体" w:hAnsi="宋体" w:cs="宋体" w:hint="eastAsia"/>
                <w:kern w:val="0"/>
                <w:szCs w:val="21"/>
                <w:lang w:val="zh-CN"/>
              </w:rPr>
              <w:t>以下的</w:t>
            </w:r>
          </w:p>
        </w:tc>
        <w:tc>
          <w:tcPr>
            <w:tcW w:w="797" w:type="pct"/>
            <w:vAlign w:val="center"/>
          </w:tcPr>
          <w:p w:rsidR="004F34D9" w:rsidRPr="00123108" w:rsidRDefault="004F34D9">
            <w:pPr>
              <w:widowControl/>
              <w:snapToGrid w:val="0"/>
              <w:jc w:val="center"/>
              <w:rPr>
                <w:rFonts w:ascii="宋体" w:hAnsi="宋体" w:cs="宋体" w:hint="eastAsia"/>
                <w:kern w:val="0"/>
                <w:szCs w:val="21"/>
              </w:rPr>
            </w:pPr>
          </w:p>
        </w:tc>
      </w:tr>
      <w:tr w:rsidR="004F34D9" w:rsidRPr="00123108">
        <w:trPr>
          <w:trHeight w:val="340"/>
          <w:jc w:val="center"/>
        </w:trPr>
        <w:tc>
          <w:tcPr>
            <w:tcW w:w="2267" w:type="pct"/>
            <w:vAlign w:val="center"/>
          </w:tcPr>
          <w:p w:rsidR="004F34D9" w:rsidRPr="00123108" w:rsidRDefault="004F34D9">
            <w:pPr>
              <w:widowControl/>
              <w:snapToGrid w:val="0"/>
              <w:jc w:val="center"/>
              <w:rPr>
                <w:rFonts w:ascii="宋体" w:hAnsi="宋体" w:cs="宋体" w:hint="eastAsia"/>
                <w:kern w:val="0"/>
                <w:szCs w:val="21"/>
                <w:lang w:val="zh-CN"/>
              </w:rPr>
            </w:pPr>
            <w:r w:rsidRPr="00123108">
              <w:rPr>
                <w:rFonts w:ascii="宋体" w:hAnsi="宋体" w:cs="宋体" w:hint="eastAsia"/>
                <w:kern w:val="0"/>
                <w:szCs w:val="21"/>
                <w:lang w:val="zh-CN"/>
              </w:rPr>
              <w:t>商业、餐饮业等综合性商业服务建筑</w:t>
            </w:r>
          </w:p>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包括：以零售功能为主的商铺、商场、超市、市场类商业建筑或场所；以批发功能为主的农贸市场；饭店、餐厅、酒吧等餐饮业场所或建筑</w:t>
            </w:r>
          </w:p>
        </w:tc>
        <w:tc>
          <w:tcPr>
            <w:tcW w:w="906"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总建筑面积5000m</w:t>
            </w:r>
            <w:r w:rsidRPr="00123108">
              <w:rPr>
                <w:rFonts w:ascii="宋体" w:hAnsi="宋体" w:cs="宋体" w:hint="eastAsia"/>
                <w:kern w:val="0"/>
                <w:szCs w:val="21"/>
                <w:vertAlign w:val="superscript"/>
                <w:lang w:val="zh-CN"/>
              </w:rPr>
              <w:t>2</w:t>
            </w:r>
            <w:r w:rsidRPr="00123108">
              <w:rPr>
                <w:rFonts w:ascii="宋体" w:hAnsi="宋体" w:cs="宋体" w:hint="eastAsia"/>
                <w:kern w:val="0"/>
                <w:szCs w:val="21"/>
                <w:lang w:val="zh-CN"/>
              </w:rPr>
              <w:t>以上的建筑，或高峰时300人以上的露天场所</w:t>
            </w:r>
          </w:p>
        </w:tc>
        <w:tc>
          <w:tcPr>
            <w:tcW w:w="1030"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总建筑面积1500m</w:t>
            </w:r>
            <w:r w:rsidRPr="00123108">
              <w:rPr>
                <w:rFonts w:ascii="宋体" w:hAnsi="宋体" w:cs="宋体" w:hint="eastAsia"/>
                <w:kern w:val="0"/>
                <w:szCs w:val="21"/>
                <w:vertAlign w:val="superscript"/>
                <w:lang w:val="zh-CN"/>
              </w:rPr>
              <w:t>2</w:t>
            </w:r>
            <w:r w:rsidRPr="00123108">
              <w:rPr>
                <w:rFonts w:ascii="宋体" w:hAnsi="宋体" w:cs="宋体" w:hint="eastAsia"/>
                <w:kern w:val="0"/>
                <w:szCs w:val="21"/>
                <w:lang w:val="zh-CN"/>
              </w:rPr>
              <w:t>以上5000m</w:t>
            </w:r>
            <w:r w:rsidRPr="00123108">
              <w:rPr>
                <w:rFonts w:ascii="宋体" w:hAnsi="宋体" w:cs="宋体" w:hint="eastAsia"/>
                <w:kern w:val="0"/>
                <w:szCs w:val="21"/>
                <w:vertAlign w:val="superscript"/>
                <w:lang w:val="zh-CN"/>
              </w:rPr>
              <w:t>2</w:t>
            </w:r>
            <w:r w:rsidRPr="00123108">
              <w:rPr>
                <w:rFonts w:ascii="宋体" w:hAnsi="宋体" w:cs="宋体" w:hint="eastAsia"/>
                <w:kern w:val="0"/>
                <w:szCs w:val="21"/>
                <w:lang w:val="zh-CN"/>
              </w:rPr>
              <w:t>以下的建筑，或高峰时100人以上300人以下的露天场所</w:t>
            </w:r>
          </w:p>
        </w:tc>
        <w:tc>
          <w:tcPr>
            <w:tcW w:w="797"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总建筑面积1500m</w:t>
            </w:r>
            <w:r w:rsidRPr="00123108">
              <w:rPr>
                <w:rFonts w:ascii="宋体" w:hAnsi="宋体" w:cs="宋体" w:hint="eastAsia"/>
                <w:kern w:val="0"/>
                <w:szCs w:val="21"/>
                <w:vertAlign w:val="superscript"/>
                <w:lang w:val="zh-CN"/>
              </w:rPr>
              <w:t>2</w:t>
            </w:r>
            <w:r w:rsidRPr="00123108">
              <w:rPr>
                <w:rFonts w:ascii="宋体" w:hAnsi="宋体" w:cs="宋体" w:hint="eastAsia"/>
                <w:kern w:val="0"/>
                <w:szCs w:val="21"/>
                <w:lang w:val="zh-CN"/>
              </w:rPr>
              <w:t>以下的建筑，或高峰时 100人以下的天场所</w:t>
            </w:r>
          </w:p>
        </w:tc>
      </w:tr>
      <w:tr w:rsidR="004F34D9" w:rsidRPr="00123108">
        <w:trPr>
          <w:trHeight w:val="340"/>
          <w:jc w:val="center"/>
        </w:trPr>
        <w:tc>
          <w:tcPr>
            <w:tcW w:w="2267" w:type="pct"/>
            <w:vAlign w:val="center"/>
          </w:tcPr>
          <w:p w:rsidR="004F34D9" w:rsidRPr="00123108" w:rsidRDefault="004F34D9">
            <w:pPr>
              <w:widowControl/>
              <w:snapToGrid w:val="0"/>
              <w:jc w:val="center"/>
              <w:rPr>
                <w:rFonts w:ascii="宋体" w:hAnsi="宋体" w:cs="宋体" w:hint="eastAsia"/>
                <w:kern w:val="0"/>
                <w:szCs w:val="21"/>
                <w:lang w:val="zh-CN"/>
              </w:rPr>
            </w:pPr>
            <w:r w:rsidRPr="00123108">
              <w:rPr>
                <w:rFonts w:ascii="宋体" w:hAnsi="宋体" w:cs="宋体" w:hint="eastAsia"/>
                <w:kern w:val="0"/>
                <w:szCs w:val="21"/>
                <w:lang w:val="zh-CN"/>
              </w:rPr>
              <w:t>旅馆住宿业建筑</w:t>
            </w:r>
          </w:p>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包括：宾馆、旅馆、招待所、服务型公寓、度假村等建筑</w:t>
            </w:r>
          </w:p>
        </w:tc>
        <w:tc>
          <w:tcPr>
            <w:tcW w:w="906"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床位数100张以上的</w:t>
            </w:r>
          </w:p>
        </w:tc>
        <w:tc>
          <w:tcPr>
            <w:tcW w:w="1030"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床位数100张以下的</w:t>
            </w:r>
          </w:p>
        </w:tc>
        <w:tc>
          <w:tcPr>
            <w:tcW w:w="797" w:type="pct"/>
            <w:vAlign w:val="center"/>
          </w:tcPr>
          <w:p w:rsidR="004F34D9" w:rsidRPr="00123108" w:rsidRDefault="004F34D9">
            <w:pPr>
              <w:widowControl/>
              <w:snapToGrid w:val="0"/>
              <w:jc w:val="center"/>
              <w:rPr>
                <w:rFonts w:ascii="宋体" w:hAnsi="宋体" w:cs="宋体" w:hint="eastAsia"/>
                <w:kern w:val="0"/>
                <w:szCs w:val="21"/>
              </w:rPr>
            </w:pPr>
          </w:p>
        </w:tc>
      </w:tr>
      <w:tr w:rsidR="004F34D9" w:rsidRPr="00123108">
        <w:trPr>
          <w:trHeight w:val="340"/>
          <w:jc w:val="center"/>
        </w:trPr>
        <w:tc>
          <w:tcPr>
            <w:tcW w:w="2267"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金融保险、艺术传媒、技术服务等综合性商务办公建筑</w:t>
            </w:r>
          </w:p>
        </w:tc>
        <w:tc>
          <w:tcPr>
            <w:tcW w:w="906"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总建筑面积5000m</w:t>
            </w:r>
            <w:r w:rsidRPr="00123108">
              <w:rPr>
                <w:rFonts w:ascii="宋体" w:hAnsi="宋体" w:cs="宋体" w:hint="eastAsia"/>
                <w:kern w:val="0"/>
                <w:szCs w:val="21"/>
                <w:vertAlign w:val="superscript"/>
                <w:lang w:val="zh-CN"/>
              </w:rPr>
              <w:t>2</w:t>
            </w:r>
            <w:r w:rsidRPr="00123108">
              <w:rPr>
                <w:rFonts w:ascii="宋体" w:hAnsi="宋体" w:cs="宋体" w:hint="eastAsia"/>
                <w:kern w:val="0"/>
                <w:szCs w:val="21"/>
                <w:lang w:val="zh-CN"/>
              </w:rPr>
              <w:t>以上的</w:t>
            </w:r>
          </w:p>
        </w:tc>
        <w:tc>
          <w:tcPr>
            <w:tcW w:w="1030"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总建筑面积1500m</w:t>
            </w:r>
            <w:r w:rsidRPr="00123108">
              <w:rPr>
                <w:rFonts w:ascii="宋体" w:hAnsi="宋体" w:cs="宋体" w:hint="eastAsia"/>
                <w:kern w:val="0"/>
                <w:szCs w:val="21"/>
                <w:vertAlign w:val="superscript"/>
              </w:rPr>
              <w:t>2</w:t>
            </w:r>
            <w:r w:rsidRPr="00123108">
              <w:rPr>
                <w:rFonts w:ascii="宋体" w:hAnsi="宋体" w:cs="宋体" w:hint="eastAsia"/>
                <w:kern w:val="0"/>
                <w:szCs w:val="21"/>
                <w:lang w:val="zh-CN"/>
              </w:rPr>
              <w:t>以上5000m</w:t>
            </w:r>
            <w:r w:rsidRPr="00123108">
              <w:rPr>
                <w:rFonts w:ascii="宋体" w:hAnsi="宋体" w:cs="宋体" w:hint="eastAsia"/>
                <w:kern w:val="0"/>
                <w:szCs w:val="21"/>
                <w:vertAlign w:val="superscript"/>
                <w:lang w:val="zh-CN"/>
              </w:rPr>
              <w:t>2</w:t>
            </w:r>
            <w:r w:rsidRPr="00123108">
              <w:rPr>
                <w:rFonts w:ascii="宋体" w:hAnsi="宋体" w:cs="宋体" w:hint="eastAsia"/>
                <w:kern w:val="0"/>
                <w:szCs w:val="21"/>
                <w:lang w:val="zh-CN"/>
              </w:rPr>
              <w:t>以下</w:t>
            </w:r>
          </w:p>
        </w:tc>
        <w:tc>
          <w:tcPr>
            <w:tcW w:w="797"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总建筑面积1500m</w:t>
            </w:r>
            <w:r w:rsidRPr="00123108">
              <w:rPr>
                <w:rFonts w:ascii="宋体" w:hAnsi="宋体" w:cs="宋体" w:hint="eastAsia"/>
                <w:kern w:val="0"/>
                <w:szCs w:val="21"/>
                <w:vertAlign w:val="superscript"/>
                <w:lang w:val="zh-CN"/>
              </w:rPr>
              <w:t>2</w:t>
            </w:r>
            <w:r w:rsidRPr="00123108">
              <w:rPr>
                <w:rFonts w:ascii="宋体" w:hAnsi="宋体" w:cs="宋体" w:hint="eastAsia"/>
                <w:kern w:val="0"/>
                <w:szCs w:val="21"/>
                <w:lang w:val="zh-CN"/>
              </w:rPr>
              <w:t>以下的</w:t>
            </w:r>
          </w:p>
        </w:tc>
      </w:tr>
      <w:tr w:rsidR="004F34D9" w:rsidRPr="00123108">
        <w:trPr>
          <w:trHeight w:val="340"/>
          <w:jc w:val="center"/>
        </w:trPr>
        <w:tc>
          <w:tcPr>
            <w:tcW w:w="2267" w:type="pct"/>
            <w:vAlign w:val="center"/>
          </w:tcPr>
          <w:p w:rsidR="004F34D9" w:rsidRPr="00123108" w:rsidRDefault="004F34D9">
            <w:pPr>
              <w:widowControl/>
              <w:snapToGrid w:val="0"/>
              <w:jc w:val="center"/>
              <w:rPr>
                <w:rFonts w:ascii="宋体" w:hAnsi="宋体" w:cs="宋体" w:hint="eastAsia"/>
                <w:kern w:val="0"/>
                <w:szCs w:val="21"/>
                <w:lang w:val="zh-CN"/>
              </w:rPr>
            </w:pPr>
            <w:r w:rsidRPr="00123108">
              <w:rPr>
                <w:rFonts w:ascii="宋体" w:hAnsi="宋体" w:cs="宋体" w:hint="eastAsia"/>
                <w:kern w:val="0"/>
                <w:szCs w:val="21"/>
                <w:lang w:val="zh-CN"/>
              </w:rPr>
              <w:t>娱乐、康体类建筑或场所</w:t>
            </w:r>
          </w:p>
          <w:p w:rsidR="004F34D9" w:rsidRPr="00123108" w:rsidRDefault="004F34D9">
            <w:pPr>
              <w:widowControl/>
              <w:snapToGrid w:val="0"/>
              <w:jc w:val="center"/>
              <w:rPr>
                <w:rFonts w:ascii="宋体" w:hAnsi="宋体" w:cs="宋体" w:hint="eastAsia"/>
                <w:kern w:val="0"/>
                <w:szCs w:val="21"/>
                <w:lang w:val="zh-CN"/>
              </w:rPr>
            </w:pPr>
            <w:r w:rsidRPr="00123108">
              <w:rPr>
                <w:rFonts w:ascii="宋体" w:hAnsi="宋体" w:cs="宋体" w:hint="eastAsia"/>
                <w:kern w:val="0"/>
                <w:szCs w:val="21"/>
                <w:lang w:val="zh-CN"/>
              </w:rPr>
              <w:t>包括：剧院、音乐厅、电影院、歌舞厅、网吧以及大型游乐等娱乐场所建筑；</w:t>
            </w:r>
          </w:p>
          <w:p w:rsidR="004F34D9" w:rsidRPr="00123108" w:rsidRDefault="004F34D9">
            <w:pPr>
              <w:widowControl/>
              <w:snapToGrid w:val="0"/>
              <w:jc w:val="center"/>
              <w:rPr>
                <w:rFonts w:ascii="宋体" w:hAnsi="宋体" w:cs="宋体" w:hint="eastAsia"/>
                <w:kern w:val="0"/>
                <w:szCs w:val="21"/>
                <w:lang w:val="zh-CN"/>
              </w:rPr>
            </w:pPr>
            <w:r w:rsidRPr="00123108">
              <w:rPr>
                <w:rFonts w:ascii="宋体" w:hAnsi="宋体" w:cs="宋体" w:hint="eastAsia"/>
                <w:kern w:val="0"/>
                <w:szCs w:val="21"/>
                <w:lang w:val="zh-CN"/>
              </w:rPr>
              <w:t>赛马场、高尔夫、溜冰场、跳伞场、摩托车场、射击场等康体场所</w:t>
            </w:r>
          </w:p>
        </w:tc>
        <w:tc>
          <w:tcPr>
            <w:tcW w:w="906" w:type="pct"/>
            <w:vAlign w:val="center"/>
          </w:tcPr>
          <w:p w:rsidR="004F34D9" w:rsidRPr="00123108" w:rsidRDefault="004F34D9">
            <w:pPr>
              <w:widowControl/>
              <w:snapToGrid w:val="0"/>
              <w:jc w:val="center"/>
              <w:rPr>
                <w:rFonts w:ascii="宋体" w:hAnsi="宋体" w:cs="宋体" w:hint="eastAsia"/>
                <w:kern w:val="0"/>
                <w:szCs w:val="21"/>
                <w:lang w:val="zh-CN"/>
              </w:rPr>
            </w:pPr>
            <w:r w:rsidRPr="00123108">
              <w:rPr>
                <w:rFonts w:ascii="宋体" w:hAnsi="宋体" w:cs="宋体" w:hint="eastAsia"/>
                <w:kern w:val="0"/>
                <w:szCs w:val="21"/>
                <w:lang w:val="zh-CN"/>
              </w:rPr>
              <w:t>总建筑面积3000m</w:t>
            </w:r>
            <w:r w:rsidRPr="00123108">
              <w:rPr>
                <w:rFonts w:ascii="宋体" w:hAnsi="宋体" w:cs="宋体" w:hint="eastAsia"/>
                <w:kern w:val="0"/>
                <w:szCs w:val="21"/>
                <w:vertAlign w:val="superscript"/>
                <w:lang w:val="zh-CN"/>
              </w:rPr>
              <w:t>2</w:t>
            </w:r>
            <w:r w:rsidRPr="00123108">
              <w:rPr>
                <w:rFonts w:ascii="宋体" w:hAnsi="宋体" w:cs="宋体" w:hint="eastAsia"/>
                <w:kern w:val="0"/>
                <w:szCs w:val="21"/>
                <w:lang w:val="zh-CN"/>
              </w:rPr>
              <w:t>以上的建筑，或高峰时100人以上的露天场所</w:t>
            </w:r>
          </w:p>
        </w:tc>
        <w:tc>
          <w:tcPr>
            <w:tcW w:w="1030" w:type="pct"/>
            <w:vAlign w:val="center"/>
          </w:tcPr>
          <w:p w:rsidR="004F34D9" w:rsidRPr="00123108" w:rsidRDefault="004F34D9">
            <w:pPr>
              <w:widowControl/>
              <w:snapToGrid w:val="0"/>
              <w:jc w:val="center"/>
              <w:rPr>
                <w:rFonts w:ascii="宋体" w:hAnsi="宋体" w:cs="宋体" w:hint="eastAsia"/>
                <w:kern w:val="0"/>
                <w:szCs w:val="21"/>
                <w:lang w:val="zh-CN"/>
              </w:rPr>
            </w:pPr>
            <w:r w:rsidRPr="00123108">
              <w:rPr>
                <w:rFonts w:ascii="宋体" w:hAnsi="宋体" w:cs="宋体" w:hint="eastAsia"/>
                <w:kern w:val="0"/>
                <w:szCs w:val="21"/>
                <w:lang w:val="zh-CN"/>
              </w:rPr>
              <w:t>总建筑面积3000m</w:t>
            </w:r>
            <w:r w:rsidRPr="00123108">
              <w:rPr>
                <w:rFonts w:ascii="宋体" w:hAnsi="宋体" w:cs="宋体" w:hint="eastAsia"/>
                <w:kern w:val="0"/>
                <w:szCs w:val="21"/>
                <w:vertAlign w:val="superscript"/>
                <w:lang w:val="zh-CN"/>
              </w:rPr>
              <w:t>2</w:t>
            </w:r>
            <w:r w:rsidRPr="00123108">
              <w:rPr>
                <w:rFonts w:ascii="宋体" w:hAnsi="宋体" w:cs="宋体" w:hint="eastAsia"/>
                <w:kern w:val="0"/>
                <w:szCs w:val="21"/>
                <w:lang w:val="zh-CN"/>
              </w:rPr>
              <w:t>以下的建筑，或高峰时100人以下的露天场所</w:t>
            </w:r>
          </w:p>
        </w:tc>
        <w:tc>
          <w:tcPr>
            <w:tcW w:w="797" w:type="pct"/>
            <w:vAlign w:val="center"/>
          </w:tcPr>
          <w:p w:rsidR="004F34D9" w:rsidRPr="00123108" w:rsidRDefault="004F34D9">
            <w:pPr>
              <w:widowControl/>
              <w:snapToGrid w:val="0"/>
              <w:jc w:val="center"/>
              <w:rPr>
                <w:rFonts w:ascii="宋体" w:hAnsi="宋体" w:cs="宋体" w:hint="eastAsia"/>
                <w:kern w:val="0"/>
                <w:szCs w:val="21"/>
                <w:lang w:val="zh-CN"/>
              </w:rPr>
            </w:pPr>
          </w:p>
        </w:tc>
      </w:tr>
      <w:tr w:rsidR="004F34D9" w:rsidRPr="00123108">
        <w:trPr>
          <w:trHeight w:val="340"/>
          <w:jc w:val="center"/>
        </w:trPr>
        <w:tc>
          <w:tcPr>
            <w:tcW w:w="2267" w:type="pct"/>
            <w:vAlign w:val="center"/>
          </w:tcPr>
          <w:p w:rsidR="004F34D9" w:rsidRPr="00123108" w:rsidRDefault="004F34D9">
            <w:pPr>
              <w:widowControl/>
              <w:snapToGrid w:val="0"/>
              <w:jc w:val="center"/>
              <w:rPr>
                <w:rFonts w:ascii="宋体" w:hAnsi="宋体" w:cs="宋体" w:hint="eastAsia"/>
                <w:kern w:val="0"/>
                <w:szCs w:val="21"/>
                <w:lang w:val="zh-CN"/>
              </w:rPr>
            </w:pPr>
            <w:r w:rsidRPr="00123108">
              <w:rPr>
                <w:rFonts w:ascii="宋体" w:hAnsi="宋体" w:cs="宋体" w:hint="eastAsia"/>
                <w:kern w:val="0"/>
                <w:szCs w:val="21"/>
                <w:lang w:val="zh-CN"/>
              </w:rPr>
              <w:t>公共设施营业网点</w:t>
            </w:r>
          </w:p>
        </w:tc>
        <w:tc>
          <w:tcPr>
            <w:tcW w:w="906" w:type="pct"/>
            <w:vAlign w:val="center"/>
          </w:tcPr>
          <w:p w:rsidR="004F34D9" w:rsidRPr="00123108" w:rsidRDefault="004F34D9">
            <w:pPr>
              <w:widowControl/>
              <w:snapToGrid w:val="0"/>
              <w:jc w:val="center"/>
              <w:rPr>
                <w:rFonts w:ascii="宋体" w:hAnsi="宋体" w:cs="宋体" w:hint="eastAsia"/>
                <w:kern w:val="0"/>
                <w:szCs w:val="21"/>
                <w:lang w:val="zh-CN"/>
              </w:rPr>
            </w:pPr>
          </w:p>
        </w:tc>
        <w:tc>
          <w:tcPr>
            <w:tcW w:w="1030" w:type="pct"/>
            <w:vAlign w:val="center"/>
          </w:tcPr>
          <w:p w:rsidR="004F34D9" w:rsidRPr="00123108" w:rsidRDefault="004F34D9">
            <w:pPr>
              <w:widowControl/>
              <w:snapToGrid w:val="0"/>
              <w:jc w:val="center"/>
              <w:rPr>
                <w:rFonts w:ascii="宋体" w:hAnsi="宋体" w:cs="宋体" w:hint="eastAsia"/>
                <w:kern w:val="0"/>
                <w:szCs w:val="21"/>
                <w:lang w:val="zh-CN"/>
              </w:rPr>
            </w:pPr>
            <w:r w:rsidRPr="00123108">
              <w:rPr>
                <w:rFonts w:ascii="宋体" w:hAnsi="宋体" w:cs="宋体" w:hint="eastAsia"/>
                <w:kern w:val="0"/>
                <w:szCs w:val="21"/>
                <w:lang w:val="zh-CN"/>
              </w:rPr>
              <w:t>其他公用设施营业网点。包括电信、邮政、供水、燃气、供电、供热等其他公用设施营业网点</w:t>
            </w:r>
          </w:p>
        </w:tc>
        <w:tc>
          <w:tcPr>
            <w:tcW w:w="797" w:type="pct"/>
            <w:vAlign w:val="center"/>
          </w:tcPr>
          <w:p w:rsidR="004F34D9" w:rsidRPr="00123108" w:rsidRDefault="004F34D9">
            <w:pPr>
              <w:widowControl/>
              <w:snapToGrid w:val="0"/>
              <w:jc w:val="center"/>
              <w:rPr>
                <w:rFonts w:ascii="宋体" w:hAnsi="宋体" w:cs="宋体" w:hint="eastAsia"/>
                <w:kern w:val="0"/>
                <w:szCs w:val="21"/>
                <w:lang w:val="zh-CN"/>
              </w:rPr>
            </w:pPr>
            <w:r w:rsidRPr="00123108">
              <w:rPr>
                <w:rFonts w:ascii="宋体" w:hAnsi="宋体" w:cs="宋体" w:hint="eastAsia"/>
                <w:kern w:val="0"/>
                <w:szCs w:val="21"/>
                <w:lang w:val="zh-CN"/>
              </w:rPr>
              <w:t>加油加气站营业网点</w:t>
            </w:r>
          </w:p>
        </w:tc>
      </w:tr>
      <w:tr w:rsidR="004F34D9" w:rsidRPr="00123108">
        <w:trPr>
          <w:trHeight w:val="340"/>
          <w:jc w:val="center"/>
        </w:trPr>
        <w:tc>
          <w:tcPr>
            <w:tcW w:w="2267"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其他非危险化学品工业企业</w:t>
            </w:r>
          </w:p>
        </w:tc>
        <w:tc>
          <w:tcPr>
            <w:tcW w:w="906" w:type="pct"/>
            <w:vAlign w:val="center"/>
          </w:tcPr>
          <w:p w:rsidR="004F34D9" w:rsidRPr="00123108" w:rsidRDefault="004F34D9">
            <w:pPr>
              <w:widowControl/>
              <w:snapToGrid w:val="0"/>
              <w:jc w:val="center"/>
              <w:rPr>
                <w:rFonts w:ascii="宋体" w:hAnsi="宋体" w:cs="宋体" w:hint="eastAsia"/>
                <w:kern w:val="0"/>
                <w:szCs w:val="21"/>
              </w:rPr>
            </w:pPr>
          </w:p>
        </w:tc>
        <w:tc>
          <w:tcPr>
            <w:tcW w:w="1030"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企业中当班人数100人以上的建筑</w:t>
            </w:r>
          </w:p>
        </w:tc>
        <w:tc>
          <w:tcPr>
            <w:tcW w:w="797"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企业中当班人数100人以下的建筑</w:t>
            </w:r>
          </w:p>
        </w:tc>
      </w:tr>
      <w:tr w:rsidR="004F34D9" w:rsidRPr="00123108">
        <w:trPr>
          <w:trHeight w:val="340"/>
          <w:jc w:val="center"/>
        </w:trPr>
        <w:tc>
          <w:tcPr>
            <w:tcW w:w="2267" w:type="pct"/>
            <w:vAlign w:val="center"/>
          </w:tcPr>
          <w:p w:rsidR="004F34D9" w:rsidRPr="00123108" w:rsidRDefault="004F34D9">
            <w:pPr>
              <w:widowControl/>
              <w:snapToGrid w:val="0"/>
              <w:jc w:val="center"/>
              <w:rPr>
                <w:rFonts w:ascii="宋体" w:hAnsi="宋体" w:cs="宋体" w:hint="eastAsia"/>
                <w:kern w:val="0"/>
                <w:szCs w:val="21"/>
                <w:lang w:val="zh-CN"/>
              </w:rPr>
            </w:pPr>
            <w:r w:rsidRPr="00123108">
              <w:rPr>
                <w:rFonts w:ascii="宋体" w:hAnsi="宋体" w:cs="宋体" w:hint="eastAsia"/>
                <w:kern w:val="0"/>
                <w:szCs w:val="21"/>
                <w:lang w:val="zh-CN"/>
              </w:rPr>
              <w:t>交通枢纽设施</w:t>
            </w:r>
          </w:p>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包括：铁路客运站、公路长途客运站、港口客运码头、机场、交通服务设施（不包括交通指挥中心、交通队）等</w:t>
            </w:r>
          </w:p>
        </w:tc>
        <w:tc>
          <w:tcPr>
            <w:tcW w:w="906"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旅客最高聚集人数100人以上</w:t>
            </w:r>
          </w:p>
        </w:tc>
        <w:tc>
          <w:tcPr>
            <w:tcW w:w="1030"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旅客最高聚集人数100人以下</w:t>
            </w:r>
          </w:p>
        </w:tc>
        <w:tc>
          <w:tcPr>
            <w:tcW w:w="797" w:type="pct"/>
            <w:vAlign w:val="center"/>
          </w:tcPr>
          <w:p w:rsidR="004F34D9" w:rsidRPr="00123108" w:rsidRDefault="004F34D9">
            <w:pPr>
              <w:widowControl/>
              <w:snapToGrid w:val="0"/>
              <w:jc w:val="center"/>
              <w:rPr>
                <w:rFonts w:ascii="宋体" w:hAnsi="宋体" w:cs="宋体" w:hint="eastAsia"/>
                <w:kern w:val="0"/>
                <w:szCs w:val="21"/>
              </w:rPr>
            </w:pPr>
          </w:p>
        </w:tc>
      </w:tr>
      <w:tr w:rsidR="004F34D9" w:rsidRPr="00123108">
        <w:trPr>
          <w:trHeight w:val="340"/>
          <w:jc w:val="center"/>
        </w:trPr>
        <w:tc>
          <w:tcPr>
            <w:tcW w:w="2267"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城镇公园广场</w:t>
            </w:r>
          </w:p>
        </w:tc>
        <w:tc>
          <w:tcPr>
            <w:tcW w:w="906"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总占地面积500</w:t>
            </w:r>
            <w:r w:rsidRPr="00123108">
              <w:rPr>
                <w:rFonts w:ascii="宋体" w:hAnsi="宋体" w:cs="宋体" w:hint="eastAsia"/>
                <w:kern w:val="0"/>
                <w:szCs w:val="21"/>
              </w:rPr>
              <w:t>0</w:t>
            </w:r>
            <w:r w:rsidRPr="00123108">
              <w:rPr>
                <w:rFonts w:ascii="宋体" w:hAnsi="宋体" w:cs="宋体" w:hint="eastAsia"/>
                <w:kern w:val="0"/>
                <w:szCs w:val="21"/>
                <w:lang w:val="zh-CN"/>
              </w:rPr>
              <w:t>m</w:t>
            </w:r>
            <w:r w:rsidRPr="00123108">
              <w:rPr>
                <w:rFonts w:ascii="宋体" w:hAnsi="宋体" w:cs="宋体" w:hint="eastAsia"/>
                <w:kern w:val="0"/>
                <w:szCs w:val="21"/>
                <w:vertAlign w:val="superscript"/>
                <w:lang w:val="zh-CN"/>
              </w:rPr>
              <w:t>2</w:t>
            </w:r>
            <w:r w:rsidRPr="00123108">
              <w:rPr>
                <w:rFonts w:ascii="宋体" w:hAnsi="宋体" w:cs="宋体" w:hint="eastAsia"/>
                <w:kern w:val="0"/>
                <w:szCs w:val="21"/>
                <w:lang w:val="zh-CN"/>
              </w:rPr>
              <w:t>以上的</w:t>
            </w:r>
          </w:p>
        </w:tc>
        <w:tc>
          <w:tcPr>
            <w:tcW w:w="1030"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总占地面积1500m</w:t>
            </w:r>
            <w:r w:rsidRPr="00123108">
              <w:rPr>
                <w:rFonts w:ascii="宋体" w:hAnsi="宋体" w:cs="宋体" w:hint="eastAsia"/>
                <w:kern w:val="0"/>
                <w:szCs w:val="21"/>
                <w:vertAlign w:val="superscript"/>
                <w:lang w:val="zh-CN"/>
              </w:rPr>
              <w:t>2</w:t>
            </w:r>
            <w:r w:rsidRPr="00123108">
              <w:rPr>
                <w:rFonts w:ascii="宋体" w:hAnsi="宋体" w:cs="宋体" w:hint="eastAsia"/>
                <w:kern w:val="0"/>
                <w:szCs w:val="21"/>
                <w:lang w:val="zh-CN"/>
              </w:rPr>
              <w:t>以上5000m</w:t>
            </w:r>
            <w:r w:rsidRPr="00123108">
              <w:rPr>
                <w:rFonts w:ascii="宋体" w:hAnsi="宋体" w:cs="宋体" w:hint="eastAsia"/>
                <w:kern w:val="0"/>
                <w:szCs w:val="21"/>
                <w:vertAlign w:val="superscript"/>
                <w:lang w:val="zh-CN"/>
              </w:rPr>
              <w:t>2</w:t>
            </w:r>
            <w:r w:rsidRPr="00123108">
              <w:rPr>
                <w:rFonts w:ascii="宋体" w:hAnsi="宋体" w:cs="宋体" w:hint="eastAsia"/>
                <w:kern w:val="0"/>
                <w:szCs w:val="21"/>
                <w:lang w:val="zh-CN"/>
              </w:rPr>
              <w:t>以下的</w:t>
            </w:r>
          </w:p>
        </w:tc>
        <w:tc>
          <w:tcPr>
            <w:tcW w:w="797" w:type="pct"/>
            <w:vAlign w:val="center"/>
          </w:tcPr>
          <w:p w:rsidR="004F34D9" w:rsidRPr="00123108" w:rsidRDefault="004F34D9">
            <w:pPr>
              <w:widowControl/>
              <w:snapToGrid w:val="0"/>
              <w:jc w:val="center"/>
              <w:rPr>
                <w:rFonts w:ascii="宋体" w:hAnsi="宋体" w:cs="宋体" w:hint="eastAsia"/>
                <w:kern w:val="0"/>
                <w:szCs w:val="21"/>
              </w:rPr>
            </w:pPr>
            <w:r w:rsidRPr="00123108">
              <w:rPr>
                <w:rFonts w:ascii="宋体" w:hAnsi="宋体" w:cs="宋体" w:hint="eastAsia"/>
                <w:kern w:val="0"/>
                <w:szCs w:val="21"/>
                <w:lang w:val="zh-CN"/>
              </w:rPr>
              <w:t>总占地面积1500m</w:t>
            </w:r>
            <w:r w:rsidRPr="00123108">
              <w:rPr>
                <w:rFonts w:ascii="宋体" w:hAnsi="宋体" w:cs="宋体" w:hint="eastAsia"/>
                <w:kern w:val="0"/>
                <w:szCs w:val="21"/>
                <w:vertAlign w:val="superscript"/>
                <w:lang w:val="zh-CN"/>
              </w:rPr>
              <w:t>2</w:t>
            </w:r>
            <w:r w:rsidRPr="00123108">
              <w:rPr>
                <w:rFonts w:ascii="宋体" w:hAnsi="宋体" w:cs="宋体" w:hint="eastAsia"/>
                <w:kern w:val="0"/>
                <w:szCs w:val="21"/>
                <w:lang w:val="zh-CN"/>
              </w:rPr>
              <w:t>以下的</w:t>
            </w:r>
          </w:p>
        </w:tc>
      </w:tr>
      <w:tr w:rsidR="004F34D9" w:rsidRPr="00123108">
        <w:trPr>
          <w:trHeight w:val="340"/>
          <w:jc w:val="center"/>
        </w:trPr>
        <w:tc>
          <w:tcPr>
            <w:tcW w:w="5000" w:type="pct"/>
            <w:gridSpan w:val="4"/>
            <w:vAlign w:val="center"/>
          </w:tcPr>
          <w:p w:rsidR="004F34D9" w:rsidRPr="00123108" w:rsidRDefault="004F34D9">
            <w:pPr>
              <w:rPr>
                <w:rFonts w:hint="eastAsia"/>
              </w:rPr>
            </w:pPr>
            <w:r w:rsidRPr="00123108">
              <w:rPr>
                <w:rFonts w:hint="eastAsia"/>
              </w:rPr>
              <w:lastRenderedPageBreak/>
              <w:t>注</w:t>
            </w:r>
            <w:r w:rsidRPr="00123108">
              <w:rPr>
                <w:rFonts w:hint="eastAsia"/>
              </w:rPr>
              <w:t>1</w:t>
            </w:r>
            <w:r w:rsidRPr="00123108">
              <w:rPr>
                <w:rFonts w:hint="eastAsia"/>
              </w:rPr>
              <w:t>：低层建筑（一层至三层住宅）为主的农村居民点、低层住区以整体为单元进行规模核算，中层（四层至六层住宅）及以上建筑以单栋建筑为单元进行规模核算。其他防护目标未单独说明的，以独立建筑为目标进行，分类。</w:t>
            </w:r>
          </w:p>
          <w:p w:rsidR="004F34D9" w:rsidRPr="00123108" w:rsidRDefault="004F34D9">
            <w:pPr>
              <w:rPr>
                <w:rFonts w:hint="eastAsia"/>
              </w:rPr>
            </w:pPr>
            <w:r w:rsidRPr="00123108">
              <w:rPr>
                <w:rFonts w:hint="eastAsia"/>
              </w:rPr>
              <w:t>注</w:t>
            </w:r>
            <w:r w:rsidRPr="00123108">
              <w:rPr>
                <w:rFonts w:hint="eastAsia"/>
              </w:rPr>
              <w:t>2</w:t>
            </w:r>
            <w:r w:rsidRPr="00123108">
              <w:rPr>
                <w:rFonts w:hint="eastAsia"/>
              </w:rPr>
              <w:t>：人员数量核算时，居住户数和居住人数按照常住人口核算，企业人员数量按照最大当班人数核算。</w:t>
            </w:r>
          </w:p>
          <w:p w:rsidR="004F34D9" w:rsidRPr="00123108" w:rsidRDefault="004F34D9">
            <w:pPr>
              <w:rPr>
                <w:rFonts w:hint="eastAsia"/>
              </w:rPr>
            </w:pPr>
            <w:r w:rsidRPr="00123108">
              <w:rPr>
                <w:rFonts w:hint="eastAsia"/>
              </w:rPr>
              <w:t>注</w:t>
            </w:r>
            <w:r w:rsidRPr="00123108">
              <w:rPr>
                <w:rFonts w:hint="eastAsia"/>
              </w:rPr>
              <w:t>3</w:t>
            </w:r>
            <w:r w:rsidRPr="00123108">
              <w:rPr>
                <w:rFonts w:hint="eastAsia"/>
              </w:rPr>
              <w:t>：具有兼容性的综合建筑按其主要类型进行分类，若综合楼使用的主要性质难以确定时，按底层使用的主要性质进行归类。</w:t>
            </w:r>
          </w:p>
          <w:p w:rsidR="004F34D9" w:rsidRPr="00123108" w:rsidRDefault="004F34D9">
            <w:pPr>
              <w:rPr>
                <w:rFonts w:hint="eastAsia"/>
              </w:rPr>
            </w:pPr>
            <w:r w:rsidRPr="00123108">
              <w:rPr>
                <w:rFonts w:hint="eastAsia"/>
              </w:rPr>
              <w:t>注</w:t>
            </w:r>
            <w:r w:rsidRPr="00123108">
              <w:rPr>
                <w:rFonts w:hint="eastAsia"/>
              </w:rPr>
              <w:t>4</w:t>
            </w:r>
            <w:r w:rsidRPr="00123108">
              <w:rPr>
                <w:rFonts w:hint="eastAsia"/>
              </w:rPr>
              <w:t>：表中“以上”包括本数，“以下</w:t>
            </w:r>
            <w:r w:rsidRPr="00123108">
              <w:rPr>
                <w:rFonts w:hint="eastAsia"/>
              </w:rPr>
              <w:t>"</w:t>
            </w:r>
            <w:r w:rsidRPr="00123108">
              <w:rPr>
                <w:rFonts w:hint="eastAsia"/>
              </w:rPr>
              <w:t>不包括本数。</w:t>
            </w:r>
          </w:p>
        </w:tc>
      </w:tr>
    </w:tbl>
    <w:p w:rsidR="004F34D9" w:rsidRPr="00123108" w:rsidRDefault="004F34D9">
      <w:pPr>
        <w:ind w:firstLineChars="200" w:firstLine="480"/>
        <w:rPr>
          <w:rFonts w:ascii="宋体" w:hAnsi="宋体" w:cs="宋体" w:hint="eastAsia"/>
          <w:sz w:val="24"/>
          <w:lang w:val="zh-CN"/>
        </w:rPr>
      </w:pPr>
    </w:p>
    <w:p w:rsidR="004F34D9" w:rsidRPr="00123108" w:rsidRDefault="0027750A">
      <w:pPr>
        <w:spacing w:line="360" w:lineRule="auto"/>
        <w:rPr>
          <w:rFonts w:ascii="宋体" w:hAnsi="宋体" w:cs="宋体" w:hint="eastAsia"/>
          <w:sz w:val="28"/>
          <w:szCs w:val="28"/>
        </w:rPr>
      </w:pPr>
      <w:r w:rsidRPr="00123108">
        <w:rPr>
          <w:rFonts w:ascii="宋体" w:hAnsi="宋体" w:cs="宋体" w:hint="eastAsia"/>
          <w:noProof/>
        </w:rPr>
        <w:drawing>
          <wp:inline distT="0" distB="0" distL="0" distR="0">
            <wp:extent cx="5800090" cy="3316605"/>
            <wp:effectExtent l="0" t="0" r="0" b="0"/>
            <wp:docPr id="12"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00090" cy="3316605"/>
                    </a:xfrm>
                    <a:prstGeom prst="rect">
                      <a:avLst/>
                    </a:prstGeom>
                    <a:noFill/>
                    <a:ln>
                      <a:noFill/>
                    </a:ln>
                    <a:effectLst/>
                  </pic:spPr>
                </pic:pic>
              </a:graphicData>
            </a:graphic>
          </wp:inline>
        </w:drawing>
      </w:r>
    </w:p>
    <w:p w:rsidR="004F34D9" w:rsidRPr="00123108" w:rsidRDefault="004F34D9">
      <w:pPr>
        <w:spacing w:line="360" w:lineRule="auto"/>
        <w:jc w:val="center"/>
        <w:rPr>
          <w:rFonts w:ascii="宋体" w:hAnsi="宋体" w:cs="宋体" w:hint="eastAsia"/>
          <w:b/>
          <w:bCs/>
          <w:sz w:val="28"/>
          <w:szCs w:val="28"/>
        </w:rPr>
      </w:pPr>
      <w:r w:rsidRPr="00123108">
        <w:rPr>
          <w:rFonts w:ascii="宋体" w:hAnsi="宋体" w:cs="宋体" w:hint="eastAsia"/>
          <w:b/>
          <w:bCs/>
          <w:sz w:val="28"/>
          <w:szCs w:val="28"/>
        </w:rPr>
        <w:t>附图2.2-1  社会风险基准</w:t>
      </w:r>
    </w:p>
    <w:p w:rsidR="004F34D9" w:rsidRPr="00123108" w:rsidRDefault="004F34D9">
      <w:pPr>
        <w:adjustRightInd w:val="0"/>
        <w:snapToGrid w:val="0"/>
        <w:ind w:firstLineChars="200" w:firstLine="420"/>
        <w:rPr>
          <w:rFonts w:hint="eastAsia"/>
          <w:szCs w:val="21"/>
        </w:rPr>
      </w:pPr>
    </w:p>
    <w:p w:rsidR="004F34D9" w:rsidRPr="00123108" w:rsidRDefault="004F34D9">
      <w:pPr>
        <w:spacing w:line="360" w:lineRule="auto"/>
        <w:ind w:firstLineChars="250" w:firstLine="700"/>
        <w:rPr>
          <w:rFonts w:ascii="宋体" w:hAnsi="宋体" w:cs="宋体" w:hint="eastAsia"/>
          <w:sz w:val="28"/>
          <w:szCs w:val="28"/>
        </w:rPr>
      </w:pPr>
      <w:r w:rsidRPr="00123108">
        <w:rPr>
          <w:rFonts w:ascii="宋体" w:hAnsi="宋体" w:cs="宋体" w:hint="eastAsia"/>
          <w:sz w:val="28"/>
          <w:szCs w:val="28"/>
        </w:rPr>
        <w:t>（2）个人风险、社会风险取值</w:t>
      </w:r>
    </w:p>
    <w:p w:rsidR="004F34D9" w:rsidRPr="00123108" w:rsidRDefault="004F34D9">
      <w:pPr>
        <w:spacing w:line="360" w:lineRule="auto"/>
        <w:ind w:firstLineChars="250" w:firstLine="700"/>
        <w:rPr>
          <w:rFonts w:ascii="宋体" w:hAnsi="宋体" w:cs="宋体" w:hint="eastAsia"/>
          <w:sz w:val="28"/>
          <w:szCs w:val="28"/>
        </w:rPr>
      </w:pPr>
      <w:r w:rsidRPr="00123108">
        <w:rPr>
          <w:rFonts w:ascii="宋体" w:hAnsi="宋体" w:cs="宋体" w:hint="eastAsia"/>
          <w:sz w:val="28"/>
          <w:szCs w:val="28"/>
        </w:rPr>
        <w:t>利用南京安元科技有限公司研制的定量风险评价软件对新桥化工整个厂区进行个人风险值和社会风险值计算分析。</w:t>
      </w:r>
    </w:p>
    <w:p w:rsidR="004F34D9" w:rsidRPr="00123108" w:rsidRDefault="004F34D9">
      <w:pPr>
        <w:pStyle w:val="af2"/>
        <w:rPr>
          <w:rFonts w:hint="eastAsia"/>
        </w:rPr>
      </w:pPr>
    </w:p>
    <w:p w:rsidR="004F34D9" w:rsidRPr="0027750A" w:rsidRDefault="004F34D9">
      <w:pPr>
        <w:spacing w:line="360" w:lineRule="auto"/>
        <w:rPr>
          <w:rFonts w:ascii="宋体" w:hAnsi="宋体" w:cs="宋体" w:hint="eastAsia"/>
          <w:sz w:val="28"/>
          <w:szCs w:val="28"/>
          <w:lang w:val="x-none"/>
        </w:rPr>
      </w:pPr>
    </w:p>
    <w:p w:rsidR="004F34D9" w:rsidRPr="00123108" w:rsidRDefault="004F34D9">
      <w:pPr>
        <w:spacing w:line="360" w:lineRule="auto"/>
        <w:jc w:val="center"/>
        <w:rPr>
          <w:rFonts w:ascii="宋体" w:hAnsi="宋体" w:cs="宋体" w:hint="eastAsia"/>
          <w:b/>
          <w:bCs/>
          <w:sz w:val="28"/>
          <w:szCs w:val="28"/>
        </w:rPr>
      </w:pPr>
      <w:r w:rsidRPr="00123108">
        <w:rPr>
          <w:rFonts w:ascii="宋体" w:hAnsi="宋体" w:cs="宋体" w:hint="eastAsia"/>
          <w:b/>
          <w:bCs/>
          <w:sz w:val="28"/>
          <w:szCs w:val="28"/>
        </w:rPr>
        <w:t>附图2.2-2  GB 36894-2018在役装置个人/社会风险取值标准</w:t>
      </w:r>
    </w:p>
    <w:p w:rsidR="004F34D9" w:rsidRPr="00123108" w:rsidRDefault="004F34D9">
      <w:pPr>
        <w:spacing w:line="360" w:lineRule="auto"/>
        <w:ind w:firstLineChars="250" w:firstLine="700"/>
        <w:rPr>
          <w:rFonts w:ascii="宋体" w:hAnsi="宋体" w:cs="宋体" w:hint="eastAsia"/>
          <w:b/>
          <w:bCs/>
          <w:sz w:val="28"/>
          <w:szCs w:val="28"/>
        </w:rPr>
      </w:pPr>
      <w:r w:rsidRPr="00123108">
        <w:rPr>
          <w:rFonts w:ascii="宋体" w:hAnsi="宋体" w:cs="宋体" w:hint="eastAsia"/>
          <w:sz w:val="28"/>
          <w:szCs w:val="28"/>
        </w:rPr>
        <w:t>（3）气象条件</w:t>
      </w:r>
    </w:p>
    <w:p w:rsidR="004F34D9" w:rsidRPr="00123108" w:rsidRDefault="004F34D9">
      <w:pPr>
        <w:spacing w:line="360" w:lineRule="auto"/>
        <w:jc w:val="center"/>
        <w:rPr>
          <w:rFonts w:ascii="黑体" w:eastAsia="黑体" w:hAnsi="黑体" w:cs="宋体"/>
          <w:b/>
          <w:bCs/>
          <w:sz w:val="28"/>
          <w:szCs w:val="28"/>
        </w:rPr>
      </w:pPr>
      <w:r w:rsidRPr="00123108">
        <w:rPr>
          <w:rFonts w:ascii="黑体" w:eastAsia="黑体" w:hAnsi="黑体" w:cs="宋体" w:hint="eastAsia"/>
          <w:b/>
          <w:bCs/>
          <w:sz w:val="28"/>
          <w:szCs w:val="28"/>
        </w:rPr>
        <w:t>附表2.2-3 气象条件一览表</w:t>
      </w:r>
    </w:p>
    <w:tbl>
      <w:tblPr>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6"/>
        <w:gridCol w:w="4587"/>
      </w:tblGrid>
      <w:tr w:rsidR="004F34D9" w:rsidRPr="00123108">
        <w:tc>
          <w:tcPr>
            <w:tcW w:w="2500"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参数名称</w:t>
            </w:r>
          </w:p>
        </w:tc>
        <w:tc>
          <w:tcPr>
            <w:tcW w:w="2500"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参数取值</w:t>
            </w:r>
          </w:p>
        </w:tc>
      </w:tr>
      <w:tr w:rsidR="004F34D9" w:rsidRPr="00123108">
        <w:trPr>
          <w:trHeight w:val="473"/>
        </w:trPr>
        <w:tc>
          <w:tcPr>
            <w:tcW w:w="2500"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所在区域</w:t>
            </w:r>
          </w:p>
        </w:tc>
        <w:tc>
          <w:tcPr>
            <w:tcW w:w="2500"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宁波</w:t>
            </w:r>
          </w:p>
        </w:tc>
      </w:tr>
      <w:tr w:rsidR="004F34D9" w:rsidRPr="00123108">
        <w:tc>
          <w:tcPr>
            <w:tcW w:w="2500"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地面类型</w:t>
            </w:r>
          </w:p>
        </w:tc>
        <w:tc>
          <w:tcPr>
            <w:tcW w:w="2500"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分散的高矮建筑物（城市）</w:t>
            </w:r>
          </w:p>
        </w:tc>
      </w:tr>
      <w:tr w:rsidR="004F34D9" w:rsidRPr="00123108">
        <w:tc>
          <w:tcPr>
            <w:tcW w:w="2500"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lastRenderedPageBreak/>
              <w:t>辐射强度</w:t>
            </w:r>
          </w:p>
        </w:tc>
        <w:tc>
          <w:tcPr>
            <w:tcW w:w="2500"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中等（白天日照）</w:t>
            </w:r>
          </w:p>
        </w:tc>
      </w:tr>
      <w:tr w:rsidR="004F34D9" w:rsidRPr="00123108">
        <w:tc>
          <w:tcPr>
            <w:tcW w:w="2500"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大气稳定度</w:t>
            </w:r>
          </w:p>
        </w:tc>
        <w:tc>
          <w:tcPr>
            <w:tcW w:w="2500"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D</w:t>
            </w:r>
          </w:p>
        </w:tc>
      </w:tr>
      <w:tr w:rsidR="004F34D9" w:rsidRPr="00123108">
        <w:tc>
          <w:tcPr>
            <w:tcW w:w="2500"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环境压力（pa）</w:t>
            </w:r>
          </w:p>
        </w:tc>
        <w:tc>
          <w:tcPr>
            <w:tcW w:w="2500"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103625</w:t>
            </w:r>
          </w:p>
        </w:tc>
      </w:tr>
      <w:tr w:rsidR="004F34D9" w:rsidRPr="00123108">
        <w:tc>
          <w:tcPr>
            <w:tcW w:w="2500"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环境平均风速（m/s）</w:t>
            </w:r>
          </w:p>
        </w:tc>
        <w:tc>
          <w:tcPr>
            <w:tcW w:w="2500"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1.91</w:t>
            </w:r>
          </w:p>
        </w:tc>
      </w:tr>
      <w:tr w:rsidR="004F34D9" w:rsidRPr="00123108">
        <w:tc>
          <w:tcPr>
            <w:tcW w:w="2500"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环境大气密度（kg/m</w:t>
            </w:r>
            <w:r w:rsidRPr="00123108">
              <w:rPr>
                <w:rFonts w:ascii="宋体" w:hAnsi="宋体" w:cs="宋体" w:hint="eastAsia"/>
                <w:szCs w:val="21"/>
                <w:vertAlign w:val="superscript"/>
              </w:rPr>
              <w:t>3</w:t>
            </w:r>
            <w:r w:rsidRPr="00123108">
              <w:rPr>
                <w:rFonts w:ascii="宋体" w:hAnsi="宋体" w:cs="宋体" w:hint="eastAsia"/>
                <w:szCs w:val="21"/>
              </w:rPr>
              <w:t>）</w:t>
            </w:r>
          </w:p>
        </w:tc>
        <w:tc>
          <w:tcPr>
            <w:tcW w:w="2500"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1.293</w:t>
            </w:r>
          </w:p>
        </w:tc>
      </w:tr>
      <w:tr w:rsidR="004F34D9" w:rsidRPr="00123108">
        <w:tc>
          <w:tcPr>
            <w:tcW w:w="2500"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环境温度（K）</w:t>
            </w:r>
          </w:p>
        </w:tc>
        <w:tc>
          <w:tcPr>
            <w:tcW w:w="2500"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293</w:t>
            </w:r>
          </w:p>
        </w:tc>
      </w:tr>
      <w:tr w:rsidR="004F34D9" w:rsidRPr="00123108">
        <w:tc>
          <w:tcPr>
            <w:tcW w:w="2500"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建筑物占地百分比</w:t>
            </w:r>
          </w:p>
        </w:tc>
        <w:tc>
          <w:tcPr>
            <w:tcW w:w="2500"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0.03</w:t>
            </w:r>
          </w:p>
        </w:tc>
      </w:tr>
    </w:tbl>
    <w:p w:rsidR="004F34D9" w:rsidRPr="00123108" w:rsidRDefault="004F34D9">
      <w:pPr>
        <w:spacing w:line="360" w:lineRule="auto"/>
        <w:ind w:firstLineChars="250" w:firstLine="700"/>
        <w:rPr>
          <w:rFonts w:ascii="宋体" w:hAnsi="宋体" w:cs="宋体" w:hint="eastAsia"/>
          <w:sz w:val="28"/>
          <w:szCs w:val="28"/>
        </w:rPr>
      </w:pPr>
      <w:r w:rsidRPr="00123108">
        <w:rPr>
          <w:rFonts w:ascii="宋体" w:hAnsi="宋体" w:cs="宋体" w:hint="eastAsia"/>
          <w:sz w:val="28"/>
          <w:szCs w:val="28"/>
        </w:rPr>
        <w:t>（4）人口区域密度</w:t>
      </w:r>
    </w:p>
    <w:p w:rsidR="004F34D9" w:rsidRPr="00123108" w:rsidRDefault="004F34D9">
      <w:pPr>
        <w:spacing w:line="360" w:lineRule="auto"/>
        <w:ind w:firstLineChars="250" w:firstLine="700"/>
        <w:rPr>
          <w:rFonts w:ascii="宋体" w:hAnsi="宋体" w:cs="宋体" w:hint="eastAsia"/>
          <w:sz w:val="28"/>
          <w:szCs w:val="28"/>
        </w:rPr>
      </w:pPr>
      <w:r w:rsidRPr="00123108">
        <w:rPr>
          <w:rFonts w:ascii="宋体" w:hAnsi="宋体" w:cs="宋体" w:hint="eastAsia"/>
          <w:sz w:val="28"/>
          <w:szCs w:val="28"/>
        </w:rPr>
        <w:t>区域人口密度（个/m</w:t>
      </w:r>
      <w:r w:rsidRPr="00123108">
        <w:rPr>
          <w:rFonts w:ascii="宋体" w:hAnsi="宋体" w:cs="宋体" w:hint="eastAsia"/>
          <w:sz w:val="28"/>
          <w:szCs w:val="28"/>
          <w:vertAlign w:val="superscript"/>
        </w:rPr>
        <w:t>2</w:t>
      </w:r>
      <w:r w:rsidRPr="00123108">
        <w:rPr>
          <w:rFonts w:ascii="宋体" w:hAnsi="宋体" w:cs="宋体" w:hint="eastAsia"/>
          <w:sz w:val="28"/>
          <w:szCs w:val="28"/>
        </w:rPr>
        <w:t>）：0.0005。</w:t>
      </w:r>
    </w:p>
    <w:p w:rsidR="004F34D9" w:rsidRPr="00123108" w:rsidRDefault="004F34D9">
      <w:pPr>
        <w:spacing w:line="360" w:lineRule="auto"/>
        <w:ind w:firstLineChars="250" w:firstLine="700"/>
        <w:rPr>
          <w:rFonts w:ascii="宋体" w:hAnsi="宋体" w:cs="宋体" w:hint="eastAsia"/>
          <w:sz w:val="28"/>
          <w:szCs w:val="28"/>
        </w:rPr>
      </w:pPr>
      <w:r w:rsidRPr="00123108">
        <w:rPr>
          <w:rFonts w:ascii="宋体" w:hAnsi="宋体" w:cs="宋体" w:hint="eastAsia"/>
          <w:sz w:val="28"/>
          <w:szCs w:val="28"/>
        </w:rPr>
        <w:t>（5）风向玫瑰图</w:t>
      </w:r>
    </w:p>
    <w:p w:rsidR="004F34D9" w:rsidRPr="00123108" w:rsidRDefault="004F34D9">
      <w:pPr>
        <w:spacing w:line="360" w:lineRule="auto"/>
        <w:ind w:firstLineChars="250" w:firstLine="700"/>
        <w:rPr>
          <w:rFonts w:ascii="宋体" w:hAnsi="宋体" w:cs="宋体" w:hint="eastAsia"/>
          <w:sz w:val="28"/>
          <w:szCs w:val="28"/>
        </w:rPr>
      </w:pPr>
      <w:r w:rsidRPr="00123108">
        <w:rPr>
          <w:rFonts w:ascii="宋体" w:hAnsi="宋体" w:cs="宋体" w:hint="eastAsia"/>
          <w:sz w:val="28"/>
          <w:szCs w:val="28"/>
        </w:rPr>
        <w:t>风向玫瑰图所属地域：宁波</w:t>
      </w:r>
    </w:p>
    <w:p w:rsidR="004F34D9" w:rsidRPr="00123108" w:rsidRDefault="004F34D9">
      <w:pPr>
        <w:spacing w:line="360" w:lineRule="auto"/>
        <w:jc w:val="center"/>
        <w:rPr>
          <w:rFonts w:ascii="宋体" w:hAnsi="宋体" w:cs="宋体" w:hint="eastAsia"/>
          <w:sz w:val="28"/>
          <w:szCs w:val="28"/>
        </w:rPr>
      </w:pPr>
    </w:p>
    <w:p w:rsidR="004F34D9" w:rsidRPr="00123108" w:rsidRDefault="004F34D9">
      <w:pPr>
        <w:spacing w:line="360" w:lineRule="auto"/>
        <w:jc w:val="center"/>
        <w:rPr>
          <w:rFonts w:ascii="宋体" w:hAnsi="宋体" w:cs="宋体" w:hint="eastAsia"/>
          <w:b/>
          <w:bCs/>
          <w:sz w:val="28"/>
          <w:szCs w:val="28"/>
        </w:rPr>
      </w:pPr>
      <w:r w:rsidRPr="00123108">
        <w:rPr>
          <w:rFonts w:ascii="宋体" w:hAnsi="宋体" w:cs="宋体" w:hint="eastAsia"/>
          <w:b/>
          <w:bCs/>
          <w:sz w:val="28"/>
          <w:szCs w:val="28"/>
        </w:rPr>
        <w:t>附图2.2-3 风向玫瑰图</w:t>
      </w:r>
    </w:p>
    <w:p w:rsidR="00331EFA" w:rsidRDefault="004F34D9" w:rsidP="00331EFA">
      <w:pPr>
        <w:numPr>
          <w:ilvl w:val="1"/>
          <w:numId w:val="34"/>
        </w:numPr>
        <w:tabs>
          <w:tab w:val="left" w:pos="613"/>
        </w:tabs>
        <w:spacing w:line="360" w:lineRule="auto"/>
        <w:rPr>
          <w:rFonts w:ascii="宋体" w:hAnsi="宋体" w:cs="宋体" w:hint="eastAsia"/>
          <w:sz w:val="28"/>
          <w:szCs w:val="28"/>
        </w:rPr>
      </w:pPr>
      <w:r w:rsidRPr="00123108">
        <w:rPr>
          <w:rFonts w:ascii="宋体" w:hAnsi="宋体" w:cs="宋体" w:hint="eastAsia"/>
          <w:sz w:val="28"/>
          <w:szCs w:val="28"/>
        </w:rPr>
        <w:t>装置信息</w:t>
      </w:r>
    </w:p>
    <w:p w:rsidR="00331EFA" w:rsidRDefault="00331EFA" w:rsidP="00331EFA">
      <w:pPr>
        <w:spacing w:line="500" w:lineRule="exact"/>
        <w:rPr>
          <w:rFonts w:ascii="宋体" w:hAnsi="宋体"/>
          <w:b/>
          <w:bCs/>
          <w:sz w:val="28"/>
          <w:szCs w:val="28"/>
        </w:rPr>
      </w:pPr>
      <w:r>
        <w:rPr>
          <w:rFonts w:ascii="宋体" w:hAnsi="宋体" w:hint="eastAsia"/>
          <w:b/>
          <w:sz w:val="28"/>
          <w:szCs w:val="28"/>
        </w:rPr>
        <w:t>涉及企业机密，不予公开。</w:t>
      </w:r>
    </w:p>
    <w:p w:rsidR="00331EFA" w:rsidRPr="00331EFA" w:rsidRDefault="00331EFA" w:rsidP="00331EFA">
      <w:pPr>
        <w:tabs>
          <w:tab w:val="left" w:pos="613"/>
        </w:tabs>
        <w:spacing w:line="360" w:lineRule="auto"/>
        <w:rPr>
          <w:rFonts w:ascii="宋体" w:hAnsi="宋体" w:cs="宋体" w:hint="eastAsia"/>
          <w:sz w:val="28"/>
          <w:szCs w:val="28"/>
        </w:rPr>
      </w:pPr>
    </w:p>
    <w:p w:rsidR="004F34D9" w:rsidRPr="00123108" w:rsidRDefault="004F34D9">
      <w:pPr>
        <w:ind w:firstLineChars="250" w:firstLine="700"/>
        <w:rPr>
          <w:rFonts w:ascii="宋体" w:hAnsi="宋体" w:cs="宋体" w:hint="eastAsia"/>
          <w:sz w:val="28"/>
          <w:szCs w:val="28"/>
        </w:rPr>
      </w:pPr>
    </w:p>
    <w:p w:rsidR="004F34D9" w:rsidRPr="00123108" w:rsidRDefault="004F34D9">
      <w:pPr>
        <w:spacing w:line="360" w:lineRule="auto"/>
        <w:ind w:firstLineChars="250" w:firstLine="700"/>
        <w:rPr>
          <w:rFonts w:ascii="宋体" w:hAnsi="宋体" w:cs="宋体" w:hint="eastAsia"/>
          <w:sz w:val="28"/>
          <w:szCs w:val="28"/>
        </w:rPr>
      </w:pPr>
      <w:r w:rsidRPr="00123108">
        <w:rPr>
          <w:rFonts w:ascii="宋体" w:hAnsi="宋体" w:cs="宋体" w:hint="eastAsia"/>
          <w:sz w:val="28"/>
          <w:szCs w:val="28"/>
        </w:rPr>
        <w:t>（7）个人风险模拟结果</w:t>
      </w:r>
    </w:p>
    <w:p w:rsidR="004F34D9" w:rsidRPr="00123108" w:rsidRDefault="004F34D9">
      <w:pPr>
        <w:spacing w:line="360" w:lineRule="auto"/>
        <w:ind w:firstLineChars="250" w:firstLine="700"/>
        <w:rPr>
          <w:rFonts w:ascii="宋体" w:hAnsi="宋体" w:cs="宋体" w:hint="eastAsia"/>
          <w:sz w:val="28"/>
          <w:szCs w:val="28"/>
        </w:rPr>
        <w:sectPr w:rsidR="004F34D9" w:rsidRPr="00123108">
          <w:pgSz w:w="11907" w:h="16840"/>
          <w:pgMar w:top="1418" w:right="1134" w:bottom="1134" w:left="1588" w:header="851" w:footer="992" w:gutter="0"/>
          <w:cols w:space="720"/>
        </w:sectPr>
      </w:pPr>
      <w:r w:rsidRPr="00123108">
        <w:rPr>
          <w:rFonts w:ascii="宋体" w:hAnsi="宋体" w:cs="宋体" w:hint="eastAsia"/>
          <w:sz w:val="28"/>
          <w:szCs w:val="28"/>
        </w:rPr>
        <w:t>个人风险模拟结果见附图2.2-4。</w:t>
      </w:r>
    </w:p>
    <w:p w:rsidR="00331EFA" w:rsidRDefault="00331EFA" w:rsidP="00331EFA">
      <w:pPr>
        <w:spacing w:line="500" w:lineRule="exact"/>
        <w:jc w:val="center"/>
        <w:rPr>
          <w:rFonts w:ascii="宋体" w:hAnsi="宋体"/>
          <w:b/>
          <w:bCs/>
          <w:sz w:val="28"/>
          <w:szCs w:val="28"/>
        </w:rPr>
      </w:pPr>
      <w:r>
        <w:rPr>
          <w:rFonts w:ascii="宋体" w:hAnsi="宋体" w:hint="eastAsia"/>
          <w:b/>
          <w:sz w:val="28"/>
          <w:szCs w:val="28"/>
        </w:rPr>
        <w:lastRenderedPageBreak/>
        <w:t>涉及企业机密，不予公开。</w:t>
      </w:r>
    </w:p>
    <w:p w:rsidR="004F34D9" w:rsidRPr="00123108" w:rsidRDefault="004F34D9">
      <w:pPr>
        <w:pStyle w:val="2fd"/>
        <w:ind w:firstLineChars="0" w:firstLine="0"/>
        <w:jc w:val="center"/>
        <w:rPr>
          <w:rFonts w:ascii="宋体" w:hAnsi="宋体" w:cs="宋体" w:hint="eastAsia"/>
          <w:sz w:val="28"/>
        </w:rPr>
      </w:pPr>
    </w:p>
    <w:p w:rsidR="004F34D9" w:rsidRPr="00123108" w:rsidRDefault="004F34D9">
      <w:pPr>
        <w:pStyle w:val="2fd"/>
        <w:ind w:firstLineChars="0" w:firstLine="0"/>
        <w:jc w:val="center"/>
        <w:rPr>
          <w:rFonts w:ascii="宋体" w:hAnsi="宋体" w:cs="宋体" w:hint="eastAsia"/>
          <w:b/>
          <w:bCs/>
          <w:sz w:val="28"/>
        </w:rPr>
      </w:pPr>
      <w:r w:rsidRPr="00123108">
        <w:rPr>
          <w:rFonts w:ascii="宋体" w:hAnsi="宋体" w:cs="宋体" w:hint="eastAsia"/>
          <w:b/>
          <w:bCs/>
          <w:sz w:val="28"/>
          <w:szCs w:val="28"/>
        </w:rPr>
        <w:t>附图2.2-4</w:t>
      </w:r>
      <w:r w:rsidRPr="00123108">
        <w:rPr>
          <w:rFonts w:ascii="宋体" w:hAnsi="宋体" w:cs="宋体" w:hint="eastAsia"/>
          <w:b/>
          <w:bCs/>
          <w:sz w:val="28"/>
        </w:rPr>
        <w:t xml:space="preserve">  GB 36894-2018个人风险模拟图</w:t>
      </w:r>
    </w:p>
    <w:p w:rsidR="004F34D9" w:rsidRPr="00123108" w:rsidRDefault="004F34D9">
      <w:pPr>
        <w:pStyle w:val="2fd"/>
        <w:ind w:firstLine="560"/>
        <w:rPr>
          <w:rFonts w:ascii="宋体" w:hAnsi="宋体" w:cs="宋体" w:hint="eastAsia"/>
          <w:sz w:val="28"/>
          <w:szCs w:val="28"/>
        </w:rPr>
        <w:sectPr w:rsidR="004F34D9" w:rsidRPr="00123108">
          <w:pgSz w:w="16840" w:h="11907" w:orient="landscape"/>
          <w:pgMar w:top="1588" w:right="1418" w:bottom="1134" w:left="1134" w:header="851" w:footer="992" w:gutter="0"/>
          <w:cols w:space="720"/>
        </w:sectPr>
      </w:pPr>
      <w:r w:rsidRPr="00123108">
        <w:rPr>
          <w:rFonts w:ascii="宋体" w:hAnsi="宋体" w:cs="宋体" w:hint="eastAsia"/>
          <w:sz w:val="28"/>
        </w:rPr>
        <w:t>从附图2.2-4可见，在3×10</w:t>
      </w:r>
      <w:r w:rsidRPr="00123108">
        <w:rPr>
          <w:rFonts w:ascii="宋体" w:hAnsi="宋体" w:cs="宋体" w:hint="eastAsia"/>
          <w:sz w:val="28"/>
          <w:vertAlign w:val="superscript"/>
        </w:rPr>
        <w:t>-5</w:t>
      </w:r>
      <w:r w:rsidRPr="00123108">
        <w:rPr>
          <w:rFonts w:ascii="宋体" w:hAnsi="宋体" w:cs="宋体" w:hint="eastAsia"/>
          <w:sz w:val="28"/>
        </w:rPr>
        <w:t>范围内不存在一般防护目标中的三类防护目标；在1×10</w:t>
      </w:r>
      <w:r w:rsidRPr="00123108">
        <w:rPr>
          <w:rFonts w:ascii="宋体" w:hAnsi="宋体" w:cs="宋体" w:hint="eastAsia"/>
          <w:sz w:val="28"/>
          <w:vertAlign w:val="superscript"/>
        </w:rPr>
        <w:t>-5</w:t>
      </w:r>
      <w:r w:rsidRPr="00123108">
        <w:rPr>
          <w:rFonts w:ascii="宋体" w:hAnsi="宋体" w:cs="宋体" w:hint="eastAsia"/>
          <w:sz w:val="28"/>
        </w:rPr>
        <w:t>范围内不存在一般防护目标中的二类防护目标；在3×10</w:t>
      </w:r>
      <w:r w:rsidRPr="00123108">
        <w:rPr>
          <w:rFonts w:ascii="宋体" w:hAnsi="宋体" w:cs="宋体" w:hint="eastAsia"/>
          <w:sz w:val="28"/>
          <w:vertAlign w:val="superscript"/>
        </w:rPr>
        <w:t>-6</w:t>
      </w:r>
      <w:r w:rsidRPr="00123108">
        <w:rPr>
          <w:rFonts w:ascii="宋体" w:hAnsi="宋体" w:cs="宋体" w:hint="eastAsia"/>
          <w:sz w:val="28"/>
        </w:rPr>
        <w:t>范围内不存在高敏感防护目标、重要防护目标、一般防护目标中的一类防护目标。因此个人风险满足</w:t>
      </w:r>
      <w:r w:rsidRPr="00123108">
        <w:rPr>
          <w:rFonts w:ascii="宋体" w:hAnsi="宋体" w:cs="宋体" w:hint="eastAsia"/>
          <w:sz w:val="28"/>
          <w:szCs w:val="28"/>
        </w:rPr>
        <w:t>《危险化学品生产装置和储存设施风险基准》GB 36894-2018的规定。</w:t>
      </w:r>
    </w:p>
    <w:p w:rsidR="004F34D9" w:rsidRPr="00123108" w:rsidRDefault="004F34D9">
      <w:pPr>
        <w:pStyle w:val="2fd"/>
        <w:ind w:firstLine="560"/>
        <w:rPr>
          <w:rFonts w:ascii="宋体" w:hAnsi="宋体" w:cs="宋体" w:hint="eastAsia"/>
          <w:sz w:val="28"/>
        </w:rPr>
      </w:pPr>
      <w:r w:rsidRPr="00123108">
        <w:rPr>
          <w:rFonts w:ascii="宋体" w:hAnsi="宋体" w:cs="宋体" w:hint="eastAsia"/>
          <w:sz w:val="28"/>
        </w:rPr>
        <w:lastRenderedPageBreak/>
        <w:t>（8）社会风险模拟结果</w:t>
      </w:r>
    </w:p>
    <w:p w:rsidR="004F34D9" w:rsidRPr="00123108" w:rsidRDefault="004F34D9">
      <w:pPr>
        <w:pStyle w:val="2fd"/>
        <w:ind w:firstLine="560"/>
        <w:rPr>
          <w:rFonts w:ascii="宋体" w:hAnsi="宋体" w:cs="宋体" w:hint="eastAsia"/>
          <w:sz w:val="28"/>
        </w:rPr>
      </w:pPr>
      <w:r w:rsidRPr="00123108">
        <w:rPr>
          <w:rFonts w:ascii="宋体" w:hAnsi="宋体" w:cs="宋体" w:hint="eastAsia"/>
          <w:sz w:val="28"/>
        </w:rPr>
        <w:t>社会风险模拟结果见附图2.2-5。</w:t>
      </w:r>
    </w:p>
    <w:p w:rsidR="00331EFA" w:rsidRDefault="00331EFA" w:rsidP="00331EFA">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Pr="00123108" w:rsidRDefault="004F34D9">
      <w:pPr>
        <w:pStyle w:val="2fd"/>
        <w:ind w:firstLineChars="0" w:firstLine="0"/>
        <w:jc w:val="center"/>
        <w:rPr>
          <w:rFonts w:ascii="宋体" w:hAnsi="宋体" w:cs="宋体" w:hint="eastAsia"/>
          <w:sz w:val="28"/>
        </w:rPr>
      </w:pPr>
      <w:r w:rsidRPr="00123108">
        <w:rPr>
          <w:rFonts w:ascii="宋体" w:hAnsi="宋体" w:cs="宋体" w:hint="eastAsia"/>
          <w:b/>
          <w:bCs/>
          <w:sz w:val="28"/>
          <w:szCs w:val="28"/>
        </w:rPr>
        <w:t>附图2.2-5</w:t>
      </w:r>
      <w:r w:rsidRPr="00123108">
        <w:rPr>
          <w:rFonts w:ascii="宋体" w:hAnsi="宋体" w:cs="宋体" w:hint="eastAsia"/>
          <w:b/>
          <w:bCs/>
          <w:sz w:val="28"/>
        </w:rPr>
        <w:t xml:space="preserve"> 社会风险模拟图</w:t>
      </w:r>
    </w:p>
    <w:p w:rsidR="004F34D9" w:rsidRPr="00123108" w:rsidRDefault="004F34D9" w:rsidP="00D06780">
      <w:pPr>
        <w:pStyle w:val="2fd"/>
        <w:spacing w:line="500" w:lineRule="exact"/>
        <w:ind w:firstLine="560"/>
        <w:rPr>
          <w:rFonts w:ascii="宋体" w:hAnsi="宋体" w:cs="宋体" w:hint="eastAsia"/>
          <w:sz w:val="28"/>
        </w:rPr>
      </w:pPr>
      <w:r w:rsidRPr="00123108">
        <w:rPr>
          <w:rFonts w:ascii="宋体" w:hAnsi="宋体" w:cs="宋体" w:hint="eastAsia"/>
          <w:sz w:val="28"/>
        </w:rPr>
        <w:t>由附图2.2-5可知，企业的社会风险在可接受区，因此社会风险满足</w:t>
      </w:r>
      <w:r w:rsidRPr="00123108">
        <w:rPr>
          <w:rFonts w:ascii="宋体" w:hAnsi="宋体" w:cs="宋体" w:hint="eastAsia"/>
          <w:sz w:val="28"/>
          <w:szCs w:val="28"/>
        </w:rPr>
        <w:t>《危险化学品生产装置和储存设施风险基准》GB 36894-2018的规定。</w:t>
      </w:r>
    </w:p>
    <w:p w:rsidR="004F34D9" w:rsidRPr="00123108" w:rsidRDefault="004F34D9" w:rsidP="00D06780">
      <w:pPr>
        <w:pStyle w:val="2fd"/>
        <w:spacing w:line="500" w:lineRule="exact"/>
        <w:ind w:firstLineChars="0" w:firstLine="0"/>
        <w:outlineLvl w:val="2"/>
        <w:rPr>
          <w:rFonts w:ascii="宋体" w:hAnsi="宋体" w:cs="宋体" w:hint="eastAsia"/>
          <w:b/>
          <w:bCs/>
          <w:sz w:val="28"/>
        </w:rPr>
      </w:pPr>
      <w:bookmarkStart w:id="1644" w:name="_Toc190935892"/>
      <w:r w:rsidRPr="00123108">
        <w:rPr>
          <w:rFonts w:ascii="宋体" w:hAnsi="宋体" w:cs="宋体" w:hint="eastAsia"/>
          <w:b/>
          <w:bCs/>
          <w:sz w:val="28"/>
        </w:rPr>
        <w:t>附件2.2.2  事故后果模拟</w:t>
      </w:r>
      <w:bookmarkEnd w:id="1637"/>
      <w:bookmarkEnd w:id="1638"/>
      <w:bookmarkEnd w:id="1639"/>
      <w:bookmarkEnd w:id="1640"/>
      <w:bookmarkEnd w:id="1641"/>
      <w:bookmarkEnd w:id="1642"/>
      <w:bookmarkEnd w:id="1644"/>
    </w:p>
    <w:p w:rsidR="00331EFA" w:rsidRDefault="004F34D9" w:rsidP="00D06780">
      <w:pPr>
        <w:pStyle w:val="2fd"/>
        <w:spacing w:line="500" w:lineRule="exact"/>
        <w:ind w:firstLine="560"/>
        <w:rPr>
          <w:rFonts w:ascii="宋体" w:hAnsi="宋体" w:cs="宋体" w:hint="eastAsia"/>
          <w:sz w:val="28"/>
        </w:rPr>
      </w:pPr>
      <w:r w:rsidRPr="00123108">
        <w:rPr>
          <w:rFonts w:ascii="宋体" w:hAnsi="宋体" w:cs="宋体" w:hint="eastAsia"/>
          <w:sz w:val="28"/>
        </w:rPr>
        <w:t>事故后果模拟</w:t>
      </w:r>
      <w:r w:rsidRPr="00123108">
        <w:rPr>
          <w:rFonts w:ascii="宋体" w:hAnsi="宋体" w:cs="宋体" w:hint="eastAsia"/>
          <w:sz w:val="28"/>
          <w:szCs w:val="28"/>
        </w:rPr>
        <w:t>利用南京安元科技有限公司研制的定量风险评价软件</w:t>
      </w:r>
      <w:r w:rsidRPr="00123108">
        <w:rPr>
          <w:rFonts w:ascii="宋体" w:hAnsi="宋体" w:cs="宋体" w:hint="eastAsia"/>
          <w:sz w:val="28"/>
        </w:rPr>
        <w:t>，</w:t>
      </w:r>
    </w:p>
    <w:p w:rsidR="00331EFA" w:rsidRDefault="00331EFA" w:rsidP="00331EFA">
      <w:pPr>
        <w:spacing w:line="500" w:lineRule="exact"/>
        <w:jc w:val="center"/>
        <w:rPr>
          <w:rFonts w:ascii="宋体" w:hAnsi="宋体"/>
          <w:b/>
          <w:bCs/>
          <w:sz w:val="28"/>
          <w:szCs w:val="28"/>
        </w:rPr>
      </w:pPr>
      <w:r>
        <w:rPr>
          <w:rFonts w:ascii="宋体" w:hAnsi="宋体" w:hint="eastAsia"/>
          <w:b/>
          <w:sz w:val="28"/>
          <w:szCs w:val="28"/>
        </w:rPr>
        <w:t>涉及企业机密，不予公开。</w:t>
      </w:r>
    </w:p>
    <w:p w:rsidR="00331EFA" w:rsidRDefault="00331EFA" w:rsidP="00D06780">
      <w:pPr>
        <w:pStyle w:val="2fd"/>
        <w:spacing w:line="500" w:lineRule="exact"/>
        <w:ind w:firstLine="560"/>
        <w:rPr>
          <w:rFonts w:ascii="宋体" w:hAnsi="宋体" w:cs="宋体" w:hint="eastAsia"/>
          <w:sz w:val="28"/>
        </w:rPr>
      </w:pPr>
    </w:p>
    <w:p w:rsidR="004F34D9" w:rsidRPr="00123108" w:rsidRDefault="004F34D9" w:rsidP="00D06780">
      <w:pPr>
        <w:pStyle w:val="2fd"/>
        <w:spacing w:line="500" w:lineRule="exact"/>
        <w:ind w:firstLineChars="0" w:firstLine="0"/>
        <w:jc w:val="left"/>
        <w:outlineLvl w:val="2"/>
        <w:rPr>
          <w:rFonts w:ascii="宋体" w:hAnsi="宋体" w:cs="宋体" w:hint="eastAsia"/>
          <w:b/>
          <w:bCs/>
          <w:sz w:val="28"/>
          <w:szCs w:val="28"/>
        </w:rPr>
      </w:pPr>
      <w:bookmarkStart w:id="1645" w:name="_Toc18820"/>
      <w:bookmarkStart w:id="1646" w:name="_Toc11128"/>
      <w:bookmarkStart w:id="1647" w:name="_Toc2052"/>
      <w:bookmarkStart w:id="1648" w:name="_Toc14893"/>
      <w:bookmarkStart w:id="1649" w:name="_Toc29037"/>
      <w:bookmarkStart w:id="1650" w:name="_Toc16177"/>
      <w:bookmarkStart w:id="1651" w:name="OLE_LINK14"/>
      <w:bookmarkStart w:id="1652" w:name="OLE_LINK15"/>
      <w:bookmarkStart w:id="1653" w:name="_Toc190935893"/>
      <w:r w:rsidRPr="00123108">
        <w:rPr>
          <w:rFonts w:ascii="宋体" w:hAnsi="宋体" w:cs="宋体" w:hint="eastAsia"/>
          <w:b/>
          <w:bCs/>
          <w:sz w:val="28"/>
          <w:szCs w:val="28"/>
        </w:rPr>
        <w:t>附件2.2.3  外部安全防护距离</w:t>
      </w:r>
      <w:bookmarkEnd w:id="1645"/>
      <w:bookmarkEnd w:id="1646"/>
      <w:bookmarkEnd w:id="1647"/>
      <w:bookmarkEnd w:id="1648"/>
      <w:bookmarkEnd w:id="1649"/>
      <w:bookmarkEnd w:id="1650"/>
      <w:bookmarkEnd w:id="1653"/>
    </w:p>
    <w:p w:rsidR="004F34D9" w:rsidRPr="00123108" w:rsidRDefault="004F34D9" w:rsidP="00D06780">
      <w:pPr>
        <w:spacing w:line="500" w:lineRule="exact"/>
        <w:ind w:firstLineChars="200" w:firstLine="556"/>
        <w:rPr>
          <w:rFonts w:ascii="宋体" w:hAnsi="宋体"/>
          <w:spacing w:val="-1"/>
          <w:sz w:val="28"/>
          <w:szCs w:val="28"/>
        </w:rPr>
      </w:pPr>
      <w:bookmarkStart w:id="1654" w:name="_Toc13397"/>
      <w:bookmarkStart w:id="1655" w:name="_Toc15867"/>
      <w:bookmarkStart w:id="1656" w:name="_Toc23845"/>
      <w:bookmarkStart w:id="1657" w:name="_Toc7508"/>
      <w:bookmarkStart w:id="1658" w:name="_Toc19292"/>
      <w:bookmarkStart w:id="1659" w:name="_Toc919"/>
      <w:r w:rsidRPr="00123108">
        <w:rPr>
          <w:rFonts w:ascii="宋体" w:hAnsi="宋体" w:hint="eastAsia"/>
          <w:spacing w:val="-1"/>
          <w:sz w:val="28"/>
          <w:szCs w:val="28"/>
        </w:rPr>
        <w:t>依据《危险化学品生产装置和储存设施外部安全防护距离确定方法》GBT 37243-2019第4</w:t>
      </w:r>
      <w:r w:rsidRPr="00123108">
        <w:rPr>
          <w:rFonts w:ascii="宋体" w:hAnsi="宋体"/>
          <w:spacing w:val="-1"/>
          <w:sz w:val="28"/>
          <w:szCs w:val="28"/>
        </w:rPr>
        <w:t>.2</w:t>
      </w:r>
      <w:r w:rsidRPr="00123108">
        <w:rPr>
          <w:rFonts w:ascii="宋体" w:hAnsi="宋体" w:hint="eastAsia"/>
          <w:spacing w:val="-1"/>
          <w:sz w:val="28"/>
          <w:szCs w:val="28"/>
        </w:rPr>
        <w:t>、4</w:t>
      </w:r>
      <w:r w:rsidRPr="00123108">
        <w:rPr>
          <w:rFonts w:ascii="宋体" w:hAnsi="宋体"/>
          <w:spacing w:val="-1"/>
          <w:sz w:val="28"/>
          <w:szCs w:val="28"/>
        </w:rPr>
        <w:t>.3</w:t>
      </w:r>
      <w:r w:rsidRPr="00123108">
        <w:rPr>
          <w:rFonts w:ascii="宋体" w:hAnsi="宋体" w:hint="eastAsia"/>
          <w:spacing w:val="-1"/>
          <w:sz w:val="28"/>
          <w:szCs w:val="28"/>
        </w:rPr>
        <w:t>、4</w:t>
      </w:r>
      <w:r w:rsidRPr="00123108">
        <w:rPr>
          <w:rFonts w:ascii="宋体" w:hAnsi="宋体"/>
          <w:spacing w:val="-1"/>
          <w:sz w:val="28"/>
          <w:szCs w:val="28"/>
        </w:rPr>
        <w:t>.4</w:t>
      </w:r>
      <w:r w:rsidRPr="00123108">
        <w:rPr>
          <w:rFonts w:ascii="宋体" w:hAnsi="宋体" w:hint="eastAsia"/>
          <w:spacing w:val="-1"/>
          <w:sz w:val="28"/>
          <w:szCs w:val="28"/>
        </w:rPr>
        <w:t>条规定，</w:t>
      </w:r>
      <w:r w:rsidRPr="00123108">
        <w:rPr>
          <w:rFonts w:ascii="宋体" w:hAnsi="宋体"/>
          <w:spacing w:val="-1"/>
          <w:sz w:val="28"/>
          <w:szCs w:val="28"/>
        </w:rPr>
        <w:t>涉及爆炸物的危险化学品生产装置和储存设施应采用事故后果法确定外部安全防护距离。涉及有毒气体或易燃气体,且其设计最大量与GB 18218中规定的临界量比值之和大于或等于1的危险化学品生产装置和储存设施应采用定量风险评价方法确定外部安全防护距离。本标准4.2及4.3规定以外的危险化学品生产装置和储存设施的外部安全防护距离应满足相关标准规范的距离要求。</w:t>
      </w:r>
    </w:p>
    <w:p w:rsidR="004F34D9" w:rsidRPr="00123108" w:rsidRDefault="004F34D9" w:rsidP="00D06780">
      <w:pPr>
        <w:spacing w:line="500" w:lineRule="exact"/>
        <w:ind w:firstLineChars="200" w:firstLine="556"/>
        <w:rPr>
          <w:rFonts w:ascii="宋体" w:hAnsi="宋体"/>
          <w:sz w:val="28"/>
          <w:szCs w:val="22"/>
        </w:rPr>
      </w:pPr>
      <w:r w:rsidRPr="00123108">
        <w:rPr>
          <w:rFonts w:ascii="宋体" w:hAnsi="宋体" w:hint="eastAsia"/>
          <w:spacing w:val="-1"/>
          <w:sz w:val="28"/>
          <w:szCs w:val="28"/>
        </w:rPr>
        <w:t>本项目所涉及的苯乙烯、戊烷、二甲苯等均属于易燃液体，</w:t>
      </w:r>
      <w:r w:rsidRPr="00123108">
        <w:rPr>
          <w:rFonts w:ascii="宋体" w:hAnsi="宋体" w:hint="eastAsia"/>
          <w:sz w:val="28"/>
          <w:szCs w:val="28"/>
        </w:rPr>
        <w:t>过氧化苯甲酰等引发剂为强氧化剂，</w:t>
      </w:r>
      <w:r w:rsidRPr="00123108">
        <w:rPr>
          <w:rFonts w:ascii="宋体" w:hAnsi="宋体" w:hint="eastAsia"/>
          <w:spacing w:val="-1"/>
          <w:sz w:val="28"/>
          <w:szCs w:val="28"/>
        </w:rPr>
        <w:t>本项目不涉及爆炸品、</w:t>
      </w:r>
      <w:r w:rsidRPr="00123108">
        <w:rPr>
          <w:rFonts w:ascii="宋体" w:hAnsi="宋体"/>
          <w:spacing w:val="-1"/>
          <w:sz w:val="28"/>
          <w:szCs w:val="28"/>
        </w:rPr>
        <w:t>有毒气体或易燃气体</w:t>
      </w:r>
      <w:r w:rsidRPr="00123108">
        <w:rPr>
          <w:rFonts w:ascii="宋体" w:hAnsi="宋体" w:hint="eastAsia"/>
          <w:spacing w:val="-1"/>
          <w:sz w:val="28"/>
          <w:szCs w:val="28"/>
        </w:rPr>
        <w:t>，外部安全防护距离即为《建筑设计防火规范》等</w:t>
      </w:r>
      <w:r w:rsidRPr="00123108">
        <w:rPr>
          <w:rFonts w:ascii="宋体" w:hAnsi="宋体"/>
          <w:spacing w:val="-1"/>
          <w:sz w:val="28"/>
          <w:szCs w:val="28"/>
        </w:rPr>
        <w:t>相关标准规范</w:t>
      </w:r>
      <w:r w:rsidRPr="00123108">
        <w:rPr>
          <w:rFonts w:ascii="宋体" w:hAnsi="宋体" w:hint="eastAsia"/>
          <w:spacing w:val="-1"/>
          <w:sz w:val="28"/>
          <w:szCs w:val="28"/>
        </w:rPr>
        <w:t>所要求</w:t>
      </w:r>
      <w:r w:rsidRPr="00123108">
        <w:rPr>
          <w:rFonts w:ascii="宋体" w:hAnsi="宋体"/>
          <w:spacing w:val="-1"/>
          <w:sz w:val="28"/>
          <w:szCs w:val="28"/>
        </w:rPr>
        <w:t>的</w:t>
      </w:r>
      <w:r w:rsidRPr="00123108">
        <w:rPr>
          <w:rFonts w:ascii="宋体" w:hAnsi="宋体" w:hint="eastAsia"/>
          <w:spacing w:val="-1"/>
          <w:sz w:val="28"/>
          <w:szCs w:val="28"/>
        </w:rPr>
        <w:t>防火</w:t>
      </w:r>
      <w:r w:rsidRPr="00123108">
        <w:rPr>
          <w:rFonts w:ascii="宋体" w:hAnsi="宋体"/>
          <w:spacing w:val="-1"/>
          <w:sz w:val="28"/>
          <w:szCs w:val="28"/>
        </w:rPr>
        <w:t>距离。</w:t>
      </w:r>
      <w:r w:rsidRPr="00123108">
        <w:rPr>
          <w:rFonts w:ascii="宋体" w:hAnsi="宋体" w:hint="eastAsia"/>
          <w:spacing w:val="-1"/>
          <w:sz w:val="28"/>
          <w:szCs w:val="28"/>
        </w:rPr>
        <w:t>宁波新桥化工有限公司与周边设施防火间距满足《建筑设计防火规范》要求，具体见报告第7章节周边环境、总平面布置等评价内容。</w:t>
      </w:r>
    </w:p>
    <w:p w:rsidR="004F34D9" w:rsidRPr="00123108" w:rsidRDefault="004F34D9" w:rsidP="00D06780">
      <w:pPr>
        <w:pStyle w:val="2fd"/>
        <w:spacing w:line="500" w:lineRule="exact"/>
        <w:ind w:firstLineChars="0" w:firstLine="0"/>
        <w:jc w:val="left"/>
        <w:outlineLvl w:val="2"/>
        <w:rPr>
          <w:rFonts w:ascii="宋体" w:hAnsi="宋体" w:cs="宋体" w:hint="eastAsia"/>
          <w:b/>
          <w:bCs/>
          <w:sz w:val="28"/>
          <w:szCs w:val="28"/>
        </w:rPr>
      </w:pPr>
      <w:bookmarkStart w:id="1660" w:name="_Toc190935894"/>
      <w:r w:rsidRPr="00123108">
        <w:rPr>
          <w:rFonts w:ascii="宋体" w:hAnsi="宋体" w:cs="宋体" w:hint="eastAsia"/>
          <w:b/>
          <w:bCs/>
          <w:sz w:val="28"/>
          <w:szCs w:val="28"/>
        </w:rPr>
        <w:t>附件2.2.4  多米诺效应</w:t>
      </w:r>
      <w:bookmarkEnd w:id="1654"/>
      <w:bookmarkEnd w:id="1655"/>
      <w:bookmarkEnd w:id="1656"/>
      <w:bookmarkEnd w:id="1657"/>
      <w:bookmarkEnd w:id="1658"/>
      <w:bookmarkEnd w:id="1659"/>
      <w:r w:rsidRPr="00123108">
        <w:rPr>
          <w:rFonts w:ascii="宋体" w:hAnsi="宋体" w:cs="宋体" w:hint="eastAsia"/>
          <w:b/>
          <w:bCs/>
          <w:sz w:val="28"/>
          <w:szCs w:val="28"/>
        </w:rPr>
        <w:t>分析</w:t>
      </w:r>
      <w:bookmarkEnd w:id="1660"/>
    </w:p>
    <w:p w:rsidR="004F34D9" w:rsidRPr="00123108" w:rsidRDefault="004F34D9" w:rsidP="00D06780">
      <w:pPr>
        <w:pStyle w:val="2fd"/>
        <w:spacing w:line="500" w:lineRule="exact"/>
        <w:ind w:firstLineChars="0" w:firstLine="560"/>
        <w:jc w:val="left"/>
        <w:rPr>
          <w:rFonts w:ascii="宋体" w:hAnsi="宋体" w:cs="宋体" w:hint="eastAsia"/>
          <w:sz w:val="28"/>
          <w:szCs w:val="28"/>
        </w:rPr>
      </w:pPr>
      <w:r w:rsidRPr="00123108">
        <w:rPr>
          <w:rFonts w:ascii="宋体" w:hAnsi="宋体" w:cs="宋体" w:hint="eastAsia"/>
          <w:sz w:val="28"/>
          <w:szCs w:val="28"/>
        </w:rPr>
        <w:t>（1）多米诺事故模式</w:t>
      </w:r>
    </w:p>
    <w:p w:rsidR="004F34D9" w:rsidRPr="00123108" w:rsidRDefault="004F34D9" w:rsidP="00D06780">
      <w:pPr>
        <w:pStyle w:val="2fd"/>
        <w:spacing w:line="500" w:lineRule="exact"/>
        <w:ind w:firstLineChars="0" w:firstLine="560"/>
        <w:jc w:val="left"/>
        <w:rPr>
          <w:rFonts w:ascii="宋体" w:hAnsi="宋体" w:cs="宋体" w:hint="eastAsia"/>
          <w:sz w:val="28"/>
          <w:szCs w:val="28"/>
        </w:rPr>
      </w:pPr>
      <w:r w:rsidRPr="00123108">
        <w:rPr>
          <w:rFonts w:ascii="宋体" w:hAnsi="宋体" w:cs="宋体" w:hint="eastAsia"/>
          <w:sz w:val="28"/>
          <w:szCs w:val="28"/>
        </w:rPr>
        <w:t>一个工厂的某个单元发生事故，可能会引起其他单元或邻近工厂发生次级事故，依次有可能发生三级或更高级别的事故，即事故的多米诺效</w:t>
      </w:r>
      <w:r w:rsidRPr="00123108">
        <w:rPr>
          <w:rFonts w:ascii="宋体" w:hAnsi="宋体" w:cs="宋体" w:hint="eastAsia"/>
          <w:sz w:val="28"/>
          <w:szCs w:val="28"/>
        </w:rPr>
        <w:lastRenderedPageBreak/>
        <w:t>应。事故的多米诺效应带来的灾害影响往往高于单个事故的影响，常造成灾难性的后果—多人伤亡和巨额财产损失。</w:t>
      </w:r>
    </w:p>
    <w:p w:rsidR="004F34D9" w:rsidRPr="00123108" w:rsidRDefault="004F34D9" w:rsidP="00D06780">
      <w:pPr>
        <w:pStyle w:val="2fd"/>
        <w:spacing w:line="500" w:lineRule="exact"/>
        <w:ind w:firstLineChars="0" w:firstLine="560"/>
        <w:jc w:val="left"/>
        <w:rPr>
          <w:rFonts w:ascii="宋体" w:hAnsi="宋体" w:cs="宋体" w:hint="eastAsia"/>
          <w:sz w:val="28"/>
          <w:szCs w:val="28"/>
        </w:rPr>
      </w:pPr>
      <w:r w:rsidRPr="00123108">
        <w:rPr>
          <w:rFonts w:ascii="宋体" w:hAnsi="宋体" w:cs="宋体" w:hint="eastAsia"/>
          <w:sz w:val="28"/>
          <w:szCs w:val="28"/>
        </w:rPr>
        <w:t>本项目具备生产、储存设备多样化、复杂化以及过程连接管道化的特点。使得火灾爆炸事故，伤害和损失的很大一部分不是在事故的初始阶段，而是在事故的蔓延和扩散中形成的。也就是说，当一个单元内发生事故时可能导致相邻单元2次或2次以上事故的发生，将这种现象称为事故的多米诺效应。</w:t>
      </w:r>
    </w:p>
    <w:p w:rsidR="004F34D9" w:rsidRPr="00123108" w:rsidRDefault="004F34D9" w:rsidP="00D06780">
      <w:pPr>
        <w:pStyle w:val="2fd"/>
        <w:spacing w:line="500" w:lineRule="exact"/>
        <w:ind w:firstLineChars="0" w:firstLine="560"/>
        <w:jc w:val="left"/>
        <w:rPr>
          <w:rFonts w:ascii="宋体" w:hAnsi="宋体" w:cs="宋体" w:hint="eastAsia"/>
          <w:sz w:val="28"/>
          <w:szCs w:val="28"/>
        </w:rPr>
      </w:pPr>
      <w:r w:rsidRPr="00123108">
        <w:rPr>
          <w:rFonts w:ascii="宋体" w:hAnsi="宋体" w:cs="宋体" w:hint="eastAsia"/>
          <w:sz w:val="28"/>
          <w:szCs w:val="28"/>
        </w:rPr>
        <w:t>多米诺效应复杂，下图为只考虑初始事故引起二次事故的多米诺效应事故模式图。</w:t>
      </w:r>
    </w:p>
    <w:p w:rsidR="004F34D9" w:rsidRPr="00123108" w:rsidRDefault="0027750A">
      <w:pPr>
        <w:pStyle w:val="2fd"/>
        <w:ind w:firstLineChars="0" w:firstLine="0"/>
        <w:jc w:val="left"/>
        <w:rPr>
          <w:rFonts w:ascii="宋体" w:hAnsi="宋体" w:cs="宋体" w:hint="eastAsia"/>
          <w:sz w:val="28"/>
          <w:szCs w:val="28"/>
        </w:rPr>
      </w:pPr>
      <w:r w:rsidRPr="00123108">
        <w:rPr>
          <w:rFonts w:ascii="宋体" w:hAnsi="宋体" w:cs="宋体" w:hint="eastAsia"/>
          <w:noProof/>
          <w:sz w:val="28"/>
          <w:szCs w:val="22"/>
        </w:rPr>
        <w:drawing>
          <wp:inline distT="0" distB="0" distL="0" distR="0">
            <wp:extent cx="5267960" cy="1651635"/>
            <wp:effectExtent l="0" t="0" r="0" b="0"/>
            <wp:docPr id="15" name="图片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67960" cy="1651635"/>
                    </a:xfrm>
                    <a:prstGeom prst="rect">
                      <a:avLst/>
                    </a:prstGeom>
                    <a:noFill/>
                    <a:ln>
                      <a:noFill/>
                    </a:ln>
                    <a:effectLst/>
                  </pic:spPr>
                </pic:pic>
              </a:graphicData>
            </a:graphic>
          </wp:inline>
        </w:drawing>
      </w:r>
    </w:p>
    <w:p w:rsidR="004F34D9" w:rsidRPr="00123108" w:rsidRDefault="004F34D9">
      <w:pPr>
        <w:pStyle w:val="2fd"/>
        <w:ind w:firstLineChars="0" w:firstLine="0"/>
        <w:jc w:val="center"/>
        <w:rPr>
          <w:rFonts w:ascii="宋体" w:hAnsi="宋体" w:cs="宋体" w:hint="eastAsia"/>
          <w:b/>
          <w:bCs/>
          <w:sz w:val="28"/>
          <w:szCs w:val="28"/>
        </w:rPr>
      </w:pPr>
      <w:r w:rsidRPr="00123108">
        <w:rPr>
          <w:rFonts w:ascii="宋体" w:hAnsi="宋体" w:cs="宋体" w:hint="eastAsia"/>
          <w:b/>
          <w:bCs/>
          <w:sz w:val="28"/>
          <w:szCs w:val="28"/>
        </w:rPr>
        <w:t>附图2.2-10　多米诺效应事故模式</w:t>
      </w:r>
    </w:p>
    <w:p w:rsidR="004F34D9" w:rsidRPr="00123108" w:rsidRDefault="004F34D9">
      <w:pPr>
        <w:pStyle w:val="2fd"/>
        <w:ind w:firstLineChars="0" w:firstLine="560"/>
        <w:jc w:val="left"/>
        <w:rPr>
          <w:rFonts w:ascii="宋体" w:hAnsi="宋体" w:cs="宋体" w:hint="eastAsia"/>
          <w:sz w:val="28"/>
          <w:szCs w:val="28"/>
        </w:rPr>
      </w:pPr>
      <w:r w:rsidRPr="00123108">
        <w:rPr>
          <w:rFonts w:ascii="宋体" w:hAnsi="宋体" w:cs="宋体" w:hint="eastAsia"/>
          <w:sz w:val="28"/>
          <w:szCs w:val="28"/>
        </w:rPr>
        <w:t>（2）多米诺效应分析</w:t>
      </w:r>
    </w:p>
    <w:p w:rsidR="004F34D9" w:rsidRPr="00123108" w:rsidRDefault="004F34D9">
      <w:pPr>
        <w:pStyle w:val="2fd"/>
        <w:ind w:firstLineChars="0" w:firstLine="560"/>
        <w:jc w:val="left"/>
        <w:rPr>
          <w:rFonts w:ascii="宋体" w:hAnsi="宋体" w:cs="宋体" w:hint="eastAsia"/>
          <w:sz w:val="28"/>
          <w:szCs w:val="28"/>
        </w:rPr>
      </w:pPr>
      <w:r w:rsidRPr="00123108">
        <w:rPr>
          <w:rFonts w:ascii="宋体" w:hAnsi="宋体" w:cs="宋体" w:hint="eastAsia"/>
          <w:sz w:val="28"/>
          <w:szCs w:val="28"/>
        </w:rPr>
        <w:t>①数据输入</w:t>
      </w:r>
    </w:p>
    <w:p w:rsidR="004F34D9" w:rsidRPr="00123108" w:rsidRDefault="004F34D9">
      <w:pPr>
        <w:pStyle w:val="2fd"/>
        <w:ind w:firstLineChars="0" w:firstLine="560"/>
        <w:jc w:val="left"/>
        <w:rPr>
          <w:rFonts w:ascii="宋体" w:hAnsi="宋体" w:cs="宋体" w:hint="eastAsia"/>
          <w:sz w:val="28"/>
          <w:szCs w:val="28"/>
        </w:rPr>
      </w:pPr>
      <w:r w:rsidRPr="00123108">
        <w:rPr>
          <w:rFonts w:ascii="宋体" w:hAnsi="宋体" w:cs="宋体" w:hint="eastAsia"/>
          <w:sz w:val="28"/>
          <w:szCs w:val="28"/>
        </w:rPr>
        <w:t>数据输入同附件2.2.1</w:t>
      </w:r>
      <w:r w:rsidRPr="00123108">
        <w:rPr>
          <w:rFonts w:ascii="宋体" w:hAnsi="宋体" w:cs="宋体" w:hint="eastAsia"/>
          <w:sz w:val="28"/>
          <w:szCs w:val="28"/>
          <w:lang w:val="zh-CN"/>
        </w:rPr>
        <w:t>个人风险值和社会风险值计算</w:t>
      </w:r>
      <w:r w:rsidRPr="00123108">
        <w:rPr>
          <w:rFonts w:ascii="宋体" w:hAnsi="宋体" w:cs="宋体" w:hint="eastAsia"/>
          <w:sz w:val="28"/>
          <w:szCs w:val="28"/>
        </w:rPr>
        <w:t>。</w:t>
      </w:r>
    </w:p>
    <w:p w:rsidR="004F34D9" w:rsidRPr="00123108" w:rsidRDefault="004F34D9">
      <w:pPr>
        <w:pStyle w:val="2fd"/>
        <w:ind w:firstLineChars="0" w:firstLine="560"/>
        <w:jc w:val="left"/>
        <w:rPr>
          <w:rFonts w:ascii="宋体" w:hAnsi="宋体" w:cs="宋体" w:hint="eastAsia"/>
          <w:sz w:val="28"/>
          <w:szCs w:val="28"/>
        </w:rPr>
      </w:pPr>
      <w:r w:rsidRPr="00123108">
        <w:rPr>
          <w:rFonts w:ascii="宋体" w:hAnsi="宋体" w:cs="宋体" w:hint="eastAsia"/>
          <w:sz w:val="28"/>
          <w:szCs w:val="28"/>
        </w:rPr>
        <w:t>②计算结果</w:t>
      </w:r>
    </w:p>
    <w:p w:rsidR="004F34D9" w:rsidRPr="00123108" w:rsidRDefault="004F34D9">
      <w:pPr>
        <w:pStyle w:val="2fd"/>
        <w:ind w:firstLineChars="0" w:firstLine="560"/>
        <w:jc w:val="left"/>
        <w:rPr>
          <w:rFonts w:ascii="宋体" w:hAnsi="宋体" w:cs="宋体" w:hint="eastAsia"/>
          <w:sz w:val="28"/>
          <w:szCs w:val="28"/>
        </w:rPr>
      </w:pPr>
      <w:r w:rsidRPr="00123108">
        <w:rPr>
          <w:rFonts w:ascii="宋体" w:hAnsi="宋体" w:cs="宋体" w:hint="eastAsia"/>
          <w:sz w:val="28"/>
          <w:szCs w:val="28"/>
        </w:rPr>
        <w:t>采用南京安元定量风险分析软件进行计算，事故多米诺半径计算结果如下表所示。</w:t>
      </w:r>
    </w:p>
    <w:p w:rsidR="004F34D9" w:rsidRDefault="004F34D9">
      <w:pPr>
        <w:pStyle w:val="2fd"/>
        <w:ind w:firstLineChars="0" w:firstLine="0"/>
        <w:jc w:val="center"/>
        <w:rPr>
          <w:rFonts w:ascii="宋体" w:hAnsi="宋体" w:cs="宋体" w:hint="eastAsia"/>
          <w:b/>
          <w:bCs/>
          <w:sz w:val="28"/>
          <w:szCs w:val="28"/>
        </w:rPr>
      </w:pPr>
      <w:r w:rsidRPr="00123108">
        <w:rPr>
          <w:rFonts w:ascii="宋体" w:hAnsi="宋体" w:cs="宋体" w:hint="eastAsia"/>
          <w:b/>
          <w:bCs/>
          <w:sz w:val="28"/>
          <w:szCs w:val="28"/>
        </w:rPr>
        <w:t>附表2.2-5  事故多米诺半径计算结果</w:t>
      </w:r>
    </w:p>
    <w:p w:rsidR="00331EFA" w:rsidRDefault="00331EFA" w:rsidP="00331EFA">
      <w:pPr>
        <w:spacing w:line="500" w:lineRule="exact"/>
        <w:jc w:val="center"/>
        <w:rPr>
          <w:rFonts w:ascii="宋体" w:hAnsi="宋体"/>
          <w:b/>
          <w:bCs/>
          <w:sz w:val="28"/>
          <w:szCs w:val="28"/>
        </w:rPr>
      </w:pPr>
      <w:r>
        <w:rPr>
          <w:rFonts w:ascii="宋体" w:hAnsi="宋体" w:hint="eastAsia"/>
          <w:b/>
          <w:sz w:val="28"/>
          <w:szCs w:val="28"/>
        </w:rPr>
        <w:t>涉及企业机密，不予公开。</w:t>
      </w:r>
    </w:p>
    <w:p w:rsidR="00331EFA" w:rsidRDefault="00331EFA">
      <w:pPr>
        <w:pStyle w:val="2fd"/>
        <w:ind w:firstLineChars="0" w:firstLine="0"/>
        <w:jc w:val="center"/>
        <w:rPr>
          <w:rFonts w:ascii="宋体" w:hAnsi="宋体" w:cs="宋体" w:hint="eastAsia"/>
          <w:b/>
          <w:bCs/>
          <w:sz w:val="28"/>
          <w:szCs w:val="28"/>
        </w:rPr>
      </w:pPr>
    </w:p>
    <w:p w:rsidR="004F34D9" w:rsidRPr="00123108" w:rsidRDefault="004F34D9" w:rsidP="00D06780">
      <w:pPr>
        <w:pStyle w:val="2"/>
        <w:spacing w:line="500" w:lineRule="exact"/>
        <w:jc w:val="both"/>
        <w:rPr>
          <w:rFonts w:ascii="宋体" w:eastAsia="宋体" w:cs="宋体" w:hint="eastAsia"/>
          <w:sz w:val="28"/>
          <w:szCs w:val="28"/>
        </w:rPr>
      </w:pPr>
      <w:bookmarkStart w:id="1661" w:name="_Toc3809140"/>
      <w:bookmarkStart w:id="1662" w:name="_Toc18645"/>
      <w:bookmarkStart w:id="1663" w:name="_Toc30053"/>
      <w:bookmarkStart w:id="1664" w:name="_Toc8486"/>
      <w:bookmarkStart w:id="1665" w:name="_Toc32583"/>
      <w:bookmarkStart w:id="1666" w:name="_Toc11760"/>
      <w:bookmarkStart w:id="1667" w:name="_Toc13139"/>
      <w:bookmarkStart w:id="1668" w:name="_Toc190935895"/>
      <w:bookmarkEnd w:id="1651"/>
      <w:bookmarkEnd w:id="1652"/>
      <w:r w:rsidRPr="00123108">
        <w:rPr>
          <w:rFonts w:ascii="宋体" w:eastAsia="宋体" w:cs="宋体" w:hint="eastAsia"/>
          <w:sz w:val="28"/>
          <w:szCs w:val="28"/>
        </w:rPr>
        <w:lastRenderedPageBreak/>
        <w:t>附件2.3  安全条件评价</w:t>
      </w:r>
      <w:bookmarkEnd w:id="1661"/>
      <w:bookmarkEnd w:id="1662"/>
      <w:bookmarkEnd w:id="1663"/>
      <w:bookmarkEnd w:id="1664"/>
      <w:bookmarkEnd w:id="1665"/>
      <w:bookmarkEnd w:id="1666"/>
      <w:bookmarkEnd w:id="1667"/>
      <w:bookmarkEnd w:id="1668"/>
    </w:p>
    <w:p w:rsidR="004F34D9" w:rsidRPr="00123108" w:rsidRDefault="004F34D9" w:rsidP="00D06780">
      <w:pPr>
        <w:pStyle w:val="3"/>
        <w:spacing w:line="500" w:lineRule="exact"/>
        <w:rPr>
          <w:rFonts w:ascii="宋体" w:eastAsia="宋体" w:hAnsi="宋体" w:cs="宋体" w:hint="eastAsia"/>
          <w:sz w:val="28"/>
          <w:szCs w:val="28"/>
          <w:lang w:val="zh-CN"/>
        </w:rPr>
      </w:pPr>
      <w:bookmarkStart w:id="1669" w:name="_Toc238867582"/>
      <w:bookmarkStart w:id="1670" w:name="_Toc236122711"/>
      <w:bookmarkStart w:id="1671" w:name="_Toc3809141"/>
      <w:bookmarkStart w:id="1672" w:name="_Toc245793597"/>
      <w:bookmarkStart w:id="1673" w:name="_Toc21842"/>
      <w:bookmarkStart w:id="1674" w:name="_Toc252533375"/>
      <w:bookmarkStart w:id="1675" w:name="_Toc7405"/>
      <w:bookmarkStart w:id="1676" w:name="_Toc14133"/>
      <w:bookmarkStart w:id="1677" w:name="_Toc25573"/>
      <w:bookmarkStart w:id="1678" w:name="_Toc17764"/>
      <w:bookmarkStart w:id="1679" w:name="_Toc5315"/>
      <w:bookmarkStart w:id="1680" w:name="_Toc190935896"/>
      <w:r w:rsidRPr="00123108">
        <w:rPr>
          <w:rFonts w:ascii="宋体" w:eastAsia="宋体" w:hAnsi="宋体" w:cs="宋体" w:hint="eastAsia"/>
          <w:sz w:val="28"/>
          <w:szCs w:val="28"/>
          <w:lang w:val="zh-CN"/>
        </w:rPr>
        <w:t>附件2.</w:t>
      </w:r>
      <w:r w:rsidRPr="00123108">
        <w:rPr>
          <w:rFonts w:ascii="宋体" w:eastAsia="宋体" w:hAnsi="宋体" w:cs="宋体" w:hint="eastAsia"/>
          <w:sz w:val="28"/>
          <w:szCs w:val="28"/>
        </w:rPr>
        <w:t>3</w:t>
      </w:r>
      <w:r w:rsidRPr="00123108">
        <w:rPr>
          <w:rFonts w:ascii="宋体" w:eastAsia="宋体" w:hAnsi="宋体" w:cs="宋体" w:hint="eastAsia"/>
          <w:sz w:val="28"/>
          <w:szCs w:val="28"/>
          <w:lang w:val="zh-CN"/>
        </w:rPr>
        <w:t>.1</w:t>
      </w:r>
      <w:r w:rsidRPr="00123108">
        <w:rPr>
          <w:rFonts w:ascii="宋体" w:eastAsia="宋体" w:hAnsi="宋体" w:cs="宋体" w:hint="eastAsia"/>
          <w:sz w:val="28"/>
          <w:szCs w:val="28"/>
        </w:rPr>
        <w:t xml:space="preserve"> </w:t>
      </w:r>
      <w:r w:rsidRPr="00123108">
        <w:rPr>
          <w:rFonts w:ascii="宋体" w:eastAsia="宋体" w:hAnsi="宋体" w:cs="宋体" w:hint="eastAsia"/>
          <w:sz w:val="28"/>
          <w:szCs w:val="28"/>
          <w:lang w:val="zh-CN"/>
        </w:rPr>
        <w:t xml:space="preserve"> 选址及周边环境</w:t>
      </w:r>
      <w:bookmarkEnd w:id="1669"/>
      <w:bookmarkEnd w:id="1670"/>
      <w:bookmarkEnd w:id="1671"/>
      <w:bookmarkEnd w:id="1672"/>
      <w:bookmarkEnd w:id="1673"/>
      <w:bookmarkEnd w:id="1674"/>
      <w:bookmarkEnd w:id="1675"/>
      <w:bookmarkEnd w:id="1676"/>
      <w:bookmarkEnd w:id="1677"/>
      <w:bookmarkEnd w:id="1678"/>
      <w:bookmarkEnd w:id="1679"/>
      <w:bookmarkEnd w:id="1680"/>
    </w:p>
    <w:p w:rsidR="004F34D9" w:rsidRPr="00123108" w:rsidRDefault="004F34D9" w:rsidP="00D06780">
      <w:pPr>
        <w:spacing w:line="500" w:lineRule="exact"/>
        <w:ind w:firstLine="560"/>
        <w:rPr>
          <w:rFonts w:ascii="宋体" w:hAnsi="宋体" w:cs="宋体" w:hint="eastAsia"/>
          <w:sz w:val="28"/>
        </w:rPr>
      </w:pPr>
      <w:bookmarkStart w:id="1681" w:name="_Hlk522204846"/>
      <w:r w:rsidRPr="00123108">
        <w:rPr>
          <w:rFonts w:ascii="宋体" w:hAnsi="宋体" w:cs="宋体" w:hint="eastAsia"/>
          <w:sz w:val="28"/>
        </w:rPr>
        <w:t>根据《</w:t>
      </w:r>
      <w:r w:rsidRPr="00123108">
        <w:rPr>
          <w:rFonts w:ascii="宋体" w:hAnsi="宋体" w:cs="宋体" w:hint="eastAsia"/>
          <w:sz w:val="28"/>
          <w:szCs w:val="28"/>
        </w:rPr>
        <w:t>建筑设计防火规范</w:t>
      </w:r>
      <w:r w:rsidRPr="00123108">
        <w:rPr>
          <w:rFonts w:ascii="宋体" w:hAnsi="宋体" w:cs="宋体" w:hint="eastAsia"/>
          <w:sz w:val="28"/>
        </w:rPr>
        <w:t>》</w:t>
      </w:r>
      <w:r w:rsidRPr="00123108">
        <w:rPr>
          <w:rFonts w:ascii="宋体" w:hAnsi="宋体" w:cs="宋体" w:hint="eastAsia"/>
          <w:sz w:val="28"/>
          <w:szCs w:val="28"/>
        </w:rPr>
        <w:t>GB 50016-2014（2018年版）、</w:t>
      </w:r>
      <w:r w:rsidRPr="00123108">
        <w:rPr>
          <w:rFonts w:ascii="宋体" w:hAnsi="宋体" w:hint="eastAsia"/>
          <w:sz w:val="28"/>
          <w:szCs w:val="28"/>
        </w:rPr>
        <w:t>《化工企业总图运输设计规范》GB50489-2009、《工业企业总平面设计规范》GB50187-2012</w:t>
      </w:r>
      <w:r w:rsidRPr="00123108">
        <w:rPr>
          <w:rFonts w:ascii="宋体" w:hAnsi="宋体" w:cs="宋体" w:hint="eastAsia"/>
          <w:sz w:val="28"/>
          <w:szCs w:val="28"/>
        </w:rPr>
        <w:t>等</w:t>
      </w:r>
      <w:r w:rsidRPr="00123108">
        <w:rPr>
          <w:rFonts w:ascii="宋体" w:hAnsi="宋体" w:cs="宋体" w:hint="eastAsia"/>
          <w:sz w:val="28"/>
        </w:rPr>
        <w:t>标准规范的要求，对选址及周边环境距离等方面进行检查，见附表2.3-1。</w:t>
      </w:r>
    </w:p>
    <w:p w:rsidR="004F34D9" w:rsidRPr="00123108" w:rsidRDefault="004F34D9" w:rsidP="00D06780">
      <w:pPr>
        <w:spacing w:line="500" w:lineRule="exact"/>
        <w:jc w:val="center"/>
        <w:rPr>
          <w:rFonts w:ascii="宋体" w:hAnsi="宋体" w:cs="宋体" w:hint="eastAsia"/>
          <w:b/>
          <w:bCs/>
          <w:sz w:val="28"/>
          <w:szCs w:val="28"/>
        </w:rPr>
      </w:pPr>
      <w:r w:rsidRPr="00123108">
        <w:rPr>
          <w:rFonts w:ascii="宋体" w:hAnsi="宋体" w:cs="宋体" w:hint="eastAsia"/>
          <w:b/>
          <w:bCs/>
          <w:sz w:val="28"/>
        </w:rPr>
        <w:t>附表2.3-1  选址及周边环境安全检查表</w:t>
      </w:r>
      <w:bookmarkEnd w:id="1681"/>
    </w:p>
    <w:tbl>
      <w:tblPr>
        <w:tblW w:w="4997"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
        <w:gridCol w:w="4245"/>
        <w:gridCol w:w="1683"/>
        <w:gridCol w:w="1830"/>
        <w:gridCol w:w="805"/>
      </w:tblGrid>
      <w:tr w:rsidR="004F34D9" w:rsidRPr="00123108">
        <w:trPr>
          <w:cantSplit/>
          <w:trHeight w:val="610"/>
          <w:jc w:val="center"/>
        </w:trPr>
        <w:tc>
          <w:tcPr>
            <w:tcW w:w="330" w:type="pct"/>
            <w:vAlign w:val="center"/>
          </w:tcPr>
          <w:p w:rsidR="004F34D9" w:rsidRPr="00123108" w:rsidRDefault="004F34D9">
            <w:pPr>
              <w:jc w:val="center"/>
              <w:rPr>
                <w:rFonts w:ascii="宋体" w:hAnsi="宋体" w:cs="宋体" w:hint="eastAsia"/>
                <w:b/>
                <w:bCs/>
                <w:szCs w:val="21"/>
              </w:rPr>
            </w:pPr>
            <w:r w:rsidRPr="00123108">
              <w:rPr>
                <w:rFonts w:ascii="宋体" w:hAnsi="宋体" w:cs="宋体" w:hint="eastAsia"/>
                <w:b/>
                <w:bCs/>
                <w:szCs w:val="21"/>
              </w:rPr>
              <w:t>序号</w:t>
            </w:r>
          </w:p>
        </w:tc>
        <w:tc>
          <w:tcPr>
            <w:tcW w:w="2315" w:type="pct"/>
            <w:vAlign w:val="center"/>
          </w:tcPr>
          <w:p w:rsidR="004F34D9" w:rsidRPr="00123108" w:rsidRDefault="004F34D9">
            <w:pPr>
              <w:jc w:val="center"/>
              <w:rPr>
                <w:rFonts w:ascii="宋体" w:hAnsi="宋体" w:cs="宋体" w:hint="eastAsia"/>
                <w:b/>
                <w:bCs/>
                <w:szCs w:val="21"/>
              </w:rPr>
            </w:pPr>
            <w:r w:rsidRPr="00123108">
              <w:rPr>
                <w:rFonts w:ascii="宋体" w:hAnsi="宋体" w:cs="宋体" w:hint="eastAsia"/>
                <w:b/>
                <w:bCs/>
                <w:szCs w:val="21"/>
              </w:rPr>
              <w:t>检查项目及内容</w:t>
            </w:r>
          </w:p>
        </w:tc>
        <w:tc>
          <w:tcPr>
            <w:tcW w:w="918" w:type="pct"/>
            <w:vAlign w:val="center"/>
          </w:tcPr>
          <w:p w:rsidR="004F34D9" w:rsidRPr="00123108" w:rsidRDefault="004F34D9">
            <w:pPr>
              <w:jc w:val="center"/>
              <w:rPr>
                <w:rFonts w:ascii="宋体" w:hAnsi="宋体" w:cs="宋体" w:hint="eastAsia"/>
                <w:b/>
                <w:bCs/>
                <w:szCs w:val="21"/>
              </w:rPr>
            </w:pPr>
            <w:r w:rsidRPr="00123108">
              <w:rPr>
                <w:rFonts w:ascii="宋体" w:hAnsi="宋体" w:cs="宋体" w:hint="eastAsia"/>
                <w:b/>
                <w:bCs/>
                <w:szCs w:val="21"/>
              </w:rPr>
              <w:t>依据标准</w:t>
            </w:r>
          </w:p>
        </w:tc>
        <w:tc>
          <w:tcPr>
            <w:tcW w:w="998" w:type="pct"/>
            <w:vAlign w:val="center"/>
          </w:tcPr>
          <w:p w:rsidR="004F34D9" w:rsidRPr="00123108" w:rsidRDefault="004F34D9">
            <w:pPr>
              <w:jc w:val="center"/>
              <w:rPr>
                <w:rFonts w:ascii="宋体" w:hAnsi="宋体" w:cs="宋体" w:hint="eastAsia"/>
                <w:b/>
                <w:bCs/>
                <w:szCs w:val="21"/>
              </w:rPr>
            </w:pPr>
            <w:r w:rsidRPr="00123108">
              <w:rPr>
                <w:rFonts w:ascii="宋体" w:hAnsi="宋体" w:cs="宋体" w:hint="eastAsia"/>
                <w:b/>
                <w:bCs/>
                <w:szCs w:val="21"/>
              </w:rPr>
              <w:t>实际情况</w:t>
            </w:r>
          </w:p>
        </w:tc>
        <w:tc>
          <w:tcPr>
            <w:tcW w:w="439" w:type="pct"/>
            <w:vAlign w:val="center"/>
          </w:tcPr>
          <w:p w:rsidR="004F34D9" w:rsidRPr="00123108" w:rsidRDefault="004F34D9">
            <w:pPr>
              <w:jc w:val="center"/>
              <w:rPr>
                <w:rFonts w:ascii="宋体" w:hAnsi="宋体" w:cs="宋体" w:hint="eastAsia"/>
                <w:b/>
                <w:bCs/>
                <w:szCs w:val="21"/>
              </w:rPr>
            </w:pPr>
            <w:r w:rsidRPr="00123108">
              <w:rPr>
                <w:rFonts w:ascii="宋体" w:hAnsi="宋体" w:cs="宋体" w:hint="eastAsia"/>
                <w:b/>
                <w:bCs/>
                <w:szCs w:val="21"/>
              </w:rPr>
              <w:t>检查</w:t>
            </w:r>
          </w:p>
          <w:p w:rsidR="004F34D9" w:rsidRPr="00123108" w:rsidRDefault="004F34D9">
            <w:pPr>
              <w:jc w:val="center"/>
              <w:rPr>
                <w:rFonts w:ascii="宋体" w:hAnsi="宋体" w:cs="宋体" w:hint="eastAsia"/>
                <w:b/>
                <w:bCs/>
                <w:szCs w:val="21"/>
              </w:rPr>
            </w:pPr>
            <w:r w:rsidRPr="00123108">
              <w:rPr>
                <w:rFonts w:ascii="宋体" w:hAnsi="宋体" w:cs="宋体" w:hint="eastAsia"/>
                <w:b/>
                <w:bCs/>
                <w:szCs w:val="21"/>
              </w:rPr>
              <w:t>结果</w:t>
            </w:r>
          </w:p>
        </w:tc>
      </w:tr>
      <w:tr w:rsidR="004F34D9" w:rsidRPr="00123108">
        <w:trPr>
          <w:cantSplit/>
          <w:trHeight w:val="397"/>
          <w:jc w:val="center"/>
        </w:trPr>
        <w:tc>
          <w:tcPr>
            <w:tcW w:w="330"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1</w:t>
            </w:r>
          </w:p>
        </w:tc>
        <w:tc>
          <w:tcPr>
            <w:tcW w:w="2315"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厂址选择应符合国家工业布局和当地城镇总体规划及土地利用总体规划的要求。厂址选择应严格执行国家建设前期工作的有关规定。</w:t>
            </w:r>
          </w:p>
        </w:tc>
        <w:tc>
          <w:tcPr>
            <w:tcW w:w="918"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GB 50489-2009</w:t>
            </w:r>
          </w:p>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第3.1.1条</w:t>
            </w:r>
          </w:p>
        </w:tc>
        <w:tc>
          <w:tcPr>
            <w:tcW w:w="998" w:type="pct"/>
            <w:vAlign w:val="center"/>
          </w:tcPr>
          <w:p w:rsidR="004F34D9" w:rsidRPr="00123108" w:rsidRDefault="004F34D9" w:rsidP="000D1CAF">
            <w:pPr>
              <w:autoSpaceDE w:val="0"/>
              <w:autoSpaceDN w:val="0"/>
              <w:adjustRightInd w:val="0"/>
              <w:snapToGrid w:val="0"/>
              <w:jc w:val="left"/>
              <w:rPr>
                <w:rFonts w:ascii="宋体" w:hAnsi="宋体" w:hint="eastAsia"/>
              </w:rPr>
            </w:pPr>
            <w:r w:rsidRPr="00123108">
              <w:rPr>
                <w:rFonts w:ascii="宋体" w:hAnsi="宋体" w:hint="eastAsia"/>
              </w:rPr>
              <w:t>新桥化工1</w:t>
            </w:r>
            <w:r w:rsidRPr="00123108">
              <w:rPr>
                <w:rFonts w:ascii="宋体" w:hAnsi="宋体"/>
              </w:rPr>
              <w:t>990</w:t>
            </w:r>
            <w:r w:rsidRPr="00123108">
              <w:rPr>
                <w:rFonts w:ascii="宋体" w:hAnsi="宋体" w:hint="eastAsia"/>
              </w:rPr>
              <w:t>建厂时属于宁波经济技术开发区，2000年扩设时属于联合开发区域C1区，早于《宁波市化工行业安全发展规划》，符合当时用地规划</w:t>
            </w:r>
          </w:p>
        </w:tc>
        <w:tc>
          <w:tcPr>
            <w:tcW w:w="43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97"/>
          <w:jc w:val="center"/>
        </w:trPr>
        <w:tc>
          <w:tcPr>
            <w:tcW w:w="330"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2</w:t>
            </w:r>
          </w:p>
        </w:tc>
        <w:tc>
          <w:tcPr>
            <w:tcW w:w="2315"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厂址选择应由有关职能部门和有关专业协同对建厂条件进行调查，并全面论证和评价厂址对当地经济、社会和环境的影响，同时应满足防灾、安全、环境保护及卫生防护的要求。</w:t>
            </w:r>
          </w:p>
        </w:tc>
        <w:tc>
          <w:tcPr>
            <w:tcW w:w="918"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50489-2009</w:t>
            </w:r>
          </w:p>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第3.1.2条</w:t>
            </w:r>
          </w:p>
        </w:tc>
        <w:tc>
          <w:tcPr>
            <w:tcW w:w="998"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建厂时已经相关部门论证，并经消防验收</w:t>
            </w:r>
          </w:p>
        </w:tc>
        <w:tc>
          <w:tcPr>
            <w:tcW w:w="43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97"/>
          <w:jc w:val="center"/>
        </w:trPr>
        <w:tc>
          <w:tcPr>
            <w:tcW w:w="330"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3</w:t>
            </w:r>
          </w:p>
        </w:tc>
        <w:tc>
          <w:tcPr>
            <w:tcW w:w="2315"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厂址选择应同时满足交通运输设施、能源和动力设施、防洪设施、环境保护工程及生活等配套建设用地的要求。</w:t>
            </w:r>
          </w:p>
        </w:tc>
        <w:tc>
          <w:tcPr>
            <w:tcW w:w="918"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50489-2009</w:t>
            </w:r>
          </w:p>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第3.1.4条</w:t>
            </w:r>
          </w:p>
        </w:tc>
        <w:tc>
          <w:tcPr>
            <w:tcW w:w="998"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厂址交通运输便利，多年运行能源、动力等条件能满足要求</w:t>
            </w:r>
          </w:p>
        </w:tc>
        <w:tc>
          <w:tcPr>
            <w:tcW w:w="43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97"/>
          <w:jc w:val="center"/>
        </w:trPr>
        <w:tc>
          <w:tcPr>
            <w:tcW w:w="330"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4</w:t>
            </w:r>
          </w:p>
        </w:tc>
        <w:tc>
          <w:tcPr>
            <w:tcW w:w="2315"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厂址宜靠近主要原料和能源供应地、产品主要销售地及协作条件好的地区。</w:t>
            </w:r>
          </w:p>
        </w:tc>
        <w:tc>
          <w:tcPr>
            <w:tcW w:w="918"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GB 50489-2009</w:t>
            </w:r>
          </w:p>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第3.1.5条</w:t>
            </w:r>
          </w:p>
        </w:tc>
        <w:tc>
          <w:tcPr>
            <w:tcW w:w="998"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主要原料苯乙烯就近企业供应</w:t>
            </w:r>
          </w:p>
        </w:tc>
        <w:tc>
          <w:tcPr>
            <w:tcW w:w="43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97"/>
          <w:jc w:val="center"/>
        </w:trPr>
        <w:tc>
          <w:tcPr>
            <w:tcW w:w="330"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5</w:t>
            </w:r>
          </w:p>
        </w:tc>
        <w:tc>
          <w:tcPr>
            <w:tcW w:w="2315"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厂址应具有充足、可靠的水源和电源，且应满足企业发展需要。</w:t>
            </w:r>
          </w:p>
        </w:tc>
        <w:tc>
          <w:tcPr>
            <w:tcW w:w="918"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GB 50489-2009</w:t>
            </w:r>
          </w:p>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第3.1.7条</w:t>
            </w:r>
          </w:p>
        </w:tc>
        <w:tc>
          <w:tcPr>
            <w:tcW w:w="998"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水电供应有保障，能满足企业需要</w:t>
            </w:r>
          </w:p>
        </w:tc>
        <w:tc>
          <w:tcPr>
            <w:tcW w:w="43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97"/>
          <w:jc w:val="center"/>
        </w:trPr>
        <w:tc>
          <w:tcPr>
            <w:tcW w:w="330"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6</w:t>
            </w:r>
          </w:p>
        </w:tc>
        <w:tc>
          <w:tcPr>
            <w:tcW w:w="2315" w:type="pct"/>
            <w:vAlign w:val="center"/>
          </w:tcPr>
          <w:p w:rsidR="004F34D9" w:rsidRPr="00123108" w:rsidRDefault="004F34D9">
            <w:pPr>
              <w:jc w:val="left"/>
              <w:rPr>
                <w:rFonts w:ascii="宋体" w:hAnsi="宋体" w:cs="宋体" w:hint="eastAsia"/>
                <w:kern w:val="0"/>
                <w:szCs w:val="21"/>
              </w:rPr>
            </w:pPr>
            <w:r w:rsidRPr="00123108">
              <w:rPr>
                <w:rFonts w:ascii="宋体" w:hAnsi="宋体" w:cs="宋体" w:hint="eastAsia"/>
                <w:kern w:val="0"/>
                <w:szCs w:val="21"/>
              </w:rPr>
              <w:t>厂址应位于城镇或居住区的全年最小频率风向的上风侧。</w:t>
            </w:r>
          </w:p>
        </w:tc>
        <w:tc>
          <w:tcPr>
            <w:tcW w:w="918"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GB 50489-2009</w:t>
            </w:r>
          </w:p>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第3.1.8条</w:t>
            </w:r>
          </w:p>
        </w:tc>
        <w:tc>
          <w:tcPr>
            <w:tcW w:w="998"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建厂时已综合考虑</w:t>
            </w:r>
          </w:p>
        </w:tc>
        <w:tc>
          <w:tcPr>
            <w:tcW w:w="43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97"/>
          <w:jc w:val="center"/>
        </w:trPr>
        <w:tc>
          <w:tcPr>
            <w:tcW w:w="330"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7</w:t>
            </w:r>
          </w:p>
        </w:tc>
        <w:tc>
          <w:tcPr>
            <w:tcW w:w="2315"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可能散发有害气体工厂的厂址，应避开易形成逆温层及全年静风频率较高的区域。</w:t>
            </w:r>
          </w:p>
        </w:tc>
        <w:tc>
          <w:tcPr>
            <w:tcW w:w="918"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GB 50489-2009</w:t>
            </w:r>
          </w:p>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第3.1.9条</w:t>
            </w:r>
          </w:p>
        </w:tc>
        <w:tc>
          <w:tcPr>
            <w:tcW w:w="998"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所在地地势开阔，通风良好，不易形成逆温层</w:t>
            </w:r>
          </w:p>
        </w:tc>
        <w:tc>
          <w:tcPr>
            <w:tcW w:w="43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97"/>
          <w:jc w:val="center"/>
        </w:trPr>
        <w:tc>
          <w:tcPr>
            <w:tcW w:w="330"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lastRenderedPageBreak/>
              <w:t>8</w:t>
            </w:r>
          </w:p>
        </w:tc>
        <w:tc>
          <w:tcPr>
            <w:tcW w:w="2315"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事故状态泄漏或散发有毒、有害、易燃、易爆气体工厂的厂址，应远离城镇、居住区、公共设施、村庄、国家和省级干道、国家和地方铁路干线、河海港区、仓储区、军事设施、机场等人员密集场所和国家重要设施。</w:t>
            </w:r>
          </w:p>
        </w:tc>
        <w:tc>
          <w:tcPr>
            <w:tcW w:w="918"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50489-2009</w:t>
            </w:r>
          </w:p>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第3.1.10条</w:t>
            </w:r>
          </w:p>
        </w:tc>
        <w:tc>
          <w:tcPr>
            <w:tcW w:w="998"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厂区边界距招宝山大桥延伸路线100m左右;苯乙烯储罐距离招宝山大桥220m左右</w:t>
            </w:r>
          </w:p>
        </w:tc>
        <w:tc>
          <w:tcPr>
            <w:tcW w:w="43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97"/>
          <w:jc w:val="center"/>
        </w:trPr>
        <w:tc>
          <w:tcPr>
            <w:tcW w:w="330"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9</w:t>
            </w:r>
          </w:p>
        </w:tc>
        <w:tc>
          <w:tcPr>
            <w:tcW w:w="2315"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产生环境噪声超过现行国家标准《工业企业厂界环境噪声排放标准》GB12348规定的工厂，不应在噪声敏感区域内选择厂址；对外部噪声敏感的工厂，应根据其正常生产运行的要求选择厂址。</w:t>
            </w:r>
          </w:p>
        </w:tc>
        <w:tc>
          <w:tcPr>
            <w:tcW w:w="918"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GB 50489-2009</w:t>
            </w:r>
          </w:p>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第3.1.12条</w:t>
            </w:r>
          </w:p>
        </w:tc>
        <w:tc>
          <w:tcPr>
            <w:tcW w:w="998"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厂址附近不属噪声敏感区域</w:t>
            </w:r>
          </w:p>
        </w:tc>
        <w:tc>
          <w:tcPr>
            <w:tcW w:w="43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97"/>
          <w:jc w:val="center"/>
        </w:trPr>
        <w:tc>
          <w:tcPr>
            <w:tcW w:w="330" w:type="pct"/>
            <w:vMerge w:val="restar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10</w:t>
            </w:r>
          </w:p>
        </w:tc>
        <w:tc>
          <w:tcPr>
            <w:tcW w:w="2315"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厂址不应选择在下列地段和地区：</w:t>
            </w:r>
          </w:p>
        </w:tc>
        <w:tc>
          <w:tcPr>
            <w:tcW w:w="918" w:type="pct"/>
            <w:vMerge w:val="restar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GB 50489-2009</w:t>
            </w:r>
          </w:p>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第3.1.13条</w:t>
            </w:r>
          </w:p>
        </w:tc>
        <w:tc>
          <w:tcPr>
            <w:tcW w:w="998" w:type="pct"/>
            <w:vAlign w:val="center"/>
          </w:tcPr>
          <w:p w:rsidR="004F34D9" w:rsidRPr="00123108" w:rsidRDefault="004F34D9">
            <w:pPr>
              <w:jc w:val="left"/>
              <w:rPr>
                <w:rFonts w:ascii="宋体" w:hAnsi="宋体" w:cs="宋体" w:hint="eastAsia"/>
                <w:kern w:val="0"/>
                <w:szCs w:val="21"/>
              </w:rPr>
            </w:pPr>
          </w:p>
        </w:tc>
        <w:tc>
          <w:tcPr>
            <w:tcW w:w="439" w:type="pct"/>
            <w:vAlign w:val="center"/>
          </w:tcPr>
          <w:p w:rsidR="004F34D9" w:rsidRPr="00123108" w:rsidRDefault="004F34D9">
            <w:pPr>
              <w:jc w:val="center"/>
              <w:rPr>
                <w:rFonts w:ascii="宋体" w:hAnsi="宋体" w:cs="宋体" w:hint="eastAsia"/>
                <w:kern w:val="0"/>
                <w:szCs w:val="21"/>
              </w:rPr>
            </w:pPr>
          </w:p>
        </w:tc>
      </w:tr>
      <w:tr w:rsidR="004F34D9" w:rsidRPr="00123108">
        <w:trPr>
          <w:cantSplit/>
          <w:trHeight w:val="397"/>
          <w:jc w:val="center"/>
        </w:trPr>
        <w:tc>
          <w:tcPr>
            <w:tcW w:w="330" w:type="pct"/>
            <w:vMerge/>
            <w:vAlign w:val="center"/>
          </w:tcPr>
          <w:p w:rsidR="004F34D9" w:rsidRPr="00123108" w:rsidRDefault="004F34D9">
            <w:pPr>
              <w:jc w:val="center"/>
              <w:rPr>
                <w:rFonts w:ascii="宋体" w:hAnsi="宋体" w:cs="宋体" w:hint="eastAsia"/>
                <w:kern w:val="0"/>
                <w:szCs w:val="21"/>
              </w:rPr>
            </w:pPr>
          </w:p>
        </w:tc>
        <w:tc>
          <w:tcPr>
            <w:tcW w:w="2315" w:type="pct"/>
            <w:vAlign w:val="center"/>
          </w:tcPr>
          <w:p w:rsidR="004F34D9" w:rsidRPr="00123108" w:rsidRDefault="004F34D9">
            <w:pPr>
              <w:jc w:val="left"/>
              <w:rPr>
                <w:rFonts w:ascii="宋体" w:hAnsi="宋体" w:cs="宋体" w:hint="eastAsia"/>
                <w:kern w:val="0"/>
                <w:szCs w:val="21"/>
              </w:rPr>
            </w:pPr>
            <w:r w:rsidRPr="00123108">
              <w:rPr>
                <w:rFonts w:ascii="宋体" w:hAnsi="宋体" w:cs="宋体" w:hint="eastAsia"/>
                <w:kern w:val="0"/>
                <w:szCs w:val="21"/>
              </w:rPr>
              <w:t>地震断层及地震基本烈度高于9度的地震区。</w:t>
            </w:r>
          </w:p>
        </w:tc>
        <w:tc>
          <w:tcPr>
            <w:tcW w:w="918" w:type="pct"/>
            <w:vMerge/>
            <w:vAlign w:val="center"/>
          </w:tcPr>
          <w:p w:rsidR="004F34D9" w:rsidRPr="00123108" w:rsidRDefault="004F34D9">
            <w:pPr>
              <w:jc w:val="center"/>
              <w:rPr>
                <w:rFonts w:ascii="宋体" w:hAnsi="宋体" w:cs="宋体" w:hint="eastAsia"/>
                <w:kern w:val="0"/>
                <w:szCs w:val="21"/>
              </w:rPr>
            </w:pPr>
          </w:p>
        </w:tc>
        <w:tc>
          <w:tcPr>
            <w:tcW w:w="998" w:type="pct"/>
            <w:vAlign w:val="center"/>
          </w:tcPr>
          <w:p w:rsidR="004F34D9" w:rsidRPr="00123108" w:rsidRDefault="004F34D9">
            <w:pPr>
              <w:jc w:val="left"/>
              <w:rPr>
                <w:rFonts w:ascii="宋体" w:hAnsi="宋体" w:cs="宋体" w:hint="eastAsia"/>
                <w:kern w:val="0"/>
                <w:szCs w:val="21"/>
              </w:rPr>
            </w:pPr>
            <w:r w:rsidRPr="00123108">
              <w:rPr>
                <w:rFonts w:ascii="宋体" w:hAnsi="宋体" w:cs="宋体" w:hint="eastAsia"/>
                <w:kern w:val="0"/>
                <w:szCs w:val="21"/>
              </w:rPr>
              <w:t>地震设防烈度7度</w:t>
            </w:r>
          </w:p>
        </w:tc>
        <w:tc>
          <w:tcPr>
            <w:tcW w:w="43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97"/>
          <w:jc w:val="center"/>
        </w:trPr>
        <w:tc>
          <w:tcPr>
            <w:tcW w:w="330" w:type="pct"/>
            <w:vMerge/>
            <w:vAlign w:val="center"/>
          </w:tcPr>
          <w:p w:rsidR="004F34D9" w:rsidRPr="00123108" w:rsidRDefault="004F34D9">
            <w:pPr>
              <w:jc w:val="center"/>
              <w:rPr>
                <w:rFonts w:ascii="宋体" w:hAnsi="宋体" w:cs="宋体" w:hint="eastAsia"/>
                <w:kern w:val="0"/>
                <w:szCs w:val="21"/>
              </w:rPr>
            </w:pPr>
          </w:p>
        </w:tc>
        <w:tc>
          <w:tcPr>
            <w:tcW w:w="2315" w:type="pct"/>
            <w:vAlign w:val="center"/>
          </w:tcPr>
          <w:p w:rsidR="004F34D9" w:rsidRPr="00123108" w:rsidRDefault="004F34D9">
            <w:pPr>
              <w:jc w:val="left"/>
              <w:rPr>
                <w:rFonts w:ascii="宋体" w:hAnsi="宋体" w:cs="宋体" w:hint="eastAsia"/>
                <w:kern w:val="0"/>
                <w:szCs w:val="21"/>
              </w:rPr>
            </w:pPr>
            <w:r w:rsidRPr="00123108">
              <w:rPr>
                <w:rFonts w:ascii="宋体" w:hAnsi="宋体" w:cs="宋体" w:hint="eastAsia"/>
                <w:kern w:val="0"/>
                <w:szCs w:val="21"/>
              </w:rPr>
              <w:t>工程地质严重不良的地段。</w:t>
            </w:r>
          </w:p>
        </w:tc>
        <w:tc>
          <w:tcPr>
            <w:tcW w:w="918" w:type="pct"/>
            <w:vMerge/>
            <w:vAlign w:val="center"/>
          </w:tcPr>
          <w:p w:rsidR="004F34D9" w:rsidRPr="00123108" w:rsidRDefault="004F34D9">
            <w:pPr>
              <w:jc w:val="center"/>
              <w:rPr>
                <w:rFonts w:ascii="宋体" w:hAnsi="宋体" w:cs="宋体" w:hint="eastAsia"/>
                <w:kern w:val="0"/>
                <w:szCs w:val="21"/>
              </w:rPr>
            </w:pPr>
          </w:p>
        </w:tc>
        <w:tc>
          <w:tcPr>
            <w:tcW w:w="998"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不属于工程地质严重不良的地段</w:t>
            </w:r>
          </w:p>
        </w:tc>
        <w:tc>
          <w:tcPr>
            <w:tcW w:w="43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97"/>
          <w:jc w:val="center"/>
        </w:trPr>
        <w:tc>
          <w:tcPr>
            <w:tcW w:w="330" w:type="pct"/>
            <w:vMerge/>
            <w:vAlign w:val="center"/>
          </w:tcPr>
          <w:p w:rsidR="004F34D9" w:rsidRPr="00123108" w:rsidRDefault="004F34D9">
            <w:pPr>
              <w:jc w:val="center"/>
              <w:rPr>
                <w:rFonts w:ascii="宋体" w:hAnsi="宋体" w:cs="宋体" w:hint="eastAsia"/>
                <w:kern w:val="0"/>
                <w:szCs w:val="21"/>
              </w:rPr>
            </w:pPr>
          </w:p>
        </w:tc>
        <w:tc>
          <w:tcPr>
            <w:tcW w:w="2315" w:type="pct"/>
            <w:vAlign w:val="center"/>
          </w:tcPr>
          <w:p w:rsidR="004F34D9" w:rsidRPr="00123108" w:rsidRDefault="004F34D9">
            <w:pPr>
              <w:jc w:val="left"/>
              <w:rPr>
                <w:rFonts w:ascii="宋体" w:hAnsi="宋体" w:cs="宋体" w:hint="eastAsia"/>
                <w:kern w:val="0"/>
                <w:szCs w:val="21"/>
              </w:rPr>
            </w:pPr>
            <w:r w:rsidRPr="00123108">
              <w:rPr>
                <w:rFonts w:ascii="宋体" w:hAnsi="宋体" w:cs="宋体" w:hint="eastAsia"/>
                <w:kern w:val="0"/>
                <w:szCs w:val="21"/>
              </w:rPr>
              <w:t>重要矿床分布地段及采矿陷落（错动）区。</w:t>
            </w:r>
          </w:p>
        </w:tc>
        <w:tc>
          <w:tcPr>
            <w:tcW w:w="918" w:type="pct"/>
            <w:vMerge/>
            <w:vAlign w:val="center"/>
          </w:tcPr>
          <w:p w:rsidR="004F34D9" w:rsidRPr="00123108" w:rsidRDefault="004F34D9">
            <w:pPr>
              <w:jc w:val="center"/>
              <w:rPr>
                <w:rFonts w:ascii="宋体" w:hAnsi="宋体" w:cs="宋体" w:hint="eastAsia"/>
                <w:kern w:val="0"/>
                <w:szCs w:val="21"/>
              </w:rPr>
            </w:pPr>
          </w:p>
        </w:tc>
        <w:tc>
          <w:tcPr>
            <w:tcW w:w="998" w:type="pct"/>
            <w:vAlign w:val="center"/>
          </w:tcPr>
          <w:p w:rsidR="004F34D9" w:rsidRPr="00123108" w:rsidRDefault="004F34D9">
            <w:pPr>
              <w:jc w:val="left"/>
              <w:rPr>
                <w:rFonts w:ascii="宋体" w:hAnsi="宋体" w:cs="宋体" w:hint="eastAsia"/>
                <w:kern w:val="0"/>
                <w:szCs w:val="21"/>
              </w:rPr>
            </w:pPr>
            <w:r w:rsidRPr="00123108">
              <w:rPr>
                <w:rFonts w:ascii="宋体" w:hAnsi="宋体" w:cs="宋体" w:hint="eastAsia"/>
                <w:kern w:val="0"/>
                <w:szCs w:val="21"/>
              </w:rPr>
              <w:t>不属所述区域</w:t>
            </w:r>
          </w:p>
        </w:tc>
        <w:tc>
          <w:tcPr>
            <w:tcW w:w="43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97"/>
          <w:jc w:val="center"/>
        </w:trPr>
        <w:tc>
          <w:tcPr>
            <w:tcW w:w="330" w:type="pct"/>
            <w:vMerge/>
            <w:vAlign w:val="center"/>
          </w:tcPr>
          <w:p w:rsidR="004F34D9" w:rsidRPr="00123108" w:rsidRDefault="004F34D9">
            <w:pPr>
              <w:jc w:val="center"/>
              <w:rPr>
                <w:rFonts w:ascii="宋体" w:hAnsi="宋体" w:cs="宋体" w:hint="eastAsia"/>
                <w:kern w:val="0"/>
                <w:szCs w:val="21"/>
              </w:rPr>
            </w:pPr>
          </w:p>
        </w:tc>
        <w:tc>
          <w:tcPr>
            <w:tcW w:w="2315"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国家和地方规定的风景区、自然保护区及历史文物古迹保护区。</w:t>
            </w:r>
          </w:p>
        </w:tc>
        <w:tc>
          <w:tcPr>
            <w:tcW w:w="918" w:type="pct"/>
            <w:vMerge/>
            <w:vAlign w:val="center"/>
          </w:tcPr>
          <w:p w:rsidR="004F34D9" w:rsidRPr="00123108" w:rsidRDefault="004F34D9">
            <w:pPr>
              <w:jc w:val="center"/>
              <w:rPr>
                <w:rFonts w:ascii="宋体" w:hAnsi="宋体" w:cs="宋体" w:hint="eastAsia"/>
                <w:kern w:val="0"/>
                <w:szCs w:val="21"/>
              </w:rPr>
            </w:pPr>
          </w:p>
        </w:tc>
        <w:tc>
          <w:tcPr>
            <w:tcW w:w="998" w:type="pct"/>
            <w:vAlign w:val="center"/>
          </w:tcPr>
          <w:p w:rsidR="004F34D9" w:rsidRPr="00123108" w:rsidRDefault="004F34D9">
            <w:pPr>
              <w:jc w:val="left"/>
              <w:rPr>
                <w:rFonts w:ascii="宋体" w:hAnsi="宋体" w:cs="宋体" w:hint="eastAsia"/>
                <w:kern w:val="0"/>
                <w:szCs w:val="21"/>
              </w:rPr>
            </w:pPr>
            <w:r w:rsidRPr="00123108">
              <w:rPr>
                <w:rFonts w:ascii="宋体" w:hAnsi="宋体" w:cs="宋体" w:hint="eastAsia"/>
                <w:kern w:val="0"/>
                <w:szCs w:val="21"/>
              </w:rPr>
              <w:t>不在风景区、自然保护区</w:t>
            </w:r>
          </w:p>
        </w:tc>
        <w:tc>
          <w:tcPr>
            <w:tcW w:w="43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97"/>
          <w:jc w:val="center"/>
        </w:trPr>
        <w:tc>
          <w:tcPr>
            <w:tcW w:w="330" w:type="pct"/>
            <w:vMerge/>
            <w:vAlign w:val="center"/>
          </w:tcPr>
          <w:p w:rsidR="004F34D9" w:rsidRPr="00123108" w:rsidRDefault="004F34D9">
            <w:pPr>
              <w:jc w:val="center"/>
              <w:rPr>
                <w:rFonts w:ascii="宋体" w:hAnsi="宋体" w:cs="宋体" w:hint="eastAsia"/>
                <w:kern w:val="0"/>
                <w:szCs w:val="21"/>
              </w:rPr>
            </w:pPr>
          </w:p>
        </w:tc>
        <w:tc>
          <w:tcPr>
            <w:tcW w:w="2315"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对飞机起降、电台通信、电视传播、雷达导航和天文、气象、地震观测以及军事设施等有影响的地区。</w:t>
            </w:r>
          </w:p>
        </w:tc>
        <w:tc>
          <w:tcPr>
            <w:tcW w:w="918" w:type="pct"/>
            <w:vMerge/>
            <w:vAlign w:val="center"/>
          </w:tcPr>
          <w:p w:rsidR="004F34D9" w:rsidRPr="00123108" w:rsidRDefault="004F34D9">
            <w:pPr>
              <w:jc w:val="center"/>
              <w:rPr>
                <w:rFonts w:ascii="宋体" w:hAnsi="宋体" w:cs="宋体" w:hint="eastAsia"/>
                <w:kern w:val="0"/>
                <w:szCs w:val="21"/>
              </w:rPr>
            </w:pPr>
          </w:p>
        </w:tc>
        <w:tc>
          <w:tcPr>
            <w:tcW w:w="998" w:type="pct"/>
            <w:vAlign w:val="center"/>
          </w:tcPr>
          <w:p w:rsidR="004F34D9" w:rsidRPr="00123108" w:rsidRDefault="004F34D9">
            <w:pPr>
              <w:jc w:val="left"/>
              <w:rPr>
                <w:rFonts w:ascii="宋体" w:hAnsi="宋体" w:cs="宋体" w:hint="eastAsia"/>
                <w:kern w:val="0"/>
                <w:szCs w:val="21"/>
              </w:rPr>
            </w:pPr>
            <w:r w:rsidRPr="00123108">
              <w:rPr>
                <w:rFonts w:ascii="宋体" w:hAnsi="宋体" w:cs="宋体" w:hint="eastAsia"/>
                <w:kern w:val="0"/>
                <w:szCs w:val="21"/>
              </w:rPr>
              <w:t>不属所述区域</w:t>
            </w:r>
          </w:p>
        </w:tc>
        <w:tc>
          <w:tcPr>
            <w:tcW w:w="43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97"/>
          <w:jc w:val="center"/>
        </w:trPr>
        <w:tc>
          <w:tcPr>
            <w:tcW w:w="330" w:type="pct"/>
            <w:vMerge/>
            <w:vAlign w:val="center"/>
          </w:tcPr>
          <w:p w:rsidR="004F34D9" w:rsidRPr="00123108" w:rsidRDefault="004F34D9">
            <w:pPr>
              <w:jc w:val="center"/>
              <w:rPr>
                <w:rFonts w:ascii="宋体" w:hAnsi="宋体" w:cs="宋体" w:hint="eastAsia"/>
                <w:kern w:val="0"/>
                <w:szCs w:val="21"/>
              </w:rPr>
            </w:pPr>
          </w:p>
        </w:tc>
        <w:tc>
          <w:tcPr>
            <w:tcW w:w="2315" w:type="pct"/>
            <w:vAlign w:val="center"/>
          </w:tcPr>
          <w:p w:rsidR="004F34D9" w:rsidRPr="00123108" w:rsidRDefault="004F34D9">
            <w:pPr>
              <w:jc w:val="left"/>
              <w:rPr>
                <w:rFonts w:ascii="宋体" w:hAnsi="宋体" w:cs="宋体" w:hint="eastAsia"/>
                <w:kern w:val="0"/>
                <w:szCs w:val="21"/>
              </w:rPr>
            </w:pPr>
            <w:r w:rsidRPr="00123108">
              <w:rPr>
                <w:rFonts w:ascii="宋体" w:hAnsi="宋体" w:cs="宋体" w:hint="eastAsia"/>
                <w:kern w:val="0"/>
                <w:szCs w:val="21"/>
              </w:rPr>
              <w:t>供水水源卫生保护区。</w:t>
            </w:r>
          </w:p>
        </w:tc>
        <w:tc>
          <w:tcPr>
            <w:tcW w:w="918" w:type="pct"/>
            <w:vMerge/>
            <w:vAlign w:val="center"/>
          </w:tcPr>
          <w:p w:rsidR="004F34D9" w:rsidRPr="00123108" w:rsidRDefault="004F34D9">
            <w:pPr>
              <w:jc w:val="center"/>
              <w:rPr>
                <w:rFonts w:ascii="宋体" w:hAnsi="宋体" w:cs="宋体" w:hint="eastAsia"/>
                <w:kern w:val="0"/>
                <w:szCs w:val="21"/>
              </w:rPr>
            </w:pPr>
          </w:p>
        </w:tc>
        <w:tc>
          <w:tcPr>
            <w:tcW w:w="998"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不在供水水源卫生保护区</w:t>
            </w:r>
          </w:p>
        </w:tc>
        <w:tc>
          <w:tcPr>
            <w:tcW w:w="43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97"/>
          <w:jc w:val="center"/>
        </w:trPr>
        <w:tc>
          <w:tcPr>
            <w:tcW w:w="330" w:type="pct"/>
            <w:vMerge/>
            <w:vAlign w:val="center"/>
          </w:tcPr>
          <w:p w:rsidR="004F34D9" w:rsidRPr="00123108" w:rsidRDefault="004F34D9">
            <w:pPr>
              <w:jc w:val="center"/>
              <w:rPr>
                <w:rFonts w:ascii="宋体" w:hAnsi="宋体" w:cs="宋体" w:hint="eastAsia"/>
                <w:kern w:val="0"/>
                <w:szCs w:val="21"/>
              </w:rPr>
            </w:pPr>
          </w:p>
        </w:tc>
        <w:tc>
          <w:tcPr>
            <w:tcW w:w="2315" w:type="pct"/>
            <w:vAlign w:val="center"/>
          </w:tcPr>
          <w:p w:rsidR="004F34D9" w:rsidRPr="00123108" w:rsidRDefault="004F34D9">
            <w:pPr>
              <w:jc w:val="left"/>
              <w:rPr>
                <w:rFonts w:ascii="宋体" w:hAnsi="宋体" w:cs="宋体" w:hint="eastAsia"/>
                <w:kern w:val="0"/>
                <w:szCs w:val="21"/>
              </w:rPr>
            </w:pPr>
            <w:r w:rsidRPr="00123108">
              <w:rPr>
                <w:rFonts w:ascii="宋体" w:hAnsi="宋体" w:cs="宋体" w:hint="eastAsia"/>
                <w:kern w:val="0"/>
                <w:szCs w:val="21"/>
              </w:rPr>
              <w:t>易受洪水危害或防洪工程量很大的地区。</w:t>
            </w:r>
          </w:p>
        </w:tc>
        <w:tc>
          <w:tcPr>
            <w:tcW w:w="918" w:type="pct"/>
            <w:vMerge/>
            <w:vAlign w:val="center"/>
          </w:tcPr>
          <w:p w:rsidR="004F34D9" w:rsidRPr="00123108" w:rsidRDefault="004F34D9">
            <w:pPr>
              <w:jc w:val="center"/>
              <w:rPr>
                <w:rFonts w:ascii="宋体" w:hAnsi="宋体" w:cs="宋体" w:hint="eastAsia"/>
                <w:kern w:val="0"/>
                <w:szCs w:val="21"/>
              </w:rPr>
            </w:pPr>
          </w:p>
        </w:tc>
        <w:tc>
          <w:tcPr>
            <w:tcW w:w="998" w:type="pct"/>
            <w:vAlign w:val="center"/>
          </w:tcPr>
          <w:p w:rsidR="004F34D9" w:rsidRPr="00123108" w:rsidRDefault="004F34D9">
            <w:pPr>
              <w:jc w:val="left"/>
              <w:rPr>
                <w:rFonts w:ascii="宋体" w:hAnsi="宋体" w:cs="宋体" w:hint="eastAsia"/>
                <w:kern w:val="0"/>
                <w:szCs w:val="21"/>
              </w:rPr>
            </w:pPr>
            <w:r w:rsidRPr="00123108">
              <w:rPr>
                <w:rFonts w:ascii="宋体" w:hAnsi="宋体" w:cs="宋体" w:hint="eastAsia"/>
                <w:kern w:val="0"/>
                <w:szCs w:val="21"/>
              </w:rPr>
              <w:t>不属所述区域</w:t>
            </w:r>
          </w:p>
        </w:tc>
        <w:tc>
          <w:tcPr>
            <w:tcW w:w="43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97"/>
          <w:jc w:val="center"/>
        </w:trPr>
        <w:tc>
          <w:tcPr>
            <w:tcW w:w="330" w:type="pct"/>
            <w:vMerge/>
            <w:vAlign w:val="center"/>
          </w:tcPr>
          <w:p w:rsidR="004F34D9" w:rsidRPr="00123108" w:rsidRDefault="004F34D9">
            <w:pPr>
              <w:jc w:val="center"/>
              <w:rPr>
                <w:rFonts w:ascii="宋体" w:hAnsi="宋体" w:cs="宋体" w:hint="eastAsia"/>
                <w:kern w:val="0"/>
                <w:szCs w:val="21"/>
              </w:rPr>
            </w:pPr>
          </w:p>
        </w:tc>
        <w:tc>
          <w:tcPr>
            <w:tcW w:w="2315"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不能确保安全的水库，在库坝决溃后可能淹没的地区。</w:t>
            </w:r>
          </w:p>
        </w:tc>
        <w:tc>
          <w:tcPr>
            <w:tcW w:w="918" w:type="pct"/>
            <w:vMerge/>
            <w:vAlign w:val="center"/>
          </w:tcPr>
          <w:p w:rsidR="004F34D9" w:rsidRPr="00123108" w:rsidRDefault="004F34D9">
            <w:pPr>
              <w:jc w:val="center"/>
              <w:rPr>
                <w:rFonts w:ascii="宋体" w:hAnsi="宋体" w:cs="宋体" w:hint="eastAsia"/>
                <w:kern w:val="0"/>
                <w:szCs w:val="21"/>
              </w:rPr>
            </w:pPr>
          </w:p>
        </w:tc>
        <w:tc>
          <w:tcPr>
            <w:tcW w:w="998"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附近无不能确保安全的水库</w:t>
            </w:r>
          </w:p>
        </w:tc>
        <w:tc>
          <w:tcPr>
            <w:tcW w:w="43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97"/>
          <w:jc w:val="center"/>
        </w:trPr>
        <w:tc>
          <w:tcPr>
            <w:tcW w:w="330" w:type="pct"/>
            <w:vMerge/>
            <w:vAlign w:val="center"/>
          </w:tcPr>
          <w:p w:rsidR="004F34D9" w:rsidRPr="00123108" w:rsidRDefault="004F34D9">
            <w:pPr>
              <w:jc w:val="center"/>
              <w:rPr>
                <w:rFonts w:ascii="宋体" w:hAnsi="宋体" w:cs="宋体" w:hint="eastAsia"/>
                <w:kern w:val="0"/>
                <w:szCs w:val="21"/>
              </w:rPr>
            </w:pPr>
          </w:p>
        </w:tc>
        <w:tc>
          <w:tcPr>
            <w:tcW w:w="2315" w:type="pct"/>
            <w:vAlign w:val="center"/>
          </w:tcPr>
          <w:p w:rsidR="004F34D9" w:rsidRPr="00123108" w:rsidRDefault="004F34D9">
            <w:pPr>
              <w:jc w:val="left"/>
              <w:rPr>
                <w:rFonts w:ascii="宋体" w:hAnsi="宋体" w:cs="宋体" w:hint="eastAsia"/>
                <w:kern w:val="0"/>
                <w:szCs w:val="21"/>
              </w:rPr>
            </w:pPr>
            <w:r w:rsidRPr="00123108">
              <w:rPr>
                <w:rFonts w:ascii="宋体" w:hAnsi="宋体" w:cs="宋体" w:hint="eastAsia"/>
                <w:kern w:val="0"/>
                <w:szCs w:val="21"/>
              </w:rPr>
              <w:t>在爆破危险区域范围内。</w:t>
            </w:r>
          </w:p>
        </w:tc>
        <w:tc>
          <w:tcPr>
            <w:tcW w:w="918" w:type="pct"/>
            <w:vMerge/>
            <w:vAlign w:val="center"/>
          </w:tcPr>
          <w:p w:rsidR="004F34D9" w:rsidRPr="00123108" w:rsidRDefault="004F34D9">
            <w:pPr>
              <w:jc w:val="center"/>
              <w:rPr>
                <w:rFonts w:ascii="宋体" w:hAnsi="宋体" w:cs="宋体" w:hint="eastAsia"/>
                <w:kern w:val="0"/>
                <w:szCs w:val="21"/>
              </w:rPr>
            </w:pPr>
          </w:p>
        </w:tc>
        <w:tc>
          <w:tcPr>
            <w:tcW w:w="998"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附近无爆破危险区</w:t>
            </w:r>
          </w:p>
        </w:tc>
        <w:tc>
          <w:tcPr>
            <w:tcW w:w="43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97"/>
          <w:jc w:val="center"/>
        </w:trPr>
        <w:tc>
          <w:tcPr>
            <w:tcW w:w="330" w:type="pct"/>
            <w:vMerge/>
            <w:vAlign w:val="center"/>
          </w:tcPr>
          <w:p w:rsidR="004F34D9" w:rsidRPr="00123108" w:rsidRDefault="004F34D9">
            <w:pPr>
              <w:jc w:val="center"/>
              <w:rPr>
                <w:rFonts w:ascii="宋体" w:hAnsi="宋体" w:cs="宋体" w:hint="eastAsia"/>
                <w:kern w:val="0"/>
                <w:szCs w:val="21"/>
              </w:rPr>
            </w:pPr>
          </w:p>
        </w:tc>
        <w:tc>
          <w:tcPr>
            <w:tcW w:w="2315"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大型尾矿库及废料场（库）的坝下方。</w:t>
            </w:r>
          </w:p>
        </w:tc>
        <w:tc>
          <w:tcPr>
            <w:tcW w:w="918" w:type="pct"/>
            <w:vMerge/>
            <w:vAlign w:val="center"/>
          </w:tcPr>
          <w:p w:rsidR="004F34D9" w:rsidRPr="00123108" w:rsidRDefault="004F34D9">
            <w:pPr>
              <w:jc w:val="center"/>
              <w:rPr>
                <w:rFonts w:ascii="宋体" w:hAnsi="宋体" w:cs="宋体" w:hint="eastAsia"/>
                <w:kern w:val="0"/>
                <w:szCs w:val="21"/>
              </w:rPr>
            </w:pPr>
          </w:p>
        </w:tc>
        <w:tc>
          <w:tcPr>
            <w:tcW w:w="998"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附近无尾矿库及废料场</w:t>
            </w:r>
          </w:p>
        </w:tc>
        <w:tc>
          <w:tcPr>
            <w:tcW w:w="43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97"/>
          <w:jc w:val="center"/>
        </w:trPr>
        <w:tc>
          <w:tcPr>
            <w:tcW w:w="330" w:type="pct"/>
            <w:vMerge/>
            <w:vAlign w:val="center"/>
          </w:tcPr>
          <w:p w:rsidR="004F34D9" w:rsidRPr="00123108" w:rsidRDefault="004F34D9">
            <w:pPr>
              <w:jc w:val="center"/>
              <w:rPr>
                <w:rFonts w:ascii="宋体" w:hAnsi="宋体" w:cs="宋体" w:hint="eastAsia"/>
                <w:kern w:val="0"/>
                <w:szCs w:val="21"/>
              </w:rPr>
            </w:pPr>
          </w:p>
        </w:tc>
        <w:tc>
          <w:tcPr>
            <w:tcW w:w="2315" w:type="pct"/>
            <w:vAlign w:val="center"/>
          </w:tcPr>
          <w:p w:rsidR="004F34D9" w:rsidRPr="00123108" w:rsidRDefault="004F34D9">
            <w:pPr>
              <w:jc w:val="left"/>
              <w:rPr>
                <w:rFonts w:ascii="宋体" w:hAnsi="宋体" w:cs="宋体" w:hint="eastAsia"/>
                <w:kern w:val="0"/>
                <w:szCs w:val="21"/>
              </w:rPr>
            </w:pPr>
            <w:r w:rsidRPr="00123108">
              <w:rPr>
                <w:rFonts w:ascii="宋体" w:hAnsi="宋体" w:cs="宋体" w:hint="eastAsia"/>
                <w:kern w:val="0"/>
                <w:szCs w:val="21"/>
              </w:rPr>
              <w:t>有严重放射性物质污染影响的地区。</w:t>
            </w:r>
          </w:p>
        </w:tc>
        <w:tc>
          <w:tcPr>
            <w:tcW w:w="918" w:type="pct"/>
            <w:vMerge/>
            <w:vAlign w:val="center"/>
          </w:tcPr>
          <w:p w:rsidR="004F34D9" w:rsidRPr="00123108" w:rsidRDefault="004F34D9">
            <w:pPr>
              <w:jc w:val="center"/>
              <w:rPr>
                <w:rFonts w:ascii="宋体" w:hAnsi="宋体" w:cs="宋体" w:hint="eastAsia"/>
                <w:kern w:val="0"/>
                <w:szCs w:val="21"/>
              </w:rPr>
            </w:pPr>
          </w:p>
        </w:tc>
        <w:tc>
          <w:tcPr>
            <w:tcW w:w="998"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附近无放射性物质污染区</w:t>
            </w:r>
          </w:p>
        </w:tc>
        <w:tc>
          <w:tcPr>
            <w:tcW w:w="43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97"/>
          <w:jc w:val="center"/>
        </w:trPr>
        <w:tc>
          <w:tcPr>
            <w:tcW w:w="330" w:type="pct"/>
            <w:vMerge/>
            <w:vAlign w:val="center"/>
          </w:tcPr>
          <w:p w:rsidR="004F34D9" w:rsidRPr="00123108" w:rsidRDefault="004F34D9">
            <w:pPr>
              <w:jc w:val="center"/>
              <w:rPr>
                <w:rFonts w:ascii="宋体" w:hAnsi="宋体" w:cs="宋体" w:hint="eastAsia"/>
                <w:kern w:val="0"/>
                <w:szCs w:val="21"/>
              </w:rPr>
            </w:pPr>
          </w:p>
        </w:tc>
        <w:tc>
          <w:tcPr>
            <w:tcW w:w="2315" w:type="pct"/>
            <w:vAlign w:val="center"/>
          </w:tcPr>
          <w:p w:rsidR="004F34D9" w:rsidRPr="00123108" w:rsidRDefault="004F34D9">
            <w:pPr>
              <w:jc w:val="left"/>
              <w:rPr>
                <w:rFonts w:ascii="宋体" w:hAnsi="宋体" w:cs="宋体" w:hint="eastAsia"/>
                <w:kern w:val="0"/>
                <w:szCs w:val="21"/>
              </w:rPr>
            </w:pPr>
            <w:r w:rsidRPr="00123108">
              <w:rPr>
                <w:rFonts w:ascii="宋体" w:hAnsi="宋体" w:cs="宋体" w:hint="eastAsia"/>
                <w:kern w:val="0"/>
                <w:szCs w:val="21"/>
              </w:rPr>
              <w:t>全年静风频率超过60%的地区。</w:t>
            </w:r>
          </w:p>
        </w:tc>
        <w:tc>
          <w:tcPr>
            <w:tcW w:w="918" w:type="pct"/>
            <w:vMerge/>
            <w:vAlign w:val="center"/>
          </w:tcPr>
          <w:p w:rsidR="004F34D9" w:rsidRPr="00123108" w:rsidRDefault="004F34D9">
            <w:pPr>
              <w:jc w:val="center"/>
              <w:rPr>
                <w:rFonts w:ascii="宋体" w:hAnsi="宋体" w:cs="宋体" w:hint="eastAsia"/>
                <w:kern w:val="0"/>
                <w:szCs w:val="21"/>
              </w:rPr>
            </w:pPr>
          </w:p>
        </w:tc>
        <w:tc>
          <w:tcPr>
            <w:tcW w:w="998" w:type="pct"/>
            <w:vAlign w:val="center"/>
          </w:tcPr>
          <w:p w:rsidR="004F34D9" w:rsidRPr="00123108" w:rsidRDefault="004F34D9">
            <w:pPr>
              <w:jc w:val="left"/>
              <w:rPr>
                <w:rFonts w:ascii="宋体" w:hAnsi="宋体" w:cs="宋体" w:hint="eastAsia"/>
                <w:kern w:val="0"/>
                <w:szCs w:val="21"/>
              </w:rPr>
            </w:pPr>
            <w:r w:rsidRPr="00123108">
              <w:rPr>
                <w:rFonts w:ascii="宋体" w:hAnsi="宋体" w:cs="宋体" w:hint="eastAsia"/>
                <w:kern w:val="0"/>
                <w:szCs w:val="21"/>
              </w:rPr>
              <w:t>静风频率小于60%</w:t>
            </w:r>
          </w:p>
        </w:tc>
        <w:tc>
          <w:tcPr>
            <w:tcW w:w="439"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97"/>
          <w:jc w:val="center"/>
        </w:trPr>
        <w:tc>
          <w:tcPr>
            <w:tcW w:w="330" w:type="pct"/>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11</w:t>
            </w:r>
          </w:p>
        </w:tc>
        <w:tc>
          <w:tcPr>
            <w:tcW w:w="2315" w:type="pct"/>
            <w:vAlign w:val="center"/>
          </w:tcPr>
          <w:p w:rsidR="004F34D9" w:rsidRPr="00123108" w:rsidRDefault="004F34D9" w:rsidP="000D1CAF">
            <w:pPr>
              <w:autoSpaceDE w:val="0"/>
              <w:autoSpaceDN w:val="0"/>
              <w:adjustRightInd w:val="0"/>
              <w:snapToGrid w:val="0"/>
              <w:jc w:val="left"/>
              <w:rPr>
                <w:rFonts w:ascii="宋体" w:hAnsi="宋体" w:cs="宋体" w:hint="eastAsia"/>
                <w:kern w:val="0"/>
                <w:szCs w:val="21"/>
              </w:rPr>
            </w:pPr>
            <w:r w:rsidRPr="00123108">
              <w:rPr>
                <w:rFonts w:ascii="宋体" w:hAnsi="宋体" w:hint="eastAsia"/>
                <w:szCs w:val="21"/>
                <w:shd w:val="clear" w:color="auto" w:fill="FFFFFF"/>
              </w:rPr>
              <w:t>工业企业的建筑物、构筑物之间及其与铁路、道路之间的防火间距，</w:t>
            </w:r>
            <w:r w:rsidRPr="00123108">
              <w:rPr>
                <w:rFonts w:ascii="宋体" w:hAnsi="宋体" w:cs="宋体" w:hint="eastAsia"/>
                <w:kern w:val="0"/>
                <w:szCs w:val="21"/>
              </w:rPr>
              <w:t>以及消防通道的设置</w:t>
            </w:r>
            <w:r w:rsidRPr="00123108">
              <w:rPr>
                <w:rFonts w:ascii="宋体" w:hAnsi="宋体" w:hint="eastAsia"/>
                <w:szCs w:val="21"/>
                <w:shd w:val="clear" w:color="auto" w:fill="FFFFFF"/>
              </w:rPr>
              <w:t>，除应符合现行国家标准《建筑设计防火规范》GB 50016的规定外，尚应符合国家现行有关标准的规定。</w:t>
            </w:r>
          </w:p>
        </w:tc>
        <w:tc>
          <w:tcPr>
            <w:tcW w:w="918" w:type="pct"/>
            <w:vAlign w:val="center"/>
          </w:tcPr>
          <w:p w:rsidR="004F34D9" w:rsidRPr="00123108" w:rsidRDefault="004F34D9">
            <w:pPr>
              <w:rPr>
                <w:rFonts w:hint="eastAsia"/>
              </w:rPr>
            </w:pPr>
            <w:r w:rsidRPr="00123108">
              <w:rPr>
                <w:rFonts w:hint="eastAsia"/>
              </w:rPr>
              <w:t>GB50187-2012</w:t>
            </w:r>
          </w:p>
          <w:p w:rsidR="004F34D9" w:rsidRPr="00123108" w:rsidRDefault="004F34D9">
            <w:pPr>
              <w:rPr>
                <w:rFonts w:hint="eastAsia"/>
              </w:rPr>
            </w:pPr>
            <w:r w:rsidRPr="00123108">
              <w:rPr>
                <w:rFonts w:hint="eastAsia"/>
              </w:rPr>
              <w:t>第</w:t>
            </w:r>
            <w:r w:rsidRPr="00123108">
              <w:rPr>
                <w:rFonts w:hint="eastAsia"/>
              </w:rPr>
              <w:t>5.1.10</w:t>
            </w:r>
            <w:r w:rsidRPr="00123108">
              <w:rPr>
                <w:rFonts w:hint="eastAsia"/>
              </w:rPr>
              <w:t>条</w:t>
            </w:r>
          </w:p>
        </w:tc>
        <w:tc>
          <w:tcPr>
            <w:tcW w:w="998" w:type="pct"/>
            <w:vAlign w:val="center"/>
          </w:tcPr>
          <w:p w:rsidR="004F34D9" w:rsidRPr="00123108" w:rsidRDefault="004F34D9">
            <w:pPr>
              <w:jc w:val="left"/>
              <w:rPr>
                <w:rFonts w:ascii="宋体" w:hAnsi="宋体" w:cs="宋体" w:hint="eastAsia"/>
                <w:kern w:val="0"/>
                <w:szCs w:val="21"/>
              </w:rPr>
            </w:pPr>
            <w:r w:rsidRPr="00123108">
              <w:rPr>
                <w:rFonts w:ascii="宋体" w:hAnsi="宋体" w:cs="宋体" w:hint="eastAsia"/>
                <w:kern w:val="0"/>
                <w:szCs w:val="21"/>
              </w:rPr>
              <w:t>见附表2.3-1-1</w:t>
            </w:r>
          </w:p>
        </w:tc>
        <w:tc>
          <w:tcPr>
            <w:tcW w:w="439" w:type="pct"/>
            <w:vAlign w:val="center"/>
          </w:tcPr>
          <w:p w:rsidR="004F34D9" w:rsidRPr="00123108" w:rsidRDefault="004F34D9">
            <w:pPr>
              <w:jc w:val="center"/>
              <w:rPr>
                <w:rFonts w:ascii="宋体" w:hAnsi="宋体" w:cs="宋体" w:hint="eastAsia"/>
                <w:kern w:val="0"/>
                <w:szCs w:val="21"/>
              </w:rPr>
            </w:pPr>
          </w:p>
        </w:tc>
      </w:tr>
    </w:tbl>
    <w:p w:rsidR="004F34D9" w:rsidRPr="00123108" w:rsidRDefault="004F34D9">
      <w:pPr>
        <w:spacing w:line="360" w:lineRule="auto"/>
        <w:jc w:val="center"/>
        <w:rPr>
          <w:rFonts w:ascii="宋体" w:hAnsi="宋体" w:cs="宋体"/>
          <w:b/>
          <w:bCs/>
          <w:sz w:val="28"/>
          <w:szCs w:val="28"/>
        </w:rPr>
        <w:sectPr w:rsidR="004F34D9" w:rsidRPr="00123108">
          <w:pgSz w:w="11906" w:h="16838"/>
          <w:pgMar w:top="1417" w:right="1134" w:bottom="1134" w:left="1587" w:header="851" w:footer="992" w:gutter="0"/>
          <w:paperSrc w:first="7" w:other="7"/>
          <w:cols w:space="720"/>
          <w:docGrid w:type="lines" w:linePitch="381"/>
        </w:sectPr>
      </w:pPr>
    </w:p>
    <w:p w:rsidR="004F34D9" w:rsidRDefault="004F34D9">
      <w:pPr>
        <w:spacing w:line="360" w:lineRule="auto"/>
        <w:jc w:val="center"/>
        <w:rPr>
          <w:rFonts w:ascii="宋体" w:hAnsi="宋体" w:cs="宋体" w:hint="eastAsia"/>
          <w:b/>
          <w:bCs/>
          <w:sz w:val="28"/>
          <w:szCs w:val="28"/>
        </w:rPr>
      </w:pPr>
      <w:r w:rsidRPr="00123108">
        <w:rPr>
          <w:rFonts w:ascii="宋体" w:hAnsi="宋体" w:cs="宋体" w:hint="eastAsia"/>
          <w:b/>
          <w:bCs/>
          <w:sz w:val="28"/>
          <w:szCs w:val="28"/>
        </w:rPr>
        <w:lastRenderedPageBreak/>
        <w:t>附表2.3-1-1 新桥化工与相邻工厂或设施的防火间距检查表</w:t>
      </w:r>
    </w:p>
    <w:p w:rsidR="00331EFA" w:rsidRDefault="00331EFA" w:rsidP="00331EFA">
      <w:pPr>
        <w:spacing w:line="500" w:lineRule="exact"/>
        <w:jc w:val="center"/>
        <w:rPr>
          <w:rFonts w:ascii="宋体" w:hAnsi="宋体"/>
          <w:b/>
          <w:bCs/>
          <w:sz w:val="28"/>
          <w:szCs w:val="28"/>
        </w:rPr>
      </w:pPr>
      <w:r>
        <w:rPr>
          <w:rFonts w:ascii="宋体" w:hAnsi="宋体" w:hint="eastAsia"/>
          <w:b/>
          <w:sz w:val="28"/>
          <w:szCs w:val="28"/>
        </w:rPr>
        <w:t>涉及企业机密，不予公开。</w:t>
      </w:r>
    </w:p>
    <w:p w:rsidR="00331EFA" w:rsidRDefault="00331EFA">
      <w:pPr>
        <w:spacing w:line="360" w:lineRule="auto"/>
        <w:jc w:val="center"/>
        <w:rPr>
          <w:rFonts w:ascii="宋体" w:hAnsi="宋体" w:cs="宋体" w:hint="eastAsia"/>
          <w:b/>
          <w:bCs/>
          <w:sz w:val="28"/>
          <w:szCs w:val="28"/>
        </w:rPr>
      </w:pPr>
    </w:p>
    <w:p w:rsidR="004F34D9" w:rsidRPr="00123108" w:rsidRDefault="004F34D9">
      <w:pPr>
        <w:adjustRightInd w:val="0"/>
        <w:snapToGrid w:val="0"/>
        <w:spacing w:line="360" w:lineRule="auto"/>
        <w:ind w:firstLineChars="200" w:firstLine="560"/>
        <w:rPr>
          <w:rFonts w:ascii="宋体" w:hAnsi="宋体" w:cs="宋体"/>
          <w:sz w:val="28"/>
          <w:szCs w:val="28"/>
        </w:rPr>
        <w:sectPr w:rsidR="004F34D9" w:rsidRPr="00123108">
          <w:pgSz w:w="16838" w:h="11906" w:orient="landscape"/>
          <w:pgMar w:top="1587" w:right="1417" w:bottom="1134" w:left="1134" w:header="851" w:footer="992" w:gutter="0"/>
          <w:paperSrc w:first="7" w:other="7"/>
          <w:cols w:space="720"/>
          <w:docGrid w:type="lines" w:linePitch="381"/>
        </w:sectPr>
      </w:pPr>
    </w:p>
    <w:p w:rsidR="004F34D9" w:rsidRPr="00123108" w:rsidRDefault="004F34D9" w:rsidP="00D06780">
      <w:pPr>
        <w:adjustRightInd w:val="0"/>
        <w:snapToGrid w:val="0"/>
        <w:spacing w:line="500" w:lineRule="exact"/>
        <w:ind w:firstLineChars="200" w:firstLine="560"/>
        <w:rPr>
          <w:rFonts w:ascii="宋体" w:hAnsi="宋体" w:hint="eastAsia"/>
          <w:sz w:val="28"/>
          <w:szCs w:val="28"/>
        </w:rPr>
      </w:pPr>
      <w:r w:rsidRPr="00123108">
        <w:rPr>
          <w:rFonts w:ascii="宋体" w:hAnsi="宋体" w:cs="宋体" w:hint="eastAsia"/>
          <w:sz w:val="28"/>
          <w:szCs w:val="28"/>
        </w:rPr>
        <w:lastRenderedPageBreak/>
        <w:t>评价小结：经检查，</w:t>
      </w:r>
      <w:r w:rsidRPr="00123108">
        <w:rPr>
          <w:rFonts w:ascii="宋体" w:hAnsi="宋体" w:hint="eastAsia"/>
          <w:sz w:val="28"/>
          <w:szCs w:val="28"/>
        </w:rPr>
        <w:t>新桥化工1</w:t>
      </w:r>
      <w:r w:rsidRPr="00123108">
        <w:rPr>
          <w:rFonts w:ascii="宋体" w:hAnsi="宋体"/>
          <w:sz w:val="28"/>
          <w:szCs w:val="28"/>
        </w:rPr>
        <w:t>990</w:t>
      </w:r>
      <w:r w:rsidRPr="00123108">
        <w:rPr>
          <w:rFonts w:ascii="宋体" w:hAnsi="宋体" w:hint="eastAsia"/>
          <w:sz w:val="28"/>
          <w:szCs w:val="28"/>
        </w:rPr>
        <w:t>建厂属于宁波经济技术开发区，2000年扩设时属于联合开发区域C1区，项目实施时早于《宁波市化工行业安全发展规划</w:t>
      </w:r>
      <w:r w:rsidRPr="00123108">
        <w:rPr>
          <w:rFonts w:ascii="宋体" w:hAnsi="宋体" w:cs="宋体" w:hint="eastAsia"/>
          <w:sz w:val="28"/>
          <w:szCs w:val="28"/>
        </w:rPr>
        <w:t>（2010--2015）</w:t>
      </w:r>
      <w:r w:rsidRPr="00123108">
        <w:rPr>
          <w:rFonts w:ascii="宋体" w:hAnsi="宋体" w:hint="eastAsia"/>
          <w:sz w:val="28"/>
          <w:szCs w:val="28"/>
        </w:rPr>
        <w:t>》，符合当时用地规划。与周边企业等间距满足</w:t>
      </w:r>
      <w:r w:rsidRPr="00123108">
        <w:rPr>
          <w:rFonts w:ascii="宋体" w:hAnsi="宋体" w:hint="eastAsia"/>
          <w:sz w:val="28"/>
          <w:szCs w:val="28"/>
          <w:shd w:val="clear" w:color="auto" w:fill="FFFFFF"/>
        </w:rPr>
        <w:t>《建筑设计防火规范》GB50116-2014(2018)版要求。</w:t>
      </w:r>
    </w:p>
    <w:p w:rsidR="004F34D9" w:rsidRPr="00123108" w:rsidRDefault="004F34D9" w:rsidP="00D06780">
      <w:pPr>
        <w:tabs>
          <w:tab w:val="left" w:pos="1276"/>
        </w:tabs>
        <w:spacing w:line="500" w:lineRule="exact"/>
        <w:outlineLvl w:val="2"/>
        <w:rPr>
          <w:rFonts w:ascii="宋体" w:hAnsi="宋体" w:cs="宋体" w:hint="eastAsia"/>
          <w:b/>
          <w:bCs/>
          <w:sz w:val="28"/>
          <w:szCs w:val="28"/>
        </w:rPr>
      </w:pPr>
      <w:bookmarkStart w:id="1682" w:name="_Toc13854"/>
      <w:bookmarkStart w:id="1683" w:name="_Toc7038"/>
      <w:bookmarkStart w:id="1684" w:name="_Toc21974"/>
      <w:bookmarkStart w:id="1685" w:name="_Toc14361"/>
      <w:bookmarkStart w:id="1686" w:name="_Toc13136"/>
      <w:bookmarkStart w:id="1687" w:name="_Toc9496"/>
      <w:bookmarkStart w:id="1688" w:name="_Toc190935897"/>
      <w:r w:rsidRPr="00123108">
        <w:rPr>
          <w:rFonts w:ascii="宋体" w:hAnsi="宋体" w:cs="宋体" w:hint="eastAsia"/>
          <w:b/>
          <w:bCs/>
          <w:sz w:val="28"/>
          <w:szCs w:val="28"/>
        </w:rPr>
        <w:t>附件2.3.2  与周边环境的相互影响</w:t>
      </w:r>
      <w:bookmarkEnd w:id="1682"/>
      <w:bookmarkEnd w:id="1683"/>
      <w:bookmarkEnd w:id="1684"/>
      <w:bookmarkEnd w:id="1685"/>
      <w:bookmarkEnd w:id="1686"/>
      <w:bookmarkEnd w:id="1687"/>
      <w:bookmarkEnd w:id="1688"/>
    </w:p>
    <w:p w:rsidR="004F34D9" w:rsidRPr="00123108" w:rsidRDefault="004F34D9" w:rsidP="00D06780">
      <w:pPr>
        <w:tabs>
          <w:tab w:val="left" w:pos="1276"/>
        </w:tabs>
        <w:spacing w:line="500" w:lineRule="exact"/>
        <w:ind w:firstLineChars="200" w:firstLine="560"/>
        <w:rPr>
          <w:rFonts w:ascii="宋体" w:hAnsi="宋体" w:cs="宋体"/>
          <w:sz w:val="28"/>
          <w:szCs w:val="28"/>
        </w:rPr>
      </w:pPr>
      <w:r w:rsidRPr="00123108">
        <w:rPr>
          <w:rFonts w:ascii="宋体" w:hAnsi="宋体" w:cs="宋体" w:hint="eastAsia"/>
          <w:sz w:val="28"/>
          <w:szCs w:val="28"/>
        </w:rPr>
        <w:t>新桥化工位于</w:t>
      </w:r>
      <w:r w:rsidRPr="00123108">
        <w:rPr>
          <w:rFonts w:ascii="宋体" w:hAnsi="宋体" w:hint="eastAsia"/>
          <w:sz w:val="28"/>
          <w:szCs w:val="28"/>
        </w:rPr>
        <w:t>宁波经济技术开发区</w:t>
      </w:r>
      <w:r w:rsidRPr="00123108">
        <w:rPr>
          <w:rFonts w:ascii="宋体" w:hAnsi="宋体" w:cs="宋体" w:hint="eastAsia"/>
          <w:sz w:val="28"/>
          <w:szCs w:val="28"/>
        </w:rPr>
        <w:t>内，与周边环境、相邻企业的防火间距符合要求；同时周围无军事禁区、军事管理区法律、行政法规规定予以保护的其他区域，远离居民区、商业中心、公园等人口密集区域，学校、医院、影剧院、体育场（馆）等公共设施。因此，新桥化工在正常生产情况下，不会对周围环境造成影响。但是若发生重大火灾、爆炸，有毒物料泄漏等事故，且得不到有效控制，将会波及周边环境、相邻企业。</w:t>
      </w:r>
    </w:p>
    <w:p w:rsidR="004F34D9" w:rsidRPr="00123108" w:rsidRDefault="004F34D9" w:rsidP="00D06780">
      <w:pPr>
        <w:tabs>
          <w:tab w:val="left" w:pos="1276"/>
        </w:tabs>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周边企业主要危险斯迈克制药、安宝制药发生火灾、爆炸、中毒以及周边道路危险化学品运输车辆等，一旦发生事故，且得不到有效控制，将对新桥化工造成一定影响。</w:t>
      </w:r>
    </w:p>
    <w:p w:rsidR="004F34D9" w:rsidRPr="00123108" w:rsidRDefault="004F34D9" w:rsidP="00D06780">
      <w:pPr>
        <w:tabs>
          <w:tab w:val="left" w:pos="1276"/>
        </w:tabs>
        <w:spacing w:line="500" w:lineRule="exact"/>
        <w:outlineLvl w:val="2"/>
        <w:rPr>
          <w:rFonts w:ascii="宋体" w:hAnsi="宋体" w:cs="宋体" w:hint="eastAsia"/>
          <w:b/>
          <w:bCs/>
          <w:sz w:val="28"/>
          <w:szCs w:val="28"/>
        </w:rPr>
      </w:pPr>
      <w:bookmarkStart w:id="1689" w:name="_Toc22254"/>
      <w:bookmarkStart w:id="1690" w:name="_Toc8645"/>
      <w:bookmarkStart w:id="1691" w:name="_Toc4399"/>
      <w:bookmarkStart w:id="1692" w:name="_Toc657"/>
      <w:bookmarkStart w:id="1693" w:name="_Toc14706"/>
      <w:bookmarkStart w:id="1694" w:name="_Toc61"/>
      <w:bookmarkStart w:id="1695" w:name="_Toc190935898"/>
      <w:r w:rsidRPr="00123108">
        <w:rPr>
          <w:rFonts w:ascii="宋体" w:hAnsi="宋体" w:cs="宋体" w:hint="eastAsia"/>
          <w:b/>
          <w:bCs/>
          <w:sz w:val="28"/>
          <w:szCs w:val="28"/>
        </w:rPr>
        <w:t>附件2.3.3  自然条件的影响</w:t>
      </w:r>
      <w:bookmarkEnd w:id="1689"/>
      <w:bookmarkEnd w:id="1690"/>
      <w:bookmarkEnd w:id="1691"/>
      <w:bookmarkEnd w:id="1692"/>
      <w:bookmarkEnd w:id="1693"/>
      <w:bookmarkEnd w:id="1694"/>
      <w:bookmarkEnd w:id="1695"/>
    </w:p>
    <w:p w:rsidR="004F34D9" w:rsidRPr="00123108" w:rsidRDefault="004F34D9" w:rsidP="00D06780">
      <w:pPr>
        <w:tabs>
          <w:tab w:val="left" w:pos="1276"/>
        </w:tabs>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自然条件的影响主要包括气象条件和地质条件两方面。自然条件可能对本项目的安全生产影响具体分析如下：</w:t>
      </w:r>
    </w:p>
    <w:p w:rsidR="004F34D9" w:rsidRPr="00123108" w:rsidRDefault="004F34D9" w:rsidP="00D06780">
      <w:pPr>
        <w:tabs>
          <w:tab w:val="left" w:pos="1276"/>
        </w:tabs>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（1）气温</w:t>
      </w:r>
    </w:p>
    <w:p w:rsidR="004F34D9" w:rsidRPr="00123108" w:rsidRDefault="004F34D9" w:rsidP="00D06780">
      <w:pPr>
        <w:tabs>
          <w:tab w:val="left" w:pos="1276"/>
        </w:tabs>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新桥化工所处地域年最高气温42.1℃，</w:t>
      </w:r>
      <w:r w:rsidRPr="00123108">
        <w:rPr>
          <w:rFonts w:ascii="宋体" w:hAnsi="宋体" w:cs="宋体" w:hint="eastAsia"/>
          <w:sz w:val="28"/>
        </w:rPr>
        <w:t>若在高温条件下未采取有效的降温、惰性气体保护、防爆等措施，易发生火灾、爆炸事故。所处地域极端最低气温-12.1℃；寒冷的气温可使阀门冻结，使一些无防冻措施的附件操作失灵，工程设计中若有关设施的材质选择，特别是关键设备如管道、反应器等，设备没采取必要的保温措施，未严格控制反应过程的压力、温度等。有发生事故的可能。</w:t>
      </w:r>
    </w:p>
    <w:p w:rsidR="004F34D9" w:rsidRPr="00123108" w:rsidRDefault="004F34D9" w:rsidP="00D06780">
      <w:pPr>
        <w:tabs>
          <w:tab w:val="left" w:pos="1276"/>
        </w:tabs>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所处地域年平均相对湿度79%；空气中含有较多的湿气和盐分，易对设备、管道、钢结构框架、钢筋混凝土支柱造成腐蚀，影响其工作寿命，应加强防腐保护。埋地管道等同样易受含盐地下水和潮气腐蚀，应加强防腐保护。</w:t>
      </w:r>
    </w:p>
    <w:p w:rsidR="004F34D9" w:rsidRPr="00123108" w:rsidRDefault="004F34D9" w:rsidP="00D06780">
      <w:pPr>
        <w:tabs>
          <w:tab w:val="left" w:pos="1276"/>
        </w:tabs>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（2）风况</w:t>
      </w:r>
    </w:p>
    <w:p w:rsidR="004F34D9" w:rsidRPr="00123108" w:rsidRDefault="004F34D9" w:rsidP="00D06780">
      <w:pPr>
        <w:tabs>
          <w:tab w:val="left" w:pos="1276"/>
        </w:tabs>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lastRenderedPageBreak/>
        <w:t>新桥化工所在地为台风多发地，台风产生强烈的增水，潮位异常抬高。当台风增水遭遇天文大潮时，常形成特大潮位，造成严重灾害。若防潮汛、抗台风措施不力，有可能造成厂区进水、停产、停电、设备、管线毁坏、原料或产品损毁，台风、暴雨对高大的设备（如储罐、反应器等生产装置等设备），由此可能引发次生灾害事故，影响安全生产。</w:t>
      </w:r>
    </w:p>
    <w:p w:rsidR="004F34D9" w:rsidRPr="00123108" w:rsidRDefault="004F34D9" w:rsidP="00D06780">
      <w:pPr>
        <w:tabs>
          <w:tab w:val="left" w:pos="1276"/>
        </w:tabs>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因此，应根据气象部门提供的该地区大风恶劣天气可能出现的几率，对高大设备、储罐等应进行风压强度校核，提高高大设备、储罐等构筑物的抗风能力，并制定防台抗灾的应急预案。</w:t>
      </w:r>
    </w:p>
    <w:p w:rsidR="004F34D9" w:rsidRPr="00123108" w:rsidRDefault="004F34D9" w:rsidP="00D06780">
      <w:pPr>
        <w:tabs>
          <w:tab w:val="left" w:pos="1276"/>
        </w:tabs>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（3）雷电</w:t>
      </w:r>
    </w:p>
    <w:p w:rsidR="004F34D9" w:rsidRPr="00123108" w:rsidRDefault="004F34D9" w:rsidP="00D06780">
      <w:pPr>
        <w:tabs>
          <w:tab w:val="left" w:pos="1276"/>
        </w:tabs>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雷电易引起生产过程中的火灾、爆炸事故，因而防雷设施的可靠性是本项目安全生产的重要因素之一。企业已对厂区内建（构）筑物、储罐区及设备设施已采取防雷保护且防雷防静电接地设施已检测合格，符合《建筑物防雷设计规范》GB 50057-2010的要求，能控制雷电危害。</w:t>
      </w:r>
    </w:p>
    <w:p w:rsidR="004F34D9" w:rsidRPr="00123108" w:rsidRDefault="004F34D9" w:rsidP="00D06780">
      <w:pPr>
        <w:tabs>
          <w:tab w:val="left" w:pos="1276"/>
        </w:tabs>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（4）地震</w:t>
      </w:r>
    </w:p>
    <w:p w:rsidR="004F34D9" w:rsidRPr="00123108" w:rsidRDefault="004F34D9" w:rsidP="00D06780">
      <w:pPr>
        <w:tabs>
          <w:tab w:val="left" w:pos="1276"/>
        </w:tabs>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新桥化工所在地地震震级小，强度弱，频率较低。该地区抗震设防烈度为Ⅶ度，强烈地震可给生产设施带来灾难性后果。</w:t>
      </w:r>
    </w:p>
    <w:p w:rsidR="004F34D9" w:rsidRPr="00123108" w:rsidRDefault="004F34D9" w:rsidP="00D06780">
      <w:pPr>
        <w:tabs>
          <w:tab w:val="left" w:pos="1276"/>
        </w:tabs>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建（构）筑物、储罐等在设计、建设时已按照相关抗震的标准规范进行设防，地震对企业生产经营的影响在可接受范围内。</w:t>
      </w:r>
    </w:p>
    <w:p w:rsidR="004F34D9" w:rsidRPr="00123108" w:rsidRDefault="004F34D9" w:rsidP="00D06780">
      <w:pPr>
        <w:tabs>
          <w:tab w:val="left" w:pos="1276"/>
        </w:tabs>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（5）地质</w:t>
      </w:r>
    </w:p>
    <w:p w:rsidR="004F34D9" w:rsidRPr="00123108" w:rsidRDefault="004F34D9" w:rsidP="00D06780">
      <w:pPr>
        <w:tabs>
          <w:tab w:val="left" w:pos="1276"/>
        </w:tabs>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新桥化工已运行近25年，从现场情况看，不均匀地质沉降对本项目主要建筑设施、储罐区影响较小。</w:t>
      </w:r>
    </w:p>
    <w:p w:rsidR="004F34D9" w:rsidRPr="00123108" w:rsidRDefault="004F34D9" w:rsidP="00D06780">
      <w:pPr>
        <w:tabs>
          <w:tab w:val="left" w:pos="1276"/>
        </w:tabs>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小结：新桥化工所在地自然条件中气温、风况、地震、地质等均对安全生产有一定的影响，就目前采取的措施，不利的自然条件对项目安全生产的影响基本可控。但是，企业在日后的生产过程中仍应重视自然条件的不利影响，定期维护保养各类工艺设备和辅助设备；加强与防雷（防静电接地）装置检测机构的联系，定期委托检测。</w:t>
      </w:r>
    </w:p>
    <w:p w:rsidR="004F34D9" w:rsidRPr="00123108" w:rsidRDefault="004F34D9" w:rsidP="00D06780">
      <w:pPr>
        <w:pStyle w:val="2"/>
        <w:spacing w:line="500" w:lineRule="exact"/>
        <w:jc w:val="both"/>
        <w:rPr>
          <w:rFonts w:ascii="宋体" w:eastAsia="宋体" w:cs="宋体" w:hint="eastAsia"/>
          <w:sz w:val="28"/>
          <w:szCs w:val="28"/>
        </w:rPr>
      </w:pPr>
      <w:bookmarkStart w:id="1696" w:name="_Toc32767"/>
      <w:bookmarkStart w:id="1697" w:name="_Toc29170"/>
      <w:bookmarkStart w:id="1698" w:name="_Toc1861"/>
      <w:bookmarkStart w:id="1699" w:name="_Toc23681"/>
      <w:bookmarkStart w:id="1700" w:name="_Toc11402"/>
      <w:bookmarkStart w:id="1701" w:name="_Toc7003"/>
      <w:bookmarkStart w:id="1702" w:name="_Toc190935899"/>
      <w:r w:rsidRPr="00123108">
        <w:rPr>
          <w:rFonts w:ascii="宋体" w:eastAsia="宋体" w:cs="宋体" w:hint="eastAsia"/>
          <w:sz w:val="28"/>
          <w:szCs w:val="28"/>
        </w:rPr>
        <w:t>附件2.4  安全生产条件评价</w:t>
      </w:r>
      <w:bookmarkEnd w:id="1696"/>
      <w:bookmarkEnd w:id="1697"/>
      <w:bookmarkEnd w:id="1698"/>
      <w:bookmarkEnd w:id="1699"/>
      <w:bookmarkEnd w:id="1700"/>
      <w:bookmarkEnd w:id="1701"/>
      <w:bookmarkEnd w:id="1702"/>
    </w:p>
    <w:p w:rsidR="004F34D9" w:rsidRPr="00123108" w:rsidRDefault="004F34D9" w:rsidP="00D06780">
      <w:pPr>
        <w:tabs>
          <w:tab w:val="left" w:pos="1276"/>
        </w:tabs>
        <w:spacing w:line="500" w:lineRule="exact"/>
        <w:outlineLvl w:val="2"/>
        <w:rPr>
          <w:rFonts w:ascii="宋体" w:hAnsi="宋体" w:cs="宋体" w:hint="eastAsia"/>
          <w:b/>
          <w:bCs/>
          <w:sz w:val="28"/>
          <w:szCs w:val="28"/>
        </w:rPr>
      </w:pPr>
      <w:bookmarkStart w:id="1703" w:name="_Toc10814"/>
      <w:bookmarkStart w:id="1704" w:name="_Toc16408"/>
      <w:bookmarkStart w:id="1705" w:name="_Toc4956"/>
      <w:bookmarkStart w:id="1706" w:name="_Toc30712"/>
      <w:bookmarkStart w:id="1707" w:name="_Toc27955"/>
      <w:bookmarkStart w:id="1708" w:name="_Toc11350"/>
      <w:bookmarkStart w:id="1709" w:name="_Toc190935900"/>
      <w:r w:rsidRPr="00123108">
        <w:rPr>
          <w:rFonts w:ascii="宋体" w:hAnsi="宋体" w:cs="宋体" w:hint="eastAsia"/>
          <w:b/>
          <w:bCs/>
          <w:sz w:val="28"/>
          <w:szCs w:val="28"/>
        </w:rPr>
        <w:t>附件2.4.1  总平面布置评价</w:t>
      </w:r>
      <w:bookmarkEnd w:id="1703"/>
      <w:bookmarkEnd w:id="1704"/>
      <w:bookmarkEnd w:id="1705"/>
      <w:bookmarkEnd w:id="1706"/>
      <w:bookmarkEnd w:id="1707"/>
      <w:bookmarkEnd w:id="1708"/>
      <w:bookmarkEnd w:id="1709"/>
    </w:p>
    <w:p w:rsidR="004F34D9" w:rsidRPr="00123108" w:rsidRDefault="004F34D9" w:rsidP="00D06780">
      <w:pPr>
        <w:tabs>
          <w:tab w:val="left" w:pos="1276"/>
        </w:tabs>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lastRenderedPageBreak/>
        <w:t>依据《建筑设计防火规范》GB 50016-2014（2018年版）、</w:t>
      </w:r>
      <w:r w:rsidRPr="00123108">
        <w:rPr>
          <w:rFonts w:ascii="宋体" w:hAnsi="宋体" w:hint="eastAsia"/>
          <w:sz w:val="28"/>
          <w:szCs w:val="28"/>
        </w:rPr>
        <w:t>《化工企业总图运输设计规范》GB50489-2009、</w:t>
      </w:r>
      <w:r w:rsidRPr="00123108">
        <w:rPr>
          <w:rFonts w:ascii="宋体" w:hAnsi="宋体" w:hint="eastAsia"/>
          <w:sz w:val="28"/>
        </w:rPr>
        <w:t>《</w:t>
      </w:r>
      <w:r w:rsidRPr="00123108">
        <w:rPr>
          <w:rFonts w:ascii="宋体" w:hAnsi="宋体"/>
          <w:sz w:val="28"/>
        </w:rPr>
        <w:t>工业企业总平面设计规范</w:t>
      </w:r>
      <w:r w:rsidRPr="00123108">
        <w:rPr>
          <w:rFonts w:ascii="宋体" w:hAnsi="宋体" w:hint="eastAsia"/>
          <w:sz w:val="28"/>
        </w:rPr>
        <w:t>》</w:t>
      </w:r>
      <w:r w:rsidRPr="00123108">
        <w:rPr>
          <w:rFonts w:ascii="宋体" w:hAnsi="宋体"/>
          <w:sz w:val="28"/>
        </w:rPr>
        <w:t>GB50187-</w:t>
      </w:r>
      <w:r w:rsidRPr="00123108">
        <w:rPr>
          <w:rFonts w:ascii="宋体" w:hAnsi="宋体" w:hint="eastAsia"/>
          <w:sz w:val="28"/>
        </w:rPr>
        <w:t>201</w:t>
      </w:r>
      <w:r w:rsidRPr="00123108">
        <w:rPr>
          <w:rFonts w:ascii="宋体" w:hAnsi="宋体"/>
          <w:sz w:val="28"/>
        </w:rPr>
        <w:t>2</w:t>
      </w:r>
      <w:r w:rsidRPr="00123108">
        <w:rPr>
          <w:rFonts w:ascii="宋体" w:hAnsi="宋体" w:cs="宋体" w:hint="eastAsia"/>
          <w:sz w:val="28"/>
          <w:szCs w:val="28"/>
        </w:rPr>
        <w:t>等标准及现场状况编制总平面布置安全检查表，见附表2.4-1。</w:t>
      </w:r>
    </w:p>
    <w:p w:rsidR="004F34D9" w:rsidRPr="00123108" w:rsidRDefault="004F34D9" w:rsidP="00D06780">
      <w:pPr>
        <w:tabs>
          <w:tab w:val="left" w:pos="1276"/>
        </w:tabs>
        <w:spacing w:line="500" w:lineRule="exact"/>
        <w:ind w:firstLine="560"/>
        <w:jc w:val="center"/>
        <w:rPr>
          <w:rFonts w:ascii="宋体" w:hAnsi="宋体" w:cs="宋体" w:hint="eastAsia"/>
          <w:b/>
          <w:bCs/>
          <w:sz w:val="28"/>
          <w:szCs w:val="28"/>
        </w:rPr>
      </w:pPr>
      <w:r w:rsidRPr="00123108">
        <w:rPr>
          <w:rFonts w:ascii="宋体" w:hAnsi="宋体" w:cs="宋体" w:hint="eastAsia"/>
          <w:b/>
          <w:bCs/>
          <w:sz w:val="28"/>
          <w:szCs w:val="28"/>
        </w:rPr>
        <w:t>附表</w:t>
      </w:r>
      <w:bookmarkStart w:id="1710" w:name="_Hlk42371268"/>
      <w:r w:rsidRPr="00123108">
        <w:rPr>
          <w:rFonts w:ascii="宋体" w:hAnsi="宋体" w:cs="宋体" w:hint="eastAsia"/>
          <w:b/>
          <w:bCs/>
          <w:sz w:val="28"/>
          <w:szCs w:val="28"/>
        </w:rPr>
        <w:t>2.4</w:t>
      </w:r>
      <w:bookmarkEnd w:id="1710"/>
      <w:r w:rsidRPr="00123108">
        <w:rPr>
          <w:rFonts w:ascii="宋体" w:hAnsi="宋体" w:cs="宋体" w:hint="eastAsia"/>
          <w:b/>
          <w:bCs/>
          <w:sz w:val="28"/>
          <w:szCs w:val="28"/>
        </w:rPr>
        <w:t>-1  总平面布置情况检查表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
        <w:gridCol w:w="4309"/>
        <w:gridCol w:w="1640"/>
        <w:gridCol w:w="2035"/>
        <w:gridCol w:w="679"/>
      </w:tblGrid>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序号</w:t>
            </w:r>
          </w:p>
        </w:tc>
        <w:tc>
          <w:tcPr>
            <w:tcW w:w="2348"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检查项目及内容</w:t>
            </w:r>
          </w:p>
        </w:tc>
        <w:tc>
          <w:tcPr>
            <w:tcW w:w="894"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依据标准</w:t>
            </w:r>
          </w:p>
        </w:tc>
        <w:tc>
          <w:tcPr>
            <w:tcW w:w="110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实际情况</w:t>
            </w:r>
          </w:p>
        </w:tc>
        <w:tc>
          <w:tcPr>
            <w:tcW w:w="371"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检查</w:t>
            </w:r>
          </w:p>
          <w:p w:rsidR="004F34D9" w:rsidRPr="00123108" w:rsidRDefault="004F34D9">
            <w:pPr>
              <w:rPr>
                <w:rFonts w:ascii="宋体" w:hAnsi="宋体" w:cs="宋体" w:hint="eastAsia"/>
                <w:szCs w:val="21"/>
              </w:rPr>
            </w:pPr>
            <w:r w:rsidRPr="00123108">
              <w:rPr>
                <w:rFonts w:ascii="宋体" w:hAnsi="宋体" w:cs="宋体" w:hint="eastAsia"/>
                <w:szCs w:val="21"/>
              </w:rPr>
              <w:t>结果</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一</w:t>
            </w:r>
          </w:p>
        </w:tc>
        <w:tc>
          <w:tcPr>
            <w:tcW w:w="2348" w:type="pct"/>
            <w:vAlign w:val="center"/>
          </w:tcPr>
          <w:p w:rsidR="004F34D9" w:rsidRPr="00123108" w:rsidRDefault="004F34D9">
            <w:pPr>
              <w:rPr>
                <w:rFonts w:ascii="宋体" w:hAnsi="宋体" w:cs="宋体" w:hint="eastAsia"/>
                <w:szCs w:val="21"/>
              </w:rPr>
            </w:pPr>
            <w:r w:rsidRPr="00123108">
              <w:rPr>
                <w:rFonts w:ascii="宋体" w:hAnsi="宋体" w:cs="宋体" w:hint="eastAsia"/>
                <w:kern w:val="0"/>
                <w:szCs w:val="21"/>
              </w:rPr>
              <w:t>总平面布置</w:t>
            </w:r>
          </w:p>
        </w:tc>
        <w:tc>
          <w:tcPr>
            <w:tcW w:w="894" w:type="pct"/>
            <w:vAlign w:val="center"/>
          </w:tcPr>
          <w:p w:rsidR="004F34D9" w:rsidRPr="00123108" w:rsidRDefault="004F34D9">
            <w:pPr>
              <w:rPr>
                <w:rFonts w:ascii="宋体" w:hAnsi="宋体" w:cs="宋体" w:hint="eastAsia"/>
                <w:kern w:val="0"/>
                <w:szCs w:val="21"/>
              </w:rPr>
            </w:pPr>
          </w:p>
        </w:tc>
        <w:tc>
          <w:tcPr>
            <w:tcW w:w="1109" w:type="pct"/>
            <w:vAlign w:val="center"/>
          </w:tcPr>
          <w:p w:rsidR="004F34D9" w:rsidRPr="00123108" w:rsidRDefault="004F34D9">
            <w:pPr>
              <w:rPr>
                <w:rFonts w:ascii="宋体" w:hAnsi="宋体" w:cs="宋体" w:hint="eastAsia"/>
                <w:kern w:val="0"/>
                <w:szCs w:val="21"/>
              </w:rPr>
            </w:pPr>
          </w:p>
        </w:tc>
        <w:tc>
          <w:tcPr>
            <w:tcW w:w="371" w:type="pct"/>
            <w:vAlign w:val="center"/>
          </w:tcPr>
          <w:p w:rsidR="004F34D9" w:rsidRPr="00123108" w:rsidRDefault="004F34D9">
            <w:pPr>
              <w:rPr>
                <w:rFonts w:ascii="宋体" w:hAnsi="宋体" w:cs="宋体" w:hint="eastAsia"/>
                <w:kern w:val="0"/>
                <w:szCs w:val="21"/>
              </w:rPr>
            </w:pP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1</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总平面布置应在总体布置的基础上，根据工厂的性质、规模、生产流程、交通运输、环境保护、防火、安全、卫生、施工、检修、生产、经营管理、厂容厂貌及发展等要求，并结合当地自然条件进行布置，经方案比较后择优确定。</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GB50489-2009第5.1.1条</w:t>
            </w:r>
          </w:p>
        </w:tc>
        <w:tc>
          <w:tcPr>
            <w:tcW w:w="1109"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总平面布置根据生产流程及管理情况进行布置</w:t>
            </w: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2</w:t>
            </w:r>
          </w:p>
        </w:tc>
        <w:tc>
          <w:tcPr>
            <w:tcW w:w="2348" w:type="pct"/>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厂区总平面应按功能分区布置，可分为生产装置区、辅助生产区：公用工程设施区、仓储区和行政办公及生活服务区。辅助生产和公用工程设施也可布置在生产装置区内。功能分区布置应符合下列要求：</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1各功能区内部应布置紧凑、合理并与相邻功能区相协调。</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2各功能区之间物流输送、动力供应便捷合理。</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3生产装置区宜布置在全年最小频率风向的上风侧，行政办公及生活服务设施区宜布置在全年最小频率风向的下风侧，辅助生产和公用工程设施区宜布置在生产装置区与行政办公及生活服务设施区之间。</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GB50489-2009第5.1.4条</w:t>
            </w:r>
          </w:p>
        </w:tc>
        <w:tc>
          <w:tcPr>
            <w:tcW w:w="1109"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厂区根据功能分布</w:t>
            </w: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3</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除本规范另有规定外，厂房之间及与乙、丙、丁、戊类仓库、民用建筑等的防火间距不应小于表3.4.1的规定，与甲类仓库的防火间距应符合本规范第3.5.1条的规定。</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50016-2014（2018年版）第3.4.1条</w:t>
            </w:r>
          </w:p>
        </w:tc>
        <w:tc>
          <w:tcPr>
            <w:tcW w:w="1109"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见报告附表2.4-1-1</w:t>
            </w: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不符合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4</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甲类厂房与重要公共建筑的防火间距不应小于50m，与明火或散发火花地点的防火间距不应小于30m。</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50016-2014（2018年版）第3.4.2条</w:t>
            </w:r>
          </w:p>
        </w:tc>
        <w:tc>
          <w:tcPr>
            <w:tcW w:w="1109"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甲类B、A反应部距离RTO、机修车间明火均＞30m</w:t>
            </w: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5</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散发可燃气体、可燃蒸气的甲类厂房与铁路、道路等的防火间距不应小于表3.4.3的规定，但甲类厂房所属厂内铁路装卸线当有安全措施时，防火间距不受表3.4.3规定的限制。</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50016-2014（2018年版）第3.4.3条</w:t>
            </w:r>
          </w:p>
        </w:tc>
        <w:tc>
          <w:tcPr>
            <w:tcW w:w="1109" w:type="pct"/>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附近无铁路，甲类厂房距离主要道路间距见附表2.4-1-1</w:t>
            </w: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6</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桶装、瓶装甲类液体不应露天存放</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50016-2014（2018年版）第4.1.2条</w:t>
            </w:r>
          </w:p>
        </w:tc>
        <w:tc>
          <w:tcPr>
            <w:tcW w:w="1109" w:type="pct"/>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未露天存放</w:t>
            </w: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7</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甲、乙、丙类液体储罐区，液化石油气储罐区，可燃、助燃气体储罐区和可燃材料堆场，应与装卸区、辅助生产区及办公区分开布置。</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50016-2014（2018年版）第4.1.4条</w:t>
            </w:r>
          </w:p>
        </w:tc>
        <w:tc>
          <w:tcPr>
            <w:tcW w:w="1109"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储罐区与辅助生产区及办公区分开布置</w:t>
            </w: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lastRenderedPageBreak/>
              <w:t>8</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甲、乙、丙类液体储罐，液化石油气储罐，可燃、助燃气体储罐和可燃材料堆垛，与架空电力线的最近水平距离应符合本规范第10.2.1条的规定。</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50016-2014（2018年版）第4.1.5条</w:t>
            </w:r>
          </w:p>
        </w:tc>
        <w:tc>
          <w:tcPr>
            <w:tcW w:w="1109"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见附表2.4-1-1</w:t>
            </w: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10</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甲、乙、丙类液体储罐（区）和乙、丙类液体桶装堆场与其他建筑的防火间距，不应小于表4.2.1的规定。</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50016-2014（2018年版）第4.2.1条</w:t>
            </w:r>
          </w:p>
        </w:tc>
        <w:tc>
          <w:tcPr>
            <w:tcW w:w="1109"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见附表2.4-1-1</w:t>
            </w: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11</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甲、乙、丙类液体储罐之间的防火间距不应小于表4.2.2的规定</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50016-2014（2018年版）第4.2.2条</w:t>
            </w:r>
          </w:p>
        </w:tc>
        <w:tc>
          <w:tcPr>
            <w:tcW w:w="1109"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12</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甲、乙、丙类液体的地上式、半地下式储罐区，其每个防火堤内宜布置火灾危险性类别相同或相近的储罐。沸溢性油品储罐不应与非沸溢性油品储罐布置在同一防火堤内。地上式、半地下式储罐不应与地下式储罐布置在同一防火堤内。</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50016-2014（2018年版）第4.2.4条</w:t>
            </w:r>
          </w:p>
        </w:tc>
        <w:tc>
          <w:tcPr>
            <w:tcW w:w="1109"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无沸溢性油品，同类物料单独罐区存放</w:t>
            </w: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13</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甲、乙、丙类液体的地上式、半地下式储罐或储罐组，其四周应设置不燃性防火堤。防火堤的设置应符合下列规定：</w:t>
            </w:r>
            <w:r w:rsidRPr="00123108">
              <w:rPr>
                <w:rFonts w:ascii="宋体" w:hAnsi="宋体" w:cs="宋体" w:hint="eastAsia"/>
                <w:kern w:val="0"/>
                <w:szCs w:val="21"/>
              </w:rPr>
              <w:br/>
              <w:t>1 防火堤内的储罐布置不宜超过2排，单罐容量不大于1000m³且闪点大于120℃的液体储罐不宜超过4排；</w:t>
            </w:r>
            <w:r w:rsidRPr="00123108">
              <w:rPr>
                <w:rFonts w:ascii="宋体" w:hAnsi="宋体" w:cs="宋体" w:hint="eastAsia"/>
                <w:kern w:val="0"/>
                <w:szCs w:val="21"/>
              </w:rPr>
              <w:br/>
              <w:t>2 防火堤的有效容量不应小于其中最大储罐的容量。对于浮顶罐，防火堤的有效容量可为其中最大储罐容量的一半；</w:t>
            </w:r>
            <w:r w:rsidRPr="00123108">
              <w:rPr>
                <w:rFonts w:ascii="宋体" w:hAnsi="宋体" w:cs="宋体" w:hint="eastAsia"/>
                <w:kern w:val="0"/>
                <w:szCs w:val="21"/>
              </w:rPr>
              <w:br/>
              <w:t>3 防火堤内侧基脚线至立式储罐外壁的水平距离不应小于罐壁高度的一半。防火堤内侧基脚线至卧式储罐的水平距离不应小于3m；</w:t>
            </w:r>
            <w:r w:rsidRPr="00123108">
              <w:rPr>
                <w:rFonts w:ascii="宋体" w:hAnsi="宋体" w:cs="宋体" w:hint="eastAsia"/>
                <w:kern w:val="0"/>
                <w:szCs w:val="21"/>
              </w:rPr>
              <w:br/>
              <w:t>4 防火堤的设计高度应比计算高度高出0.2m，且应为1.0m～2.2m，在防火堤的适当位置应设置便于灭火救援人员进出防火堤的踏步；</w:t>
            </w:r>
            <w:r w:rsidRPr="00123108">
              <w:rPr>
                <w:rFonts w:ascii="宋体" w:hAnsi="宋体" w:cs="宋体" w:hint="eastAsia"/>
                <w:kern w:val="0"/>
                <w:szCs w:val="21"/>
              </w:rPr>
              <w:br/>
              <w:t>5 沸溢性油品的地上式、半地下式储罐，每个储罐均应设置一个防火堤或防火隔堤；</w:t>
            </w:r>
            <w:r w:rsidRPr="00123108">
              <w:rPr>
                <w:rFonts w:ascii="宋体" w:hAnsi="宋体" w:cs="宋体" w:hint="eastAsia"/>
                <w:kern w:val="0"/>
                <w:szCs w:val="21"/>
              </w:rPr>
              <w:br/>
              <w:t>6 含油污水排水管应在防火堤的出口处设置水封设施，雨水排水管应设置阀门等封闭、隔离装置。</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50016-2014（2018年版）第4.2.5条</w:t>
            </w:r>
          </w:p>
        </w:tc>
        <w:tc>
          <w:tcPr>
            <w:tcW w:w="1109"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储罐及罐组设有防火堤；储罐布置未超过2排</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防火堤内有效容积超过最大储罐容积的一半</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不涉及沸溢性油品</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含油污水排水管在防火堤的出口处设水封</w:t>
            </w: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14</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甲、乙、丙类液体储罐与铁路、道路的防火间距不应小于表4.2.9的规定。</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50016-2014（2018年版）第4.2.9条</w:t>
            </w:r>
          </w:p>
        </w:tc>
        <w:tc>
          <w:tcPr>
            <w:tcW w:w="1109"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二甲苯储罐主要道路间距小于15m</w:t>
            </w: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不符合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15</w:t>
            </w:r>
          </w:p>
        </w:tc>
        <w:tc>
          <w:tcPr>
            <w:tcW w:w="2348" w:type="pct"/>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管线敷设方式，可根据管道内介质的性质、地形、生产安全、交通运输、施工、检修等因素综合确定，并应符合下列规定：</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1有可燃性、爆炸危险性、毒性及腐蚀性介质的管道，应采用地上敷设。</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2有条件的管线宜采用共架或共沟敷设。</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3在散发比空气重的可燃、有毒性气体的场所，不宜采用管沟敷设，否则应采取防止气体积聚和沿沟扩散的措施。</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GB50489-2009第7.1.2 条</w:t>
            </w:r>
          </w:p>
        </w:tc>
        <w:tc>
          <w:tcPr>
            <w:tcW w:w="1109" w:type="pct"/>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管道地上敷设</w:t>
            </w: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lastRenderedPageBreak/>
              <w:t>16</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具有可燃性、爆炸危险性及有毒性介质的管道，不应穿越与其无关的建筑物、构筑物、生产装置、辅助生产及仓储设施等。</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GB50489-2009第7.1.4条</w:t>
            </w:r>
          </w:p>
        </w:tc>
        <w:tc>
          <w:tcPr>
            <w:tcW w:w="1109" w:type="pct"/>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相关管道未穿越与其无关的建筑物、构筑物、生产装置、辅助生产及仓储设施</w:t>
            </w: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17</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汽车衡应布置在道路的平坡直线段，其进车端道路平坡直线段的长度不宜小于2辆车长，困难条件下，不应小于1辆车长；出车端的道路应有不小于1辆车长的平坡直线段。</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kern w:val="0"/>
                <w:szCs w:val="21"/>
              </w:rPr>
              <w:t>GB50187-</w:t>
            </w:r>
            <w:r w:rsidRPr="00123108">
              <w:rPr>
                <w:rFonts w:ascii="宋体" w:hAnsi="宋体" w:cs="宋体" w:hint="eastAsia"/>
                <w:kern w:val="0"/>
                <w:szCs w:val="21"/>
              </w:rPr>
              <w:t>201</w:t>
            </w:r>
            <w:r w:rsidRPr="00123108">
              <w:rPr>
                <w:rFonts w:ascii="宋体" w:hAnsi="宋体" w:cs="宋体"/>
                <w:kern w:val="0"/>
                <w:szCs w:val="21"/>
              </w:rPr>
              <w:t>2</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第6.4.10 条</w:t>
            </w:r>
          </w:p>
        </w:tc>
        <w:tc>
          <w:tcPr>
            <w:tcW w:w="1109" w:type="pct"/>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受企业现场条件所限，出车端有一辆车长的平坡直线段</w:t>
            </w: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18</w:t>
            </w:r>
          </w:p>
        </w:tc>
        <w:tc>
          <w:tcPr>
            <w:tcW w:w="2348" w:type="pct"/>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跨越道路上空架设管线距离路面的最小净高不得小于5m,现有低于5m的管线在改、扩建时应予以解决跨越道路上空的建构筑物距路面的最小净高，应按行驶车辆的最大高度或车辆装载物料后的最大高度另加0.5-1m的安全间距采用，并不宜小于5m,如有足够依据确保安全通行时，净空高度可小于5m，但不得小于4.5m，跨越道路上空的建构筑物以及管线，应增设限高标志和限高设施</w:t>
            </w:r>
          </w:p>
        </w:tc>
        <w:tc>
          <w:tcPr>
            <w:tcW w:w="894" w:type="pct"/>
            <w:vAlign w:val="center"/>
          </w:tcPr>
          <w:p w:rsidR="004F34D9" w:rsidRPr="00123108" w:rsidRDefault="004F34D9">
            <w:pPr>
              <w:widowControl/>
              <w:autoSpaceDE w:val="0"/>
              <w:autoSpaceDN w:val="0"/>
              <w:adjustRightInd w:val="0"/>
              <w:snapToGrid w:val="0"/>
              <w:jc w:val="left"/>
              <w:rPr>
                <w:rFonts w:ascii="宋体" w:hAnsi="宋体" w:cs="宋体"/>
                <w:kern w:val="0"/>
                <w:szCs w:val="21"/>
              </w:rPr>
            </w:pPr>
            <w:r w:rsidRPr="00123108">
              <w:rPr>
                <w:rFonts w:ascii="宋体" w:hAnsi="宋体" w:cs="宋体"/>
                <w:kern w:val="0"/>
                <w:szCs w:val="21"/>
              </w:rPr>
              <w:t>GB 4387-</w:t>
            </w:r>
            <w:r w:rsidRPr="00123108">
              <w:rPr>
                <w:rFonts w:ascii="宋体" w:hAnsi="宋体" w:cs="宋体" w:hint="eastAsia"/>
                <w:kern w:val="0"/>
                <w:szCs w:val="21"/>
              </w:rPr>
              <w:t>2008第6.1.2条</w:t>
            </w:r>
          </w:p>
        </w:tc>
        <w:tc>
          <w:tcPr>
            <w:tcW w:w="1109" w:type="pct"/>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跨越道路上的架空管线净高不低于5m，有限高标志</w:t>
            </w: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二</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厂内道路</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p>
        </w:tc>
        <w:tc>
          <w:tcPr>
            <w:tcW w:w="1109" w:type="pct"/>
            <w:vAlign w:val="center"/>
          </w:tcPr>
          <w:p w:rsidR="004F34D9" w:rsidRPr="00123108" w:rsidRDefault="004F34D9">
            <w:pPr>
              <w:autoSpaceDE w:val="0"/>
              <w:autoSpaceDN w:val="0"/>
              <w:jc w:val="left"/>
              <w:rPr>
                <w:rFonts w:ascii="宋体" w:hAnsi="宋体" w:cs="宋体" w:hint="eastAsia"/>
                <w:kern w:val="0"/>
                <w:szCs w:val="21"/>
              </w:rPr>
            </w:pPr>
          </w:p>
        </w:tc>
        <w:tc>
          <w:tcPr>
            <w:tcW w:w="371" w:type="pct"/>
            <w:vAlign w:val="center"/>
          </w:tcPr>
          <w:p w:rsidR="004F34D9" w:rsidRPr="00123108" w:rsidRDefault="004F34D9">
            <w:pPr>
              <w:autoSpaceDE w:val="0"/>
              <w:autoSpaceDN w:val="0"/>
              <w:jc w:val="left"/>
              <w:rPr>
                <w:rFonts w:ascii="宋体" w:hAnsi="宋体" w:cs="宋体" w:hint="eastAsia"/>
                <w:kern w:val="0"/>
                <w:szCs w:val="21"/>
              </w:rPr>
            </w:pP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19</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工厂、仓库区内应设置消防车道。</w:t>
            </w:r>
            <w:r w:rsidRPr="00123108">
              <w:rPr>
                <w:rFonts w:ascii="宋体" w:hAnsi="宋体" w:cs="宋体" w:hint="eastAsia"/>
                <w:kern w:val="0"/>
                <w:szCs w:val="21"/>
              </w:rPr>
              <w:br/>
              <w:t>高层厂房，占地面积大于3000m²的甲、乙、丙类厂房和占地面积大于1500m²的乙、丙类仓库，应设置环形消防车道，确有困难时，应沿建筑物的两个长边设置消防车道。</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50016-2014（2018年版）第7.1.3条</w:t>
            </w:r>
          </w:p>
        </w:tc>
        <w:tc>
          <w:tcPr>
            <w:tcW w:w="1109" w:type="pct"/>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不涉及占地面积大于3000m²的甲、乙、丙类厂房；5#乙类仓库3面有消防通道，且仓库东面邻消防门</w:t>
            </w: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20</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可燃材料露天堆场区，液化石油气储罐区，甲、乙、丙类液体储罐区和可燃气体储罐区，应设置消防车道。消防车道的设置应符合下列规定：</w:t>
            </w:r>
            <w:r w:rsidRPr="00123108">
              <w:rPr>
                <w:rFonts w:ascii="宋体" w:hAnsi="宋体" w:cs="宋体" w:hint="eastAsia"/>
                <w:kern w:val="0"/>
                <w:szCs w:val="21"/>
              </w:rPr>
              <w:br/>
              <w:t>1 储量大于表7.1.6规定的堆场、储罐区，宜设置环形消防车道。</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50016-2014（2018年版）第7.1.6条</w:t>
            </w:r>
          </w:p>
        </w:tc>
        <w:tc>
          <w:tcPr>
            <w:tcW w:w="1109" w:type="pct"/>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苯乙烯储罐区设有环形消防通道</w:t>
            </w: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21</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消防车道应符合下列要求：</w:t>
            </w:r>
            <w:r w:rsidRPr="00123108">
              <w:rPr>
                <w:rFonts w:ascii="宋体" w:hAnsi="宋体" w:cs="宋体" w:hint="eastAsia"/>
                <w:kern w:val="0"/>
                <w:szCs w:val="21"/>
              </w:rPr>
              <w:br/>
              <w:t>1 车道的净宽度和净空高度均不应小于4.0m；</w:t>
            </w:r>
            <w:r w:rsidRPr="00123108">
              <w:rPr>
                <w:rFonts w:ascii="宋体" w:hAnsi="宋体" w:cs="宋体" w:hint="eastAsia"/>
                <w:kern w:val="0"/>
                <w:szCs w:val="21"/>
              </w:rPr>
              <w:br/>
              <w:t>2 转弯半径应满足消防车转弯的要求；</w:t>
            </w:r>
            <w:r w:rsidRPr="00123108">
              <w:rPr>
                <w:rFonts w:ascii="宋体" w:hAnsi="宋体" w:cs="宋体" w:hint="eastAsia"/>
                <w:kern w:val="0"/>
                <w:szCs w:val="21"/>
              </w:rPr>
              <w:br/>
              <w:t>3 消防车道与建筑之间不应设置妨碍消防车操作的树木、架空管线等障碍物；</w:t>
            </w:r>
            <w:r w:rsidRPr="00123108">
              <w:rPr>
                <w:rFonts w:ascii="宋体" w:hAnsi="宋体" w:cs="宋体" w:hint="eastAsia"/>
                <w:kern w:val="0"/>
                <w:szCs w:val="21"/>
              </w:rPr>
              <w:br/>
              <w:t>4 消防车道靠建筑外墙一侧的边缘距离建筑外墙不宜小于5m；</w:t>
            </w:r>
            <w:r w:rsidRPr="00123108">
              <w:rPr>
                <w:rFonts w:ascii="宋体" w:hAnsi="宋体" w:cs="宋体" w:hint="eastAsia"/>
                <w:kern w:val="0"/>
                <w:szCs w:val="21"/>
              </w:rPr>
              <w:br/>
              <w:t>5 消防车道的坡度不宜大于8%。</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50016-2014（2018年版）第7.1.8条</w:t>
            </w:r>
          </w:p>
        </w:tc>
        <w:tc>
          <w:tcPr>
            <w:tcW w:w="1109" w:type="pct"/>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消防车道的净宽度和净空高度均大于4.0m</w:t>
            </w: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22</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管架支柱（边缘）、照明电杆、行道树或标志杆等距道路路面边缘不应小于0.5m。</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50160-2008</w:t>
            </w:r>
          </w:p>
          <w:p w:rsidR="004F34D9" w:rsidRPr="00123108" w:rsidRDefault="004F34D9">
            <w:pPr>
              <w:autoSpaceDE w:val="0"/>
              <w:autoSpaceDN w:val="0"/>
              <w:jc w:val="left"/>
              <w:rPr>
                <w:rFonts w:ascii="宋体" w:hAnsi="宋体" w:cs="宋体" w:hint="eastAsia"/>
                <w:kern w:val="0"/>
                <w:szCs w:val="21"/>
              </w:rPr>
            </w:pPr>
            <w:r w:rsidRPr="00123108">
              <w:rPr>
                <w:rFonts w:ascii="宋体" w:hAnsi="宋体" w:cs="宋体" w:hint="eastAsia"/>
                <w:kern w:val="0"/>
                <w:szCs w:val="21"/>
              </w:rPr>
              <w:t>（2018年版）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第4.3.8条</w:t>
            </w:r>
          </w:p>
        </w:tc>
        <w:tc>
          <w:tcPr>
            <w:tcW w:w="1109" w:type="pct"/>
            <w:vAlign w:val="center"/>
          </w:tcPr>
          <w:p w:rsidR="004F34D9" w:rsidRPr="00123108" w:rsidRDefault="004F34D9">
            <w:pPr>
              <w:autoSpaceDE w:val="0"/>
              <w:autoSpaceDN w:val="0"/>
              <w:jc w:val="left"/>
              <w:rPr>
                <w:rFonts w:ascii="宋体" w:hAnsi="宋体" w:cs="宋体"/>
                <w:kern w:val="0"/>
                <w:szCs w:val="21"/>
              </w:rPr>
            </w:pPr>
            <w:r w:rsidRPr="00123108">
              <w:rPr>
                <w:rFonts w:ascii="宋体" w:hAnsi="宋体" w:cs="宋体" w:hint="eastAsia"/>
                <w:kern w:val="0"/>
                <w:szCs w:val="21"/>
              </w:rPr>
              <w:t>管廊支架等距离道路边缘不小于0.5m</w:t>
            </w:r>
          </w:p>
        </w:tc>
        <w:tc>
          <w:tcPr>
            <w:tcW w:w="371" w:type="pct"/>
            <w:vAlign w:val="center"/>
          </w:tcPr>
          <w:p w:rsidR="004F34D9" w:rsidRPr="00123108" w:rsidRDefault="004F34D9">
            <w:pPr>
              <w:autoSpaceDE w:val="0"/>
              <w:autoSpaceDN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23</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厂内道路路面平整、路基稳固、边坡整齐、排水良好，并有完好的照明设施。</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4387-2008第6.1.1条</w:t>
            </w:r>
          </w:p>
        </w:tc>
        <w:tc>
          <w:tcPr>
            <w:tcW w:w="1109" w:type="pct"/>
            <w:vAlign w:val="center"/>
          </w:tcPr>
          <w:p w:rsidR="004F34D9" w:rsidRPr="00123108" w:rsidRDefault="004F34D9">
            <w:pPr>
              <w:autoSpaceDE w:val="0"/>
              <w:autoSpaceDN w:val="0"/>
              <w:jc w:val="left"/>
              <w:rPr>
                <w:rFonts w:ascii="宋体" w:hAnsi="宋体" w:cs="宋体" w:hint="eastAsia"/>
                <w:kern w:val="0"/>
                <w:szCs w:val="21"/>
              </w:rPr>
            </w:pPr>
            <w:r w:rsidRPr="00123108">
              <w:rPr>
                <w:rFonts w:ascii="宋体" w:hAnsi="宋体" w:cs="宋体" w:hint="eastAsia"/>
                <w:kern w:val="0"/>
                <w:szCs w:val="21"/>
              </w:rPr>
              <w:t>道路完好、照明设施齐全</w:t>
            </w:r>
          </w:p>
        </w:tc>
        <w:tc>
          <w:tcPr>
            <w:tcW w:w="371" w:type="pct"/>
            <w:vAlign w:val="center"/>
          </w:tcPr>
          <w:p w:rsidR="004F34D9" w:rsidRPr="00123108" w:rsidRDefault="004F34D9">
            <w:pPr>
              <w:autoSpaceDE w:val="0"/>
              <w:autoSpaceDN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lastRenderedPageBreak/>
              <w:t>24</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管道及其桁架跨越厂内铁路线的净空高度不应小于5.5m；跨越厂内道路的净空高度不应小于5m。在跨越铁路或道路的可燃气体、液化烃和可燃液体管道上不应设置阀门及易发生泄漏的管道附件。</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50160-2008</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第7.1.2条</w:t>
            </w:r>
          </w:p>
        </w:tc>
        <w:tc>
          <w:tcPr>
            <w:tcW w:w="1109"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管道跨越道路净高不小于5m，设有限高标识。跨越管道上未设置阀门及易发生泄漏的附件</w:t>
            </w: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25</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厂区道路应设置交通标志。</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4387-2008第6.1.3条</w:t>
            </w:r>
          </w:p>
        </w:tc>
        <w:tc>
          <w:tcPr>
            <w:tcW w:w="1109" w:type="pct"/>
            <w:vAlign w:val="center"/>
          </w:tcPr>
          <w:p w:rsidR="004F34D9" w:rsidRPr="00123108" w:rsidRDefault="004F34D9">
            <w:pPr>
              <w:autoSpaceDE w:val="0"/>
              <w:autoSpaceDN w:val="0"/>
              <w:jc w:val="left"/>
              <w:rPr>
                <w:rFonts w:ascii="宋体" w:hAnsi="宋体" w:cs="宋体" w:hint="eastAsia"/>
                <w:kern w:val="0"/>
                <w:szCs w:val="21"/>
              </w:rPr>
            </w:pPr>
            <w:r w:rsidRPr="00123108">
              <w:rPr>
                <w:rFonts w:ascii="宋体" w:hAnsi="宋体" w:cs="宋体" w:hint="eastAsia"/>
                <w:kern w:val="0"/>
                <w:szCs w:val="21"/>
              </w:rPr>
              <w:t>未设置限速标识</w:t>
            </w:r>
          </w:p>
        </w:tc>
        <w:tc>
          <w:tcPr>
            <w:tcW w:w="371" w:type="pct"/>
            <w:vAlign w:val="center"/>
          </w:tcPr>
          <w:p w:rsidR="004F34D9" w:rsidRPr="00123108" w:rsidRDefault="004F34D9">
            <w:pPr>
              <w:autoSpaceDE w:val="0"/>
              <w:autoSpaceDN w:val="0"/>
              <w:jc w:val="left"/>
              <w:rPr>
                <w:rFonts w:ascii="宋体" w:hAnsi="宋体" w:cs="宋体" w:hint="eastAsia"/>
                <w:kern w:val="0"/>
                <w:szCs w:val="21"/>
              </w:rPr>
            </w:pPr>
            <w:r w:rsidRPr="00123108">
              <w:rPr>
                <w:rFonts w:ascii="宋体" w:hAnsi="宋体" w:cs="宋体" w:hint="eastAsia"/>
                <w:kern w:val="0"/>
                <w:szCs w:val="21"/>
              </w:rPr>
              <w:t>不符合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26</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易燃易爆区、储存库区将道路划分为限制车辆通行或禁止车辆通行的路段，并设标志。</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4387-2008第6.1.4条</w:t>
            </w:r>
          </w:p>
        </w:tc>
        <w:tc>
          <w:tcPr>
            <w:tcW w:w="1109" w:type="pct"/>
            <w:vAlign w:val="center"/>
          </w:tcPr>
          <w:p w:rsidR="004F34D9" w:rsidRPr="00123108" w:rsidRDefault="004F34D9">
            <w:pPr>
              <w:autoSpaceDE w:val="0"/>
              <w:autoSpaceDN w:val="0"/>
              <w:jc w:val="left"/>
              <w:rPr>
                <w:rFonts w:ascii="宋体" w:hAnsi="宋体" w:cs="宋体" w:hint="eastAsia"/>
                <w:kern w:val="0"/>
                <w:szCs w:val="21"/>
              </w:rPr>
            </w:pPr>
            <w:r w:rsidRPr="00123108">
              <w:rPr>
                <w:rFonts w:ascii="宋体" w:hAnsi="宋体" w:cs="宋体" w:hint="eastAsia"/>
                <w:kern w:val="0"/>
                <w:szCs w:val="21"/>
              </w:rPr>
              <w:t>禁止车辆通行路段未设置禁行标识</w:t>
            </w:r>
          </w:p>
        </w:tc>
        <w:tc>
          <w:tcPr>
            <w:tcW w:w="371" w:type="pct"/>
            <w:vAlign w:val="center"/>
          </w:tcPr>
          <w:p w:rsidR="004F34D9" w:rsidRPr="00123108" w:rsidRDefault="004F34D9">
            <w:pPr>
              <w:autoSpaceDE w:val="0"/>
              <w:autoSpaceDN w:val="0"/>
              <w:jc w:val="left"/>
              <w:rPr>
                <w:rFonts w:ascii="宋体" w:hAnsi="宋体" w:cs="宋体" w:hint="eastAsia"/>
                <w:kern w:val="0"/>
                <w:szCs w:val="21"/>
              </w:rPr>
            </w:pPr>
            <w:r w:rsidRPr="00123108">
              <w:rPr>
                <w:rFonts w:ascii="宋体" w:hAnsi="宋体" w:cs="宋体" w:hint="eastAsia"/>
                <w:kern w:val="0"/>
                <w:szCs w:val="21"/>
              </w:rPr>
              <w:t>不符合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27</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厂区道路在弯道交叉路口的横净距范围内，不得有妨碍驾驶员视线的障碍物。</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4387-2008第6.1.10条</w:t>
            </w:r>
          </w:p>
        </w:tc>
        <w:tc>
          <w:tcPr>
            <w:tcW w:w="1109" w:type="pct"/>
            <w:vAlign w:val="center"/>
          </w:tcPr>
          <w:p w:rsidR="004F34D9" w:rsidRPr="00123108" w:rsidRDefault="004F34D9">
            <w:pPr>
              <w:autoSpaceDE w:val="0"/>
              <w:autoSpaceDN w:val="0"/>
              <w:jc w:val="left"/>
              <w:rPr>
                <w:rFonts w:ascii="宋体" w:hAnsi="宋体" w:cs="宋体" w:hint="eastAsia"/>
                <w:kern w:val="0"/>
                <w:szCs w:val="21"/>
              </w:rPr>
            </w:pPr>
            <w:r w:rsidRPr="00123108">
              <w:rPr>
                <w:rFonts w:ascii="宋体" w:hAnsi="宋体" w:cs="宋体" w:hint="eastAsia"/>
                <w:kern w:val="0"/>
                <w:szCs w:val="21"/>
              </w:rPr>
              <w:t>厂区道路视线良好</w:t>
            </w:r>
          </w:p>
        </w:tc>
        <w:tc>
          <w:tcPr>
            <w:tcW w:w="371" w:type="pct"/>
            <w:vAlign w:val="center"/>
          </w:tcPr>
          <w:p w:rsidR="004F34D9" w:rsidRPr="00123108" w:rsidRDefault="004F34D9">
            <w:pPr>
              <w:autoSpaceDE w:val="0"/>
              <w:autoSpaceDN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28</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管线的敷设方式，应该根据管道内介质的性质、厂区地形、生产安全、交通运输、施工、检修等因素综合考虑确定。</w:t>
            </w:r>
          </w:p>
          <w:p w:rsidR="004F34D9" w:rsidRPr="00123108" w:rsidRDefault="004F34D9">
            <w:pPr>
              <w:numPr>
                <w:ilvl w:val="0"/>
                <w:numId w:val="60"/>
              </w:numPr>
              <w:tabs>
                <w:tab w:val="left" w:pos="360"/>
              </w:tabs>
              <w:autoSpaceDE w:val="0"/>
              <w:autoSpaceDN w:val="0"/>
              <w:adjustRightInd w:val="0"/>
              <w:snapToGrid w:val="0"/>
              <w:ind w:left="0" w:firstLine="0"/>
              <w:jc w:val="left"/>
              <w:rPr>
                <w:rFonts w:ascii="宋体" w:hAnsi="宋体" w:cs="宋体" w:hint="eastAsia"/>
                <w:kern w:val="0"/>
                <w:szCs w:val="21"/>
              </w:rPr>
            </w:pPr>
            <w:r w:rsidRPr="00123108">
              <w:rPr>
                <w:rFonts w:ascii="宋体" w:hAnsi="宋体" w:cs="宋体" w:hint="eastAsia"/>
                <w:kern w:val="0"/>
                <w:szCs w:val="21"/>
              </w:rPr>
              <w:t>管线应尽量架空、共架、共沟、多层敷设；</w:t>
            </w:r>
          </w:p>
          <w:p w:rsidR="004F34D9" w:rsidRPr="00123108" w:rsidRDefault="004F34D9">
            <w:pPr>
              <w:numPr>
                <w:ilvl w:val="0"/>
                <w:numId w:val="60"/>
              </w:numPr>
              <w:tabs>
                <w:tab w:val="left" w:pos="360"/>
              </w:tabs>
              <w:autoSpaceDE w:val="0"/>
              <w:autoSpaceDN w:val="0"/>
              <w:adjustRightInd w:val="0"/>
              <w:snapToGrid w:val="0"/>
              <w:ind w:left="0" w:firstLine="0"/>
              <w:jc w:val="left"/>
              <w:rPr>
                <w:rFonts w:ascii="宋体" w:hAnsi="宋体" w:cs="宋体" w:hint="eastAsia"/>
                <w:kern w:val="0"/>
                <w:szCs w:val="21"/>
              </w:rPr>
            </w:pPr>
            <w:r w:rsidRPr="00123108">
              <w:rPr>
                <w:rFonts w:ascii="宋体" w:hAnsi="宋体" w:cs="宋体" w:hint="eastAsia"/>
                <w:kern w:val="0"/>
                <w:szCs w:val="21"/>
              </w:rPr>
              <w:t>有可燃性、爆炸危险性、毒性及腐蚀性介质的管道，应采用地上敷设。</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SH/T 3054-2005</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第4.2条</w:t>
            </w:r>
          </w:p>
        </w:tc>
        <w:tc>
          <w:tcPr>
            <w:tcW w:w="1109"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管道采用架空、多层敷设，有可燃性、爆炸危险性、毒性及腐蚀性介质的管道，采用地上敷设</w:t>
            </w: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29</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具有可燃性、爆炸危险性及有毒介质的管道，不应穿越与其无关的生产装置、建筑、构筑物、辅助生产及仓储设施内。</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SH/T3054-2005</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第4.3条</w:t>
            </w:r>
          </w:p>
        </w:tc>
        <w:tc>
          <w:tcPr>
            <w:tcW w:w="1109"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根据管线实际布置，未穿越无关的生产装置、建筑等</w:t>
            </w: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30</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管线综合布置应符合下列要求：</w:t>
            </w:r>
          </w:p>
          <w:p w:rsidR="004F34D9" w:rsidRPr="00123108" w:rsidRDefault="004F34D9">
            <w:pPr>
              <w:numPr>
                <w:ilvl w:val="0"/>
                <w:numId w:val="61"/>
              </w:numPr>
              <w:tabs>
                <w:tab w:val="left" w:pos="360"/>
              </w:tabs>
              <w:autoSpaceDE w:val="0"/>
              <w:autoSpaceDN w:val="0"/>
              <w:adjustRightInd w:val="0"/>
              <w:snapToGrid w:val="0"/>
              <w:ind w:left="0" w:firstLine="0"/>
              <w:jc w:val="left"/>
              <w:rPr>
                <w:rFonts w:ascii="宋体" w:hAnsi="宋体" w:cs="宋体" w:hint="eastAsia"/>
                <w:kern w:val="0"/>
                <w:szCs w:val="21"/>
              </w:rPr>
            </w:pPr>
            <w:r w:rsidRPr="00123108">
              <w:rPr>
                <w:rFonts w:ascii="宋体" w:hAnsi="宋体" w:cs="宋体" w:hint="eastAsia"/>
                <w:kern w:val="0"/>
                <w:szCs w:val="21"/>
              </w:rPr>
              <w:t>应满足生产、安全、施工和检修的要求；</w:t>
            </w:r>
          </w:p>
          <w:p w:rsidR="004F34D9" w:rsidRPr="00123108" w:rsidRDefault="004F34D9">
            <w:pPr>
              <w:numPr>
                <w:ilvl w:val="0"/>
                <w:numId w:val="61"/>
              </w:numPr>
              <w:tabs>
                <w:tab w:val="left" w:pos="360"/>
              </w:tabs>
              <w:autoSpaceDE w:val="0"/>
              <w:autoSpaceDN w:val="0"/>
              <w:adjustRightInd w:val="0"/>
              <w:snapToGrid w:val="0"/>
              <w:ind w:left="0" w:firstLine="0"/>
              <w:jc w:val="left"/>
              <w:rPr>
                <w:rFonts w:ascii="宋体" w:hAnsi="宋体" w:cs="宋体" w:hint="eastAsia"/>
                <w:kern w:val="0"/>
                <w:szCs w:val="21"/>
              </w:rPr>
            </w:pPr>
            <w:r w:rsidRPr="00123108">
              <w:rPr>
                <w:rFonts w:ascii="宋体" w:hAnsi="宋体" w:cs="宋体" w:hint="eastAsia"/>
                <w:kern w:val="0"/>
                <w:szCs w:val="21"/>
              </w:rPr>
              <w:t>管线应敷设在规则的管线带内，管线带应与所在通道内的道路和建筑红线平行；</w:t>
            </w:r>
          </w:p>
          <w:p w:rsidR="004F34D9" w:rsidRPr="00123108" w:rsidRDefault="004F34D9">
            <w:pPr>
              <w:numPr>
                <w:ilvl w:val="0"/>
                <w:numId w:val="61"/>
              </w:numPr>
              <w:tabs>
                <w:tab w:val="left" w:pos="360"/>
              </w:tabs>
              <w:autoSpaceDE w:val="0"/>
              <w:autoSpaceDN w:val="0"/>
              <w:adjustRightInd w:val="0"/>
              <w:snapToGrid w:val="0"/>
              <w:ind w:left="0" w:firstLine="0"/>
              <w:jc w:val="left"/>
              <w:rPr>
                <w:rFonts w:ascii="宋体" w:hAnsi="宋体" w:cs="宋体" w:hint="eastAsia"/>
                <w:kern w:val="0"/>
                <w:szCs w:val="21"/>
              </w:rPr>
            </w:pPr>
            <w:r w:rsidRPr="00123108">
              <w:rPr>
                <w:rFonts w:ascii="宋体" w:hAnsi="宋体" w:cs="宋体" w:hint="eastAsia"/>
                <w:kern w:val="0"/>
                <w:szCs w:val="21"/>
              </w:rPr>
              <w:t>减少管线与铁路、道路交叉，必须交叉是，交叉角度不宜小于45゜</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SH/T 3054-2005</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第4.4条</w:t>
            </w:r>
          </w:p>
        </w:tc>
        <w:tc>
          <w:tcPr>
            <w:tcW w:w="1109"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管线布置符合所述要求</w:t>
            </w: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31</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地上管线的敷设方式，主要有高架、低架式、地面式及建筑支撑式，敷设方式应根据介质性质、生产操作、安全、维护管理、交通运输和厂容等因素，综合考虑确定。</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SH/T 3054-2005</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第6.1条</w:t>
            </w:r>
          </w:p>
        </w:tc>
        <w:tc>
          <w:tcPr>
            <w:tcW w:w="1109"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高架、地面敷设</w:t>
            </w: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32</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管架布置，应符合下列要求：</w:t>
            </w:r>
          </w:p>
          <w:p w:rsidR="004F34D9" w:rsidRPr="00123108" w:rsidRDefault="004F34D9">
            <w:pPr>
              <w:numPr>
                <w:ilvl w:val="0"/>
                <w:numId w:val="62"/>
              </w:numPr>
              <w:tabs>
                <w:tab w:val="left" w:pos="360"/>
              </w:tabs>
              <w:autoSpaceDE w:val="0"/>
              <w:autoSpaceDN w:val="0"/>
              <w:adjustRightInd w:val="0"/>
              <w:snapToGrid w:val="0"/>
              <w:ind w:left="0" w:firstLine="0"/>
              <w:jc w:val="left"/>
              <w:rPr>
                <w:rFonts w:ascii="宋体" w:hAnsi="宋体" w:cs="宋体" w:hint="eastAsia"/>
                <w:kern w:val="0"/>
                <w:szCs w:val="21"/>
              </w:rPr>
            </w:pPr>
            <w:r w:rsidRPr="00123108">
              <w:rPr>
                <w:rFonts w:ascii="宋体" w:hAnsi="宋体" w:cs="宋体" w:hint="eastAsia"/>
                <w:kern w:val="0"/>
                <w:szCs w:val="21"/>
              </w:rPr>
              <w:t>管架基础的设置和净空高度不得影响交通运输、消防和检修；</w:t>
            </w:r>
          </w:p>
          <w:p w:rsidR="004F34D9" w:rsidRPr="00123108" w:rsidRDefault="004F34D9">
            <w:pPr>
              <w:numPr>
                <w:ilvl w:val="0"/>
                <w:numId w:val="62"/>
              </w:numPr>
              <w:tabs>
                <w:tab w:val="left" w:pos="360"/>
              </w:tabs>
              <w:autoSpaceDE w:val="0"/>
              <w:autoSpaceDN w:val="0"/>
              <w:adjustRightInd w:val="0"/>
              <w:snapToGrid w:val="0"/>
              <w:ind w:left="0" w:firstLine="0"/>
              <w:jc w:val="left"/>
              <w:rPr>
                <w:rFonts w:ascii="宋体" w:hAnsi="宋体" w:cs="宋体" w:hint="eastAsia"/>
                <w:kern w:val="0"/>
                <w:szCs w:val="21"/>
              </w:rPr>
            </w:pPr>
            <w:r w:rsidRPr="00123108">
              <w:rPr>
                <w:rFonts w:ascii="宋体" w:hAnsi="宋体" w:cs="宋体" w:hint="eastAsia"/>
                <w:kern w:val="0"/>
                <w:szCs w:val="21"/>
              </w:rPr>
              <w:t>沿地面或低支架敷设的管道，不应环绕工艺装置或罐区的四周布置；</w:t>
            </w:r>
          </w:p>
          <w:p w:rsidR="004F34D9" w:rsidRPr="00123108" w:rsidRDefault="004F34D9">
            <w:pPr>
              <w:numPr>
                <w:ilvl w:val="0"/>
                <w:numId w:val="62"/>
              </w:numPr>
              <w:tabs>
                <w:tab w:val="left" w:pos="360"/>
              </w:tabs>
              <w:autoSpaceDE w:val="0"/>
              <w:autoSpaceDN w:val="0"/>
              <w:adjustRightInd w:val="0"/>
              <w:snapToGrid w:val="0"/>
              <w:ind w:left="0" w:firstLine="0"/>
              <w:jc w:val="left"/>
              <w:rPr>
                <w:rFonts w:ascii="宋体" w:hAnsi="宋体" w:cs="宋体" w:hint="eastAsia"/>
                <w:kern w:val="0"/>
                <w:szCs w:val="21"/>
              </w:rPr>
            </w:pPr>
            <w:r w:rsidRPr="00123108">
              <w:rPr>
                <w:rFonts w:ascii="宋体" w:hAnsi="宋体" w:cs="宋体" w:hint="eastAsia"/>
                <w:kern w:val="0"/>
                <w:szCs w:val="21"/>
              </w:rPr>
              <w:t>不宜妨碍建筑物的自然采光和通风。</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SH/T 3054-2005</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第6.2条</w:t>
            </w:r>
          </w:p>
        </w:tc>
        <w:tc>
          <w:tcPr>
            <w:tcW w:w="1109"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管架基础的设置和净空高度不影响交通运输、消防和检修；沿地面或低支架敷设的管道，未环绕工艺装置或罐区的四周布置；未妨碍建筑物的自然采光和通风</w:t>
            </w: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33</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有甲、乙类火灾等级、腐蚀性及有毒介质的管道，除使用该管道的建筑、构筑物外，均不得采用建筑物支撑式的附属方式。</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SH/T 3054-2005</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第6.3条</w:t>
            </w:r>
          </w:p>
        </w:tc>
        <w:tc>
          <w:tcPr>
            <w:tcW w:w="1109"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未采用建筑物支撑式的附属方式</w:t>
            </w: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79"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34</w:t>
            </w:r>
          </w:p>
        </w:tc>
        <w:tc>
          <w:tcPr>
            <w:tcW w:w="23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架空管线、管架跨越道路的最小净空高度不应小于5m。</w:t>
            </w:r>
          </w:p>
        </w:tc>
        <w:tc>
          <w:tcPr>
            <w:tcW w:w="894"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SH/T 3054-2005</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第6.6条</w:t>
            </w:r>
          </w:p>
        </w:tc>
        <w:tc>
          <w:tcPr>
            <w:tcW w:w="1109"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最小净空高度≥5米</w:t>
            </w:r>
          </w:p>
        </w:tc>
        <w:tc>
          <w:tcPr>
            <w:tcW w:w="371"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bl>
    <w:p w:rsidR="004F34D9" w:rsidRPr="00123108" w:rsidRDefault="004F34D9">
      <w:pPr>
        <w:tabs>
          <w:tab w:val="left" w:pos="1276"/>
        </w:tabs>
        <w:spacing w:line="360" w:lineRule="auto"/>
        <w:jc w:val="center"/>
        <w:rPr>
          <w:rFonts w:ascii="宋体" w:hAnsi="宋体" w:cs="宋体"/>
          <w:b/>
          <w:bCs/>
          <w:sz w:val="28"/>
          <w:szCs w:val="28"/>
        </w:rPr>
        <w:sectPr w:rsidR="004F34D9" w:rsidRPr="00123108">
          <w:pgSz w:w="11906" w:h="16838"/>
          <w:pgMar w:top="1417" w:right="1134" w:bottom="1134" w:left="1587" w:header="851" w:footer="992" w:gutter="0"/>
          <w:paperSrc w:first="7" w:other="7"/>
          <w:cols w:space="720"/>
          <w:docGrid w:type="lines" w:linePitch="381"/>
        </w:sectPr>
      </w:pPr>
    </w:p>
    <w:p w:rsidR="004F34D9" w:rsidRDefault="004F34D9">
      <w:pPr>
        <w:tabs>
          <w:tab w:val="left" w:pos="1276"/>
        </w:tabs>
        <w:spacing w:line="360" w:lineRule="auto"/>
        <w:jc w:val="center"/>
        <w:rPr>
          <w:rFonts w:ascii="宋体" w:hAnsi="宋体" w:cs="宋体" w:hint="eastAsia"/>
          <w:b/>
          <w:bCs/>
          <w:sz w:val="28"/>
          <w:szCs w:val="28"/>
        </w:rPr>
      </w:pPr>
      <w:r w:rsidRPr="00123108">
        <w:rPr>
          <w:rFonts w:ascii="宋体" w:hAnsi="宋体" w:cs="宋体" w:hint="eastAsia"/>
          <w:b/>
          <w:bCs/>
          <w:sz w:val="28"/>
          <w:szCs w:val="28"/>
        </w:rPr>
        <w:lastRenderedPageBreak/>
        <w:t>附表2.4-1-1  主要建（构）筑物间距核查一览表</w:t>
      </w:r>
    </w:p>
    <w:p w:rsidR="00331EFA" w:rsidRDefault="00331EFA" w:rsidP="00331EFA">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Pr="00123108" w:rsidRDefault="004F34D9">
      <w:pPr>
        <w:rPr>
          <w:rFonts w:hint="eastAsia"/>
        </w:rPr>
      </w:pPr>
    </w:p>
    <w:p w:rsidR="004F34D9" w:rsidRPr="00123108" w:rsidRDefault="004F34D9">
      <w:pPr>
        <w:spacing w:line="360" w:lineRule="auto"/>
        <w:ind w:firstLineChars="200" w:firstLine="560"/>
        <w:rPr>
          <w:rFonts w:ascii="宋体" w:hAnsi="宋体" w:cs="宋体" w:hint="eastAsia"/>
          <w:sz w:val="28"/>
          <w:szCs w:val="28"/>
        </w:rPr>
      </w:pPr>
    </w:p>
    <w:p w:rsidR="004F34D9" w:rsidRPr="00123108" w:rsidRDefault="004F34D9">
      <w:pPr>
        <w:spacing w:line="360" w:lineRule="auto"/>
        <w:ind w:firstLineChars="200" w:firstLine="560"/>
        <w:rPr>
          <w:rFonts w:ascii="宋体" w:hAnsi="宋体" w:cs="宋体"/>
          <w:sz w:val="28"/>
          <w:szCs w:val="28"/>
        </w:rPr>
        <w:sectPr w:rsidR="004F34D9" w:rsidRPr="00123108">
          <w:pgSz w:w="16838" w:h="11906" w:orient="landscape"/>
          <w:pgMar w:top="1587" w:right="1417" w:bottom="1134" w:left="1134" w:header="851" w:footer="992" w:gutter="0"/>
          <w:paperSrc w:first="7" w:other="7"/>
          <w:cols w:space="720"/>
          <w:docGrid w:type="lines" w:linePitch="381"/>
        </w:sectPr>
      </w:pPr>
    </w:p>
    <w:p w:rsidR="004F34D9" w:rsidRDefault="004F34D9">
      <w:pPr>
        <w:spacing w:line="360" w:lineRule="auto"/>
        <w:jc w:val="center"/>
        <w:rPr>
          <w:rFonts w:ascii="宋体" w:hAnsi="宋体" w:cs="宋体" w:hint="eastAsia"/>
          <w:b/>
          <w:bCs/>
          <w:sz w:val="28"/>
        </w:rPr>
      </w:pPr>
      <w:r w:rsidRPr="00123108">
        <w:rPr>
          <w:rFonts w:ascii="宋体" w:hAnsi="宋体" w:cs="宋体" w:hint="eastAsia"/>
          <w:b/>
          <w:bCs/>
          <w:sz w:val="28"/>
        </w:rPr>
        <w:lastRenderedPageBreak/>
        <w:t>附表2.4.1-4  罐区内部间距核查一览表</w:t>
      </w:r>
    </w:p>
    <w:p w:rsidR="00331EFA" w:rsidRDefault="00331EFA" w:rsidP="00331EFA">
      <w:pPr>
        <w:spacing w:line="500" w:lineRule="exact"/>
        <w:jc w:val="center"/>
        <w:rPr>
          <w:rFonts w:ascii="宋体" w:hAnsi="宋体"/>
          <w:b/>
          <w:bCs/>
          <w:sz w:val="28"/>
          <w:szCs w:val="28"/>
        </w:rPr>
      </w:pPr>
      <w:r>
        <w:rPr>
          <w:rFonts w:ascii="宋体" w:hAnsi="宋体" w:hint="eastAsia"/>
          <w:b/>
          <w:sz w:val="28"/>
          <w:szCs w:val="28"/>
        </w:rPr>
        <w:t>涉及企业机密，不予公开。</w:t>
      </w:r>
    </w:p>
    <w:p w:rsidR="004F34D9" w:rsidRPr="00123108" w:rsidRDefault="004F34D9">
      <w:pPr>
        <w:spacing w:line="500" w:lineRule="exact"/>
        <w:ind w:firstLineChars="200" w:firstLine="562"/>
        <w:jc w:val="left"/>
        <w:rPr>
          <w:rFonts w:ascii="宋体" w:hAnsi="宋体" w:cs="宋体" w:hint="eastAsia"/>
          <w:sz w:val="28"/>
          <w:szCs w:val="28"/>
        </w:rPr>
      </w:pPr>
      <w:r w:rsidRPr="00123108">
        <w:rPr>
          <w:rFonts w:ascii="宋体" w:hAnsi="宋体" w:cs="宋体" w:hint="eastAsia"/>
          <w:b/>
          <w:bCs/>
          <w:sz w:val="28"/>
        </w:rPr>
        <w:t>小结：</w:t>
      </w:r>
      <w:r w:rsidRPr="00123108">
        <w:rPr>
          <w:rFonts w:ascii="宋体" w:hAnsi="宋体" w:cs="宋体" w:hint="eastAsia"/>
          <w:sz w:val="28"/>
          <w:szCs w:val="28"/>
        </w:rPr>
        <w:t>依据《建筑设计防火规范》GB 50016-2014（2018年版）、</w:t>
      </w:r>
      <w:r w:rsidRPr="00123108">
        <w:rPr>
          <w:rFonts w:ascii="宋体" w:hAnsi="宋体" w:hint="eastAsia"/>
          <w:sz w:val="28"/>
          <w:szCs w:val="28"/>
        </w:rPr>
        <w:t>《化工企业总图运输设计规范》GB50489-2009、</w:t>
      </w:r>
      <w:r w:rsidRPr="00123108">
        <w:rPr>
          <w:rFonts w:ascii="宋体" w:hAnsi="宋体" w:hint="eastAsia"/>
          <w:sz w:val="28"/>
        </w:rPr>
        <w:t>《</w:t>
      </w:r>
      <w:r w:rsidRPr="00123108">
        <w:rPr>
          <w:rFonts w:ascii="宋体" w:hAnsi="宋体"/>
          <w:sz w:val="28"/>
        </w:rPr>
        <w:t>工业企业总平面设计规范</w:t>
      </w:r>
      <w:r w:rsidRPr="00123108">
        <w:rPr>
          <w:rFonts w:ascii="宋体" w:hAnsi="宋体" w:hint="eastAsia"/>
          <w:sz w:val="28"/>
        </w:rPr>
        <w:t>》</w:t>
      </w:r>
      <w:r w:rsidRPr="00123108">
        <w:rPr>
          <w:rFonts w:ascii="宋体" w:hAnsi="宋体"/>
          <w:sz w:val="28"/>
        </w:rPr>
        <w:t>GB50187-</w:t>
      </w:r>
      <w:r w:rsidRPr="00123108">
        <w:rPr>
          <w:rFonts w:ascii="宋体" w:hAnsi="宋体" w:hint="eastAsia"/>
          <w:sz w:val="28"/>
        </w:rPr>
        <w:t>201</w:t>
      </w:r>
      <w:r w:rsidRPr="00123108">
        <w:rPr>
          <w:rFonts w:ascii="宋体" w:hAnsi="宋体"/>
          <w:sz w:val="28"/>
        </w:rPr>
        <w:t>2</w:t>
      </w:r>
      <w:r w:rsidRPr="00123108">
        <w:rPr>
          <w:rFonts w:ascii="宋体" w:hAnsi="宋体" w:cs="宋体" w:hint="eastAsia"/>
          <w:sz w:val="28"/>
          <w:szCs w:val="28"/>
        </w:rPr>
        <w:t>等标准对本项目总平面布置进行检查，存在问题：</w:t>
      </w:r>
    </w:p>
    <w:p w:rsidR="004F34D9" w:rsidRPr="00123108" w:rsidRDefault="004F34D9">
      <w:pPr>
        <w:numPr>
          <w:ilvl w:val="0"/>
          <w:numId w:val="63"/>
        </w:numPr>
        <w:spacing w:line="500" w:lineRule="exact"/>
        <w:ind w:left="0" w:firstLineChars="200" w:firstLine="560"/>
        <w:rPr>
          <w:rFonts w:ascii="宋体" w:hAnsi="宋体" w:hint="eastAsia"/>
          <w:sz w:val="28"/>
          <w:szCs w:val="28"/>
        </w:rPr>
      </w:pPr>
      <w:r w:rsidRPr="00123108">
        <w:rPr>
          <w:rFonts w:ascii="宋体" w:hAnsi="宋体"/>
          <w:sz w:val="28"/>
          <w:szCs w:val="28"/>
        </w:rPr>
        <w:t>二甲苯</w:t>
      </w:r>
      <w:r w:rsidRPr="00123108">
        <w:rPr>
          <w:rFonts w:ascii="宋体" w:hAnsi="宋体" w:hint="eastAsia"/>
          <w:sz w:val="28"/>
          <w:szCs w:val="28"/>
        </w:rPr>
        <w:t>与主要道路及与冷库防火间距不足。</w:t>
      </w:r>
    </w:p>
    <w:p w:rsidR="004F34D9" w:rsidRPr="00123108" w:rsidRDefault="004F34D9">
      <w:pPr>
        <w:numPr>
          <w:ilvl w:val="0"/>
          <w:numId w:val="63"/>
        </w:numPr>
        <w:spacing w:line="500" w:lineRule="exact"/>
        <w:ind w:left="0" w:firstLineChars="200" w:firstLine="560"/>
        <w:rPr>
          <w:rFonts w:ascii="宋体" w:hAnsi="宋体" w:hint="eastAsia"/>
          <w:sz w:val="28"/>
          <w:szCs w:val="28"/>
        </w:rPr>
      </w:pPr>
      <w:r w:rsidRPr="00123108">
        <w:rPr>
          <w:rFonts w:ascii="宋体" w:hAnsi="宋体" w:hint="eastAsia"/>
          <w:sz w:val="28"/>
          <w:szCs w:val="28"/>
        </w:rPr>
        <w:t>B筛析部与四号仓库防火间距不足。</w:t>
      </w:r>
    </w:p>
    <w:p w:rsidR="004F34D9" w:rsidRPr="00123108" w:rsidRDefault="004F34D9">
      <w:pPr>
        <w:numPr>
          <w:ilvl w:val="0"/>
          <w:numId w:val="63"/>
        </w:numPr>
        <w:spacing w:line="500" w:lineRule="exact"/>
        <w:ind w:left="0" w:firstLineChars="200" w:firstLine="560"/>
        <w:rPr>
          <w:rFonts w:ascii="宋体" w:hAnsi="宋体" w:hint="eastAsia"/>
          <w:sz w:val="28"/>
          <w:szCs w:val="28"/>
        </w:rPr>
      </w:pPr>
      <w:r w:rsidRPr="00123108">
        <w:rPr>
          <w:rFonts w:ascii="宋体" w:hAnsi="宋体" w:hint="eastAsia"/>
          <w:sz w:val="28"/>
          <w:szCs w:val="28"/>
        </w:rPr>
        <w:t>厂区未设置限速标识、禁止车辆通行路段未设置禁行标识。</w:t>
      </w:r>
    </w:p>
    <w:p w:rsidR="004F34D9" w:rsidRPr="00123108" w:rsidRDefault="004F34D9">
      <w:pPr>
        <w:pStyle w:val="3"/>
        <w:rPr>
          <w:rFonts w:ascii="宋体" w:eastAsia="宋体" w:hAnsi="宋体" w:cs="宋体" w:hint="eastAsia"/>
          <w:sz w:val="28"/>
          <w:lang w:val="zh-CN"/>
        </w:rPr>
      </w:pPr>
      <w:bookmarkStart w:id="1711" w:name="_Toc16349"/>
      <w:bookmarkStart w:id="1712" w:name="_Toc17398"/>
      <w:bookmarkStart w:id="1713" w:name="_Toc8727"/>
      <w:bookmarkStart w:id="1714" w:name="_Toc2160"/>
      <w:bookmarkStart w:id="1715" w:name="_Toc27681"/>
      <w:bookmarkStart w:id="1716" w:name="_Toc15749"/>
      <w:bookmarkStart w:id="1717" w:name="_Toc479667232"/>
      <w:bookmarkStart w:id="1718" w:name="_Toc190935901"/>
      <w:r w:rsidRPr="00123108">
        <w:rPr>
          <w:rFonts w:ascii="宋体" w:eastAsia="宋体" w:hAnsi="宋体" w:cs="宋体" w:hint="eastAsia"/>
          <w:sz w:val="28"/>
          <w:lang w:val="zh-CN"/>
        </w:rPr>
        <w:t>附件2.</w:t>
      </w:r>
      <w:r w:rsidRPr="00123108">
        <w:rPr>
          <w:rFonts w:ascii="宋体" w:eastAsia="宋体" w:hAnsi="宋体" w:cs="宋体" w:hint="eastAsia"/>
          <w:sz w:val="28"/>
        </w:rPr>
        <w:t>4</w:t>
      </w:r>
      <w:r w:rsidRPr="00123108">
        <w:rPr>
          <w:rFonts w:ascii="宋体" w:eastAsia="宋体" w:hAnsi="宋体" w:cs="宋体" w:hint="eastAsia"/>
          <w:sz w:val="28"/>
          <w:lang w:val="zh-CN"/>
        </w:rPr>
        <w:t>.2</w:t>
      </w:r>
      <w:r w:rsidRPr="00123108">
        <w:rPr>
          <w:rFonts w:ascii="宋体" w:eastAsia="宋体" w:hAnsi="宋体" w:cs="宋体" w:hint="eastAsia"/>
          <w:sz w:val="28"/>
        </w:rPr>
        <w:t xml:space="preserve"> </w:t>
      </w:r>
      <w:r w:rsidRPr="00123108">
        <w:rPr>
          <w:rFonts w:ascii="宋体" w:eastAsia="宋体" w:hAnsi="宋体" w:cs="宋体" w:hint="eastAsia"/>
          <w:sz w:val="28"/>
          <w:lang w:val="zh-CN"/>
        </w:rPr>
        <w:t xml:space="preserve"> </w:t>
      </w:r>
      <w:r w:rsidRPr="00123108">
        <w:rPr>
          <w:rFonts w:ascii="宋体" w:eastAsia="宋体" w:hAnsi="宋体" w:cs="宋体"/>
          <w:sz w:val="28"/>
        </w:rPr>
        <w:t>建构筑物</w:t>
      </w:r>
      <w:r w:rsidRPr="00123108">
        <w:rPr>
          <w:rFonts w:ascii="宋体" w:eastAsia="宋体" w:hAnsi="宋体" w:cs="宋体" w:hint="eastAsia"/>
          <w:sz w:val="28"/>
          <w:lang w:val="zh-CN"/>
        </w:rPr>
        <w:t>布置评价</w:t>
      </w:r>
      <w:bookmarkEnd w:id="1711"/>
      <w:bookmarkEnd w:id="1712"/>
      <w:bookmarkEnd w:id="1713"/>
      <w:bookmarkEnd w:id="1714"/>
      <w:bookmarkEnd w:id="1715"/>
      <w:bookmarkEnd w:id="1716"/>
      <w:bookmarkEnd w:id="1718"/>
    </w:p>
    <w:p w:rsidR="004F34D9" w:rsidRPr="00123108" w:rsidRDefault="004F34D9">
      <w:pPr>
        <w:spacing w:line="360" w:lineRule="auto"/>
        <w:ind w:firstLineChars="200" w:firstLine="560"/>
        <w:rPr>
          <w:rFonts w:ascii="宋体" w:hAnsi="宋体" w:cs="宋体" w:hint="eastAsia"/>
          <w:sz w:val="28"/>
        </w:rPr>
      </w:pPr>
      <w:r w:rsidRPr="00123108">
        <w:rPr>
          <w:rFonts w:ascii="宋体" w:hAnsi="宋体" w:cs="宋体" w:hint="eastAsia"/>
          <w:sz w:val="28"/>
          <w:szCs w:val="28"/>
        </w:rPr>
        <w:t>根据《建筑设计防火规范》GB 50016-2014（2018年版）、</w:t>
      </w:r>
      <w:r w:rsidRPr="00123108">
        <w:rPr>
          <w:rFonts w:ascii="宋体" w:hAnsi="宋体" w:hint="eastAsia"/>
          <w:sz w:val="28"/>
        </w:rPr>
        <w:t>《</w:t>
      </w:r>
      <w:r w:rsidRPr="00123108">
        <w:rPr>
          <w:rFonts w:ascii="宋体" w:hAnsi="宋体"/>
          <w:sz w:val="28"/>
        </w:rPr>
        <w:t>工业企业总平面设计规范</w:t>
      </w:r>
      <w:r w:rsidRPr="00123108">
        <w:rPr>
          <w:rFonts w:ascii="宋体" w:hAnsi="宋体" w:hint="eastAsia"/>
          <w:sz w:val="28"/>
        </w:rPr>
        <w:t>》</w:t>
      </w:r>
      <w:r w:rsidRPr="00123108">
        <w:rPr>
          <w:rFonts w:ascii="宋体" w:hAnsi="宋体"/>
          <w:sz w:val="28"/>
        </w:rPr>
        <w:t>GB50187-</w:t>
      </w:r>
      <w:r w:rsidRPr="00123108">
        <w:rPr>
          <w:rFonts w:ascii="宋体" w:hAnsi="宋体" w:hint="eastAsia"/>
          <w:sz w:val="28"/>
        </w:rPr>
        <w:t>201</w:t>
      </w:r>
      <w:r w:rsidRPr="00123108">
        <w:rPr>
          <w:rFonts w:ascii="宋体" w:hAnsi="宋体"/>
          <w:sz w:val="28"/>
        </w:rPr>
        <w:t>2</w:t>
      </w:r>
      <w:r w:rsidRPr="00123108">
        <w:rPr>
          <w:rFonts w:ascii="宋体" w:hAnsi="宋体" w:cs="宋体" w:hint="eastAsia"/>
          <w:sz w:val="28"/>
          <w:szCs w:val="28"/>
        </w:rPr>
        <w:t>对本项目</w:t>
      </w:r>
      <w:r w:rsidRPr="00123108">
        <w:rPr>
          <w:rFonts w:ascii="宋体" w:hAnsi="宋体" w:cs="宋体" w:hint="eastAsia"/>
          <w:sz w:val="28"/>
        </w:rPr>
        <w:t>建构筑物进行检查，见附表2.4-2。</w:t>
      </w:r>
    </w:p>
    <w:p w:rsidR="004F34D9" w:rsidRPr="00123108" w:rsidRDefault="004F34D9">
      <w:pPr>
        <w:spacing w:line="360" w:lineRule="auto"/>
        <w:jc w:val="center"/>
        <w:rPr>
          <w:rFonts w:ascii="宋体" w:hAnsi="宋体" w:cs="宋体" w:hint="eastAsia"/>
          <w:sz w:val="28"/>
          <w:szCs w:val="28"/>
        </w:rPr>
      </w:pPr>
      <w:r w:rsidRPr="00123108">
        <w:rPr>
          <w:rFonts w:ascii="宋体" w:hAnsi="宋体" w:cs="宋体" w:hint="eastAsia"/>
          <w:b/>
          <w:bCs/>
          <w:sz w:val="28"/>
        </w:rPr>
        <w:t>附表2.4-2  建构筑物布置检查表</w:t>
      </w:r>
    </w:p>
    <w:tbl>
      <w:tblPr>
        <w:tblW w:w="939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3"/>
        <w:gridCol w:w="5082"/>
        <w:gridCol w:w="1470"/>
        <w:gridCol w:w="1773"/>
        <w:gridCol w:w="582"/>
      </w:tblGrid>
      <w:tr w:rsidR="004F34D9" w:rsidRPr="00123108">
        <w:trPr>
          <w:cantSplit/>
          <w:trHeight w:val="340"/>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序号</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检查项目</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依据标准</w:t>
            </w: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检查情况描述</w:t>
            </w: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检查</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结果</w:t>
            </w:r>
          </w:p>
        </w:tc>
      </w:tr>
      <w:tr w:rsidR="004F34D9" w:rsidRPr="00123108">
        <w:trPr>
          <w:cantSplit/>
          <w:trHeight w:val="340"/>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一</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厂房及仓库耐火等级</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p>
        </w:tc>
      </w:tr>
      <w:tr w:rsidR="004F34D9" w:rsidRPr="00123108">
        <w:trPr>
          <w:cantSplit/>
          <w:trHeight w:val="340"/>
          <w:tblHeader/>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厂房和仓库的耐火等级可分为一、二、三、四级，相应建筑构件的燃烧性能和耐火极限，除本规范另有规定外，不应低于表3.2.1的规定。</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第3.2.1条</w:t>
            </w: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采用防火墙等材料</w:t>
            </w: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tblHeader/>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高层厂房，甲、乙类厂房的耐火等级不应低于二级，建筑面积不大于300m²的独立甲、乙类单层厂房可采用三级耐火等级的建筑。</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第3.2.2条</w:t>
            </w: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见附表2.4-2-1</w:t>
            </w: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tblHeader/>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3</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高架仓库、高层仓库、甲类仓库、多层乙类仓库和储存可燃液体的多层丙类仓库，其耐火等级不应低于二级。</w:t>
            </w:r>
            <w:r w:rsidRPr="00123108">
              <w:rPr>
                <w:rFonts w:ascii="宋体" w:hAnsi="宋体" w:cs="宋体" w:hint="eastAsia"/>
                <w:kern w:val="0"/>
                <w:szCs w:val="21"/>
              </w:rPr>
              <w:br/>
              <w:t>单层乙类仓库，单层丙类仓库，储存可燃固体的多层丙类仓库和多层丁、戊类仓库，其耐火等级不应低于三级。</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第3.2.7条</w:t>
            </w: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见附表2.4-2-1</w:t>
            </w: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tblHeader/>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4</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甲、乙类厂房和甲、乙、丙类仓库内的防火墙，其耐火极限不应低于4.00h。</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第3.2.9条</w:t>
            </w: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采用实体墙分隔</w:t>
            </w: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tblHeader/>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二</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厂房和仓库的层数、面积和平面布置</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p>
        </w:tc>
      </w:tr>
      <w:tr w:rsidR="004F34D9" w:rsidRPr="00123108">
        <w:trPr>
          <w:cantSplit/>
          <w:trHeight w:val="340"/>
          <w:tblHeader/>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5</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除本规范另有规定外，厂房的层数和每个防火分区的最大允许建筑面积应符合表3.3.1的规定</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第3.3.1条</w:t>
            </w: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见附表2.4-2-2</w:t>
            </w: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tblHeader/>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6</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除本规范另有规定外，仓库的层数和面积应符合表3.3.2的规定。</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第3.3.2条</w:t>
            </w: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见附表2.4-2-3</w:t>
            </w: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tblHeader/>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lastRenderedPageBreak/>
              <w:t>7</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甲、乙类生产场所（仓库）不应设置在地下或半地下。</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第3.3.4条</w:t>
            </w: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甲类厂房地上建设</w:t>
            </w: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8</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员工宿舍严禁设置在厂房内。</w:t>
            </w:r>
            <w:r w:rsidRPr="00123108">
              <w:rPr>
                <w:rFonts w:ascii="宋体" w:hAnsi="宋体" w:cs="宋体" w:hint="eastAsia"/>
                <w:kern w:val="0"/>
                <w:szCs w:val="21"/>
              </w:rPr>
              <w:br/>
              <w:t>办公室、休息室等不应设置在甲、乙类厂房内，确需贴邻本厂房时，其耐火等级不应低于二级，并应采用耐火极限不低于3.00h的防爆墙与厂房分隔，且应设置独立的安全出口。</w:t>
            </w:r>
            <w:r w:rsidRPr="00123108">
              <w:rPr>
                <w:rFonts w:ascii="宋体" w:hAnsi="宋体" w:cs="宋体" w:hint="eastAsia"/>
                <w:kern w:val="0"/>
                <w:szCs w:val="21"/>
              </w:rPr>
              <w:br/>
              <w:t>办公室、休息室设置在丙类厂房内时，应采用耐火极限不低于2.50h的防火隔墙和1.00h的楼板与其他部位分隔，并应至少设置1个独立的安全出口。如隔墙上需开设相互连通的门时，应采用乙级防火门。</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第3.3.5条</w:t>
            </w: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4F34D9" w:rsidRPr="00123108" w:rsidRDefault="004F34D9">
            <w:pPr>
              <w:autoSpaceDE w:val="0"/>
              <w:autoSpaceDN w:val="0"/>
              <w:adjustRightInd w:val="0"/>
              <w:snapToGrid w:val="0"/>
              <w:jc w:val="left"/>
              <w:rPr>
                <w:rFonts w:ascii="宋体" w:hAnsi="宋体" w:cs="宋体" w:hint="eastAsia"/>
                <w:kern w:val="0"/>
                <w:szCs w:val="21"/>
              </w:rPr>
            </w:pPr>
          </w:p>
          <w:p w:rsidR="004F34D9" w:rsidRPr="00123108" w:rsidRDefault="004F34D9">
            <w:pPr>
              <w:autoSpaceDE w:val="0"/>
              <w:autoSpaceDN w:val="0"/>
              <w:adjustRightInd w:val="0"/>
              <w:snapToGrid w:val="0"/>
              <w:jc w:val="left"/>
              <w:rPr>
                <w:rFonts w:ascii="宋体" w:hAnsi="宋体" w:cs="宋体" w:hint="eastAsia"/>
                <w:kern w:val="0"/>
                <w:szCs w:val="21"/>
              </w:rPr>
            </w:pP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甲、乙类厂房内未设置办公室、休息室；</w:t>
            </w: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9</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厂房内设置中间仓库时，应符合下列规定：</w:t>
            </w:r>
            <w:r w:rsidRPr="00123108">
              <w:rPr>
                <w:rFonts w:ascii="宋体" w:hAnsi="宋体" w:cs="宋体" w:hint="eastAsia"/>
                <w:kern w:val="0"/>
                <w:szCs w:val="21"/>
              </w:rPr>
              <w:br/>
              <w:t>1 甲、乙类中间仓库应靠外墙布置，其储量不宜超过1昼夜的需要量；</w:t>
            </w:r>
            <w:r w:rsidRPr="00123108">
              <w:rPr>
                <w:rFonts w:ascii="宋体" w:hAnsi="宋体" w:cs="宋体" w:hint="eastAsia"/>
                <w:kern w:val="0"/>
                <w:szCs w:val="21"/>
              </w:rPr>
              <w:br/>
              <w:t>2 甲、乙、丙类中间仓库应采用防火墙和耐火极限不低于1.50h的不燃性楼板与其他部位分隔；</w:t>
            </w:r>
            <w:r w:rsidRPr="00123108">
              <w:rPr>
                <w:rFonts w:ascii="宋体" w:hAnsi="宋体" w:cs="宋体" w:hint="eastAsia"/>
                <w:kern w:val="0"/>
                <w:szCs w:val="21"/>
              </w:rPr>
              <w:br/>
              <w:t>3 丁、戊类中间仓库应采用耐火极限不低于2.00h的防火隔墙和1.00h的楼板与其他部位分隔；</w:t>
            </w:r>
            <w:r w:rsidRPr="00123108">
              <w:rPr>
                <w:rFonts w:ascii="宋体" w:hAnsi="宋体" w:cs="宋体" w:hint="eastAsia"/>
                <w:kern w:val="0"/>
                <w:szCs w:val="21"/>
              </w:rPr>
              <w:br/>
              <w:t>4 仓库的耐火等级和面积应符合本规范第3.3.2条和第3.3.3条的规定。</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第3.3.6条</w:t>
            </w: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A筛析部放置产品量不超过一昼夜</w:t>
            </w:r>
          </w:p>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采用混凝土墙分隔</w:t>
            </w: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10</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变、配电站不应设置在甲、乙类厂房内或贴邻，且不应设置在爆炸性气体、粉尘环境的危险区域内。供甲、乙类厂房专用的10kV及以下的变、配电站，当采用无门、窗、洞口的防火墙分隔时，可一面贴邻，并应符合现行国家标准《爆炸危险环境电力装置设计规范》GB 50058等标准的规定。</w:t>
            </w:r>
            <w:r w:rsidRPr="00123108">
              <w:rPr>
                <w:rFonts w:ascii="宋体" w:hAnsi="宋体" w:cs="宋体" w:hint="eastAsia"/>
                <w:kern w:val="0"/>
                <w:szCs w:val="21"/>
              </w:rPr>
              <w:br/>
              <w:t> 乙类厂房的配电站确需在防火墙上开窗时，应采用甲级防火窗</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第3.3.8条</w:t>
            </w: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A、B 反应部、筛析部专用防爆配电柜贴邻布置，并采用防火墙分隔</w:t>
            </w: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11</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 员工宿舍严禁设置在仓库内。</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办公室、休息室等严禁设置在甲、乙类仓库内，也不应贴邻。</w:t>
            </w:r>
            <w:r w:rsidRPr="00123108">
              <w:rPr>
                <w:rFonts w:ascii="宋体" w:hAnsi="宋体" w:cs="宋体" w:hint="eastAsia"/>
                <w:kern w:val="0"/>
                <w:szCs w:val="21"/>
              </w:rPr>
              <w:br/>
              <w:t>办公室、休息室设置在丙、丁类仓库内时，应采用耐火极限不低于2.50h的防火隔墙和1.00h的楼板与其他部位分隔，并应设置独立的安全出口。隔墙上需开设相互连通的门时，应采用乙级防火门。</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第3.3.9条</w:t>
            </w: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4F34D9" w:rsidRPr="00123108" w:rsidRDefault="004F34D9">
            <w:pPr>
              <w:tabs>
                <w:tab w:val="right" w:pos="1986"/>
              </w:tabs>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乙类仓库内</w:t>
            </w:r>
            <w:r w:rsidRPr="00123108">
              <w:rPr>
                <w:rFonts w:ascii="宋体" w:hAnsi="宋体" w:cs="宋体" w:hint="eastAsia"/>
                <w:kern w:val="0"/>
                <w:szCs w:val="21"/>
              </w:rPr>
              <w:tab/>
              <w:t>未设置办公室、休息室</w:t>
            </w: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三</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厂房和仓库的防爆</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4F34D9" w:rsidRPr="00123108" w:rsidRDefault="004F34D9">
            <w:pPr>
              <w:autoSpaceDE w:val="0"/>
              <w:autoSpaceDN w:val="0"/>
              <w:adjustRightInd w:val="0"/>
              <w:snapToGrid w:val="0"/>
              <w:jc w:val="left"/>
              <w:rPr>
                <w:rFonts w:ascii="宋体" w:hAnsi="宋体" w:cs="宋体" w:hint="eastAsia"/>
                <w:kern w:val="0"/>
                <w:szCs w:val="21"/>
              </w:rPr>
            </w:pP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p>
        </w:tc>
      </w:tr>
      <w:tr w:rsidR="004F34D9" w:rsidRPr="00123108">
        <w:trPr>
          <w:cantSplit/>
          <w:trHeight w:val="340"/>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12</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有爆炸危险的甲、乙类厂房宜独立设置，并宜采用敞开或半敞开式。其承重结构宜采用钢筋混凝土或钢框架、排架结构。</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第3.6.1条</w:t>
            </w: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厂房独立设置，A部采用钢筋混凝土，B部采用钢框架结构</w:t>
            </w: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13</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有爆炸危险的厂房或厂房内有爆炸危险的部位应设置泄压设施。</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第3.6.2条</w:t>
            </w: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厂房顶部采用轻钢可起到泄压作用</w:t>
            </w: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14</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泄压设施宜采用轻质屋面板、轻质墙体和易于泄压的门、窗等，应采用安全玻璃等在爆炸时不产生尖锐碎片的材料。</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第3.6.3条</w:t>
            </w: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屋顶轻质屋</w:t>
            </w: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15</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散发较空气轻的可燃气体、可燃蒸汽的甲类厂房，宜采用轻质屋面板的全部或局部作为泄压面积。顶棚应尽量平整、无死角，厂房上部空间应通风良好。</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第3.6.5条</w:t>
            </w: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屋顶轻钢泄压，车间通风良好</w:t>
            </w: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lastRenderedPageBreak/>
              <w:t>16</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散发较空气重的可燃气体、可燃蒸汽的甲类厂房应采用不发火的地面。厂房内不宜设地沟。</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第3.6.6条</w:t>
            </w: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不发火的地面</w:t>
            </w: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17</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有爆炸危险的甲、乙类厂房的总控制室应独立设置。</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第3.6.8条</w:t>
            </w: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总控制室独立设置</w:t>
            </w: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18</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有爆炸危险的甲、乙类厂房的分控制室宜独立设置，当贴邻外墙布置时，应采用耐火极限不低于3.00h的防火隔墙与其他部位分隔。</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第3.6.9条</w:t>
            </w: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无分控室</w:t>
            </w: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19</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使用和生产甲、乙、丙类液体的厂房，其管、沟不应与相邻厂房的管、沟相通，下水道应设置隔油设施。</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第3.6.11条</w:t>
            </w: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厂房间管、沟不与相邻厂房的管、沟相通</w:t>
            </w: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20</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甲、乙、丙类液体仓库应设置防止液体流散的设施。</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第3.6.12条</w:t>
            </w: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液体仓库设置防止液体流散的设施</w:t>
            </w: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四</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厂房的安全疏散</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p>
        </w:tc>
      </w:tr>
      <w:tr w:rsidR="004F34D9" w:rsidRPr="00123108">
        <w:trPr>
          <w:cantSplit/>
          <w:trHeight w:val="340"/>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21</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厂房的安全出口应分散布置。每个防火分区或一个防火分区的每个楼层，其相邻2个安全出口最近边缘之间的水平距离不应小于5m。</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第3.7.1条</w:t>
            </w: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见附表2.4-2-4</w:t>
            </w: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22</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厂房内每个防火分区或一个防火分区内的每个楼层，其安全出口的数量应经计算确定，且不应少于2个。</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第3.7.2条</w:t>
            </w: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见附表2.4-2-4</w:t>
            </w: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23</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厂房内任一点至最近安全出口的直线距离不应大于表3.7.4的规定。</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第3.7.4条</w:t>
            </w: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安全出口距离符合</w:t>
            </w: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24</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高层厂房和甲、乙、丙类多层厂房的疏散楼梯应采用封闭楼梯间或室外楼梯。建筑高度大于32m且任一层人数超过10人的厂房，应采用防烟楼梯间或室外楼梯。</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第3.7.6条</w:t>
            </w: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疏散通道为室外楼梯</w:t>
            </w: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五</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仓库的安全疏散</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p>
        </w:tc>
      </w:tr>
      <w:tr w:rsidR="004F34D9" w:rsidRPr="00123108">
        <w:trPr>
          <w:cantSplit/>
          <w:trHeight w:val="340"/>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25</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仓库的安全出口应分散布置。每个防火分区或一个防火分区的每个楼层，其相邻2个安全出口最近边缘之间的水平距离不应小于5m。</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第3.8.1条</w:t>
            </w: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仓库的安全出口见附表2.4-2-3；相邻2个安全出口最近边缘之间的水平距离不小于5m。</w:t>
            </w: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2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26</w:t>
            </w:r>
          </w:p>
        </w:tc>
        <w:tc>
          <w:tcPr>
            <w:tcW w:w="27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每座仓库的安全出口不应少于2个，当一座仓库的占地面积不大于300m²时，可设置1个安全出口。仓库内每个防火分区通向疏散走道、楼梯或室外的出口不宜少于2个，当防火分区的建筑面积不大于100m²时，可设置1个出口。通向疏散走道或楼梯的门应为乙级防火门。</w:t>
            </w:r>
          </w:p>
        </w:tc>
        <w:tc>
          <w:tcPr>
            <w:tcW w:w="7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第3.8.2条</w:t>
            </w:r>
          </w:p>
        </w:tc>
        <w:tc>
          <w:tcPr>
            <w:tcW w:w="9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见附表2.4-2-4</w:t>
            </w:r>
          </w:p>
        </w:tc>
        <w:tc>
          <w:tcPr>
            <w:tcW w:w="311" w:type="pct"/>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bl>
    <w:p w:rsidR="004F34D9" w:rsidRDefault="004F34D9">
      <w:pPr>
        <w:jc w:val="center"/>
        <w:rPr>
          <w:rFonts w:ascii="黑体" w:eastAsia="黑体" w:hAnsi="黑体" w:cs="宋体" w:hint="eastAsia"/>
          <w:sz w:val="28"/>
          <w:szCs w:val="28"/>
        </w:rPr>
      </w:pPr>
      <w:r w:rsidRPr="00123108">
        <w:rPr>
          <w:rFonts w:ascii="黑体" w:eastAsia="黑体" w:hAnsi="黑体" w:cs="宋体" w:hint="eastAsia"/>
          <w:sz w:val="28"/>
          <w:szCs w:val="28"/>
        </w:rPr>
        <w:t>附表2.4-2-1 厂房、仓库耐火等级检查表</w:t>
      </w:r>
    </w:p>
    <w:p w:rsidR="00331EFA" w:rsidRDefault="00331EFA">
      <w:pPr>
        <w:jc w:val="center"/>
        <w:rPr>
          <w:rFonts w:ascii="黑体" w:eastAsia="黑体" w:hAnsi="黑体" w:cs="宋体" w:hint="eastAsia"/>
          <w:sz w:val="28"/>
          <w:szCs w:val="28"/>
        </w:rPr>
      </w:pPr>
    </w:p>
    <w:p w:rsidR="00331EFA" w:rsidRDefault="00331EFA" w:rsidP="00331EFA">
      <w:pPr>
        <w:spacing w:line="500" w:lineRule="exact"/>
        <w:jc w:val="center"/>
        <w:rPr>
          <w:rFonts w:ascii="宋体" w:hAnsi="宋体"/>
          <w:b/>
          <w:bCs/>
          <w:sz w:val="28"/>
          <w:szCs w:val="28"/>
        </w:rPr>
      </w:pPr>
      <w:r>
        <w:rPr>
          <w:rFonts w:ascii="宋体" w:hAnsi="宋体" w:hint="eastAsia"/>
          <w:b/>
          <w:sz w:val="28"/>
          <w:szCs w:val="28"/>
        </w:rPr>
        <w:t>涉及企业机密，不予公开。</w:t>
      </w:r>
    </w:p>
    <w:p w:rsidR="00331EFA" w:rsidRDefault="00331EFA">
      <w:pPr>
        <w:jc w:val="center"/>
        <w:rPr>
          <w:rFonts w:ascii="黑体" w:eastAsia="黑体" w:hAnsi="黑体" w:cs="宋体" w:hint="eastAsia"/>
          <w:sz w:val="28"/>
          <w:szCs w:val="28"/>
        </w:rPr>
      </w:pPr>
    </w:p>
    <w:p w:rsidR="004F34D9" w:rsidRDefault="004F34D9">
      <w:pPr>
        <w:spacing w:line="360" w:lineRule="auto"/>
        <w:ind w:firstLineChars="200" w:firstLine="560"/>
        <w:jc w:val="center"/>
        <w:rPr>
          <w:rFonts w:ascii="宋体" w:hAnsi="宋体" w:cs="宋体" w:hint="eastAsia"/>
          <w:sz w:val="28"/>
          <w:szCs w:val="28"/>
        </w:rPr>
      </w:pPr>
      <w:r w:rsidRPr="00123108">
        <w:rPr>
          <w:rFonts w:ascii="宋体" w:hAnsi="宋体" w:cs="宋体" w:hint="eastAsia"/>
          <w:sz w:val="28"/>
          <w:szCs w:val="28"/>
        </w:rPr>
        <w:t>附表2.4-2-2 厂房防火分区检查表</w:t>
      </w:r>
    </w:p>
    <w:p w:rsidR="00331EFA" w:rsidRDefault="00331EFA" w:rsidP="00331EFA">
      <w:pPr>
        <w:spacing w:line="500" w:lineRule="exact"/>
        <w:jc w:val="center"/>
        <w:rPr>
          <w:rFonts w:ascii="宋体" w:hAnsi="宋体"/>
          <w:b/>
          <w:bCs/>
          <w:sz w:val="28"/>
          <w:szCs w:val="28"/>
        </w:rPr>
      </w:pPr>
      <w:r>
        <w:rPr>
          <w:rFonts w:ascii="宋体" w:hAnsi="宋体" w:hint="eastAsia"/>
          <w:b/>
          <w:sz w:val="28"/>
          <w:szCs w:val="28"/>
        </w:rPr>
        <w:t>涉及企业机密，不予公开。</w:t>
      </w:r>
    </w:p>
    <w:p w:rsidR="00331EFA" w:rsidRDefault="00331EFA">
      <w:pPr>
        <w:spacing w:line="360" w:lineRule="auto"/>
        <w:ind w:firstLineChars="200" w:firstLine="560"/>
        <w:jc w:val="center"/>
        <w:rPr>
          <w:rFonts w:ascii="宋体" w:hAnsi="宋体" w:cs="宋体" w:hint="eastAsia"/>
          <w:sz w:val="28"/>
          <w:szCs w:val="28"/>
        </w:rPr>
      </w:pPr>
    </w:p>
    <w:p w:rsidR="00331EFA" w:rsidRDefault="00331EFA">
      <w:pPr>
        <w:spacing w:line="360" w:lineRule="auto"/>
        <w:ind w:firstLineChars="200" w:firstLine="560"/>
        <w:jc w:val="center"/>
        <w:rPr>
          <w:rFonts w:ascii="宋体" w:hAnsi="宋体" w:cs="宋体" w:hint="eastAsia"/>
          <w:sz w:val="28"/>
          <w:szCs w:val="28"/>
        </w:rPr>
      </w:pPr>
    </w:p>
    <w:p w:rsidR="004F34D9" w:rsidRPr="00123108" w:rsidRDefault="004F34D9">
      <w:pPr>
        <w:spacing w:line="360" w:lineRule="auto"/>
        <w:rPr>
          <w:rFonts w:ascii="宋体" w:hAnsi="宋体" w:cs="宋体" w:hint="eastAsia"/>
          <w:sz w:val="28"/>
          <w:szCs w:val="28"/>
        </w:rPr>
      </w:pPr>
    </w:p>
    <w:p w:rsidR="004F34D9" w:rsidRPr="00123108" w:rsidRDefault="004F34D9">
      <w:pPr>
        <w:spacing w:line="360" w:lineRule="auto"/>
        <w:jc w:val="center"/>
        <w:rPr>
          <w:rFonts w:ascii="宋体" w:hAnsi="宋体" w:cs="宋体" w:hint="eastAsia"/>
          <w:sz w:val="28"/>
          <w:szCs w:val="28"/>
        </w:rPr>
      </w:pPr>
      <w:r w:rsidRPr="00123108">
        <w:rPr>
          <w:rFonts w:ascii="宋体" w:hAnsi="宋体" w:cs="宋体" w:hint="eastAsia"/>
          <w:sz w:val="28"/>
          <w:szCs w:val="28"/>
        </w:rPr>
        <w:t>附图2.4-1 反应部消防喷淋设施</w:t>
      </w:r>
    </w:p>
    <w:p w:rsidR="004F34D9" w:rsidRPr="00123108" w:rsidRDefault="004F34D9">
      <w:pPr>
        <w:spacing w:line="360" w:lineRule="auto"/>
        <w:rPr>
          <w:rFonts w:ascii="宋体" w:hAnsi="宋体" w:cs="宋体" w:hint="eastAsia"/>
          <w:sz w:val="28"/>
          <w:szCs w:val="28"/>
        </w:rPr>
      </w:pPr>
    </w:p>
    <w:p w:rsidR="004F34D9" w:rsidRPr="00123108" w:rsidRDefault="004F34D9">
      <w:pPr>
        <w:spacing w:line="360" w:lineRule="auto"/>
        <w:jc w:val="center"/>
        <w:rPr>
          <w:rFonts w:ascii="宋体" w:hAnsi="宋体" w:cs="宋体" w:hint="eastAsia"/>
          <w:sz w:val="28"/>
          <w:szCs w:val="28"/>
        </w:rPr>
      </w:pPr>
      <w:r w:rsidRPr="00123108">
        <w:rPr>
          <w:rFonts w:ascii="宋体" w:hAnsi="宋体" w:cs="宋体" w:hint="eastAsia"/>
          <w:sz w:val="28"/>
          <w:szCs w:val="28"/>
        </w:rPr>
        <w:t>附图2.4-2 5#仓库消防喷淋设施</w:t>
      </w:r>
    </w:p>
    <w:p w:rsidR="004F34D9" w:rsidRPr="00123108" w:rsidRDefault="004F34D9">
      <w:pPr>
        <w:spacing w:line="360" w:lineRule="auto"/>
        <w:ind w:firstLineChars="200" w:firstLine="560"/>
        <w:rPr>
          <w:rFonts w:ascii="宋体" w:hAnsi="宋体" w:cs="宋体" w:hint="eastAsia"/>
          <w:sz w:val="28"/>
          <w:szCs w:val="28"/>
        </w:rPr>
      </w:pPr>
      <w:r w:rsidRPr="00123108">
        <w:rPr>
          <w:rFonts w:ascii="宋体" w:hAnsi="宋体" w:cs="宋体" w:hint="eastAsia"/>
          <w:sz w:val="28"/>
          <w:szCs w:val="28"/>
        </w:rPr>
        <w:t>评价小结：经检查，本项目建构筑物布置能够满足规范要求。</w:t>
      </w:r>
    </w:p>
    <w:p w:rsidR="004F34D9" w:rsidRPr="00123108" w:rsidRDefault="004F34D9">
      <w:pPr>
        <w:pStyle w:val="3"/>
        <w:rPr>
          <w:rFonts w:ascii="宋体" w:eastAsia="宋体" w:hAnsi="宋体" w:cs="宋体" w:hint="eastAsia"/>
          <w:sz w:val="28"/>
          <w:lang w:val="zh-CN"/>
        </w:rPr>
      </w:pPr>
      <w:bookmarkStart w:id="1719" w:name="_Toc4909"/>
      <w:bookmarkStart w:id="1720" w:name="_Toc12937"/>
      <w:bookmarkStart w:id="1721" w:name="_Toc12713"/>
      <w:bookmarkStart w:id="1722" w:name="_Toc21311"/>
      <w:bookmarkStart w:id="1723" w:name="_Toc10342"/>
      <w:bookmarkStart w:id="1724" w:name="_Toc23636"/>
      <w:bookmarkStart w:id="1725" w:name="_Toc190935902"/>
      <w:r w:rsidRPr="00123108">
        <w:rPr>
          <w:rFonts w:ascii="宋体" w:eastAsia="宋体" w:hAnsi="宋体" w:cs="宋体" w:hint="eastAsia"/>
          <w:sz w:val="28"/>
          <w:lang w:val="zh-CN"/>
        </w:rPr>
        <w:t>附件2.</w:t>
      </w:r>
      <w:r w:rsidRPr="00123108">
        <w:rPr>
          <w:rFonts w:ascii="宋体" w:eastAsia="宋体" w:hAnsi="宋体" w:cs="宋体" w:hint="eastAsia"/>
          <w:sz w:val="28"/>
        </w:rPr>
        <w:t>4</w:t>
      </w:r>
      <w:r w:rsidRPr="00123108">
        <w:rPr>
          <w:rFonts w:ascii="宋体" w:eastAsia="宋体" w:hAnsi="宋体" w:cs="宋体" w:hint="eastAsia"/>
          <w:sz w:val="28"/>
          <w:lang w:val="zh-CN"/>
        </w:rPr>
        <w:t>.</w:t>
      </w:r>
      <w:bookmarkStart w:id="1726" w:name="_Hlk522203711"/>
      <w:r w:rsidRPr="00123108">
        <w:rPr>
          <w:rFonts w:ascii="宋体" w:eastAsia="宋体" w:hAnsi="宋体" w:cs="宋体" w:hint="eastAsia"/>
          <w:sz w:val="28"/>
        </w:rPr>
        <w:t xml:space="preserve">3  </w:t>
      </w:r>
      <w:r w:rsidRPr="00123108">
        <w:rPr>
          <w:rFonts w:ascii="宋体" w:eastAsia="宋体" w:hAnsi="宋体" w:cs="宋体" w:hint="eastAsia"/>
          <w:sz w:val="28"/>
          <w:lang w:val="zh-CN"/>
        </w:rPr>
        <w:t>生产工艺、设备设施评价</w:t>
      </w:r>
      <w:bookmarkEnd w:id="1717"/>
      <w:bookmarkEnd w:id="1719"/>
      <w:bookmarkEnd w:id="1720"/>
      <w:bookmarkEnd w:id="1721"/>
      <w:bookmarkEnd w:id="1722"/>
      <w:bookmarkEnd w:id="1723"/>
      <w:bookmarkEnd w:id="1724"/>
      <w:bookmarkEnd w:id="1725"/>
      <w:bookmarkEnd w:id="1726"/>
    </w:p>
    <w:p w:rsidR="004F34D9" w:rsidRPr="00123108" w:rsidRDefault="004F34D9">
      <w:pPr>
        <w:spacing w:line="360" w:lineRule="auto"/>
        <w:ind w:firstLine="560"/>
        <w:rPr>
          <w:rFonts w:ascii="宋体" w:hAnsi="宋体" w:cs="宋体" w:hint="eastAsia"/>
          <w:sz w:val="28"/>
        </w:rPr>
      </w:pPr>
      <w:bookmarkStart w:id="1727" w:name="_Hlk522204068"/>
      <w:r w:rsidRPr="00123108">
        <w:rPr>
          <w:rFonts w:ascii="宋体" w:hAnsi="宋体" w:cs="宋体" w:hint="eastAsia"/>
          <w:sz w:val="28"/>
        </w:rPr>
        <w:t>（1）依据</w:t>
      </w:r>
      <w:r w:rsidRPr="00123108">
        <w:rPr>
          <w:rFonts w:ascii="Calibri" w:hAnsi="Calibri" w:hint="eastAsia"/>
          <w:sz w:val="28"/>
          <w:szCs w:val="28"/>
          <w:lang w:val="zh-CN"/>
        </w:rPr>
        <w:t>《中华人民共和国安全生产法》、</w:t>
      </w:r>
      <w:r w:rsidRPr="00123108">
        <w:rPr>
          <w:rFonts w:ascii="宋体" w:hAnsi="宋体" w:cs="宋体" w:hint="eastAsia"/>
          <w:sz w:val="28"/>
        </w:rPr>
        <w:t>《爆炸危险环境电力装置设计规范》GB 50058-2014、《固定式压力容器安全技术监察规程》TSG 21-2016及行业标准第1号修改单TSG 21-2016/XG1-2020、</w:t>
      </w:r>
      <w:r w:rsidRPr="00123108">
        <w:rPr>
          <w:rFonts w:ascii="宋体" w:hAnsi="宋体" w:cs="Arial" w:hint="eastAsia"/>
          <w:sz w:val="28"/>
          <w:szCs w:val="28"/>
        </w:rPr>
        <w:t>《工业企业总平面设计规范》</w:t>
      </w:r>
      <w:r w:rsidRPr="00123108">
        <w:rPr>
          <w:rFonts w:ascii="宋体" w:hAnsi="宋体" w:cs="Arial"/>
          <w:sz w:val="28"/>
          <w:szCs w:val="28"/>
        </w:rPr>
        <w:t>GB50</w:t>
      </w:r>
      <w:r w:rsidRPr="00123108">
        <w:rPr>
          <w:rFonts w:ascii="宋体" w:hAnsi="宋体" w:cs="Arial" w:hint="eastAsia"/>
          <w:sz w:val="28"/>
          <w:szCs w:val="28"/>
        </w:rPr>
        <w:t>187</w:t>
      </w:r>
      <w:r w:rsidRPr="00123108">
        <w:rPr>
          <w:rFonts w:ascii="宋体" w:hAnsi="宋体" w:cs="Arial"/>
          <w:sz w:val="28"/>
          <w:szCs w:val="28"/>
        </w:rPr>
        <w:t>-20</w:t>
      </w:r>
      <w:r w:rsidRPr="00123108">
        <w:rPr>
          <w:rFonts w:ascii="宋体" w:hAnsi="宋体" w:cs="Arial" w:hint="eastAsia"/>
          <w:sz w:val="28"/>
          <w:szCs w:val="28"/>
        </w:rPr>
        <w:t>12、</w:t>
      </w:r>
      <w:r w:rsidRPr="00123108">
        <w:rPr>
          <w:rFonts w:ascii="宋体" w:hint="eastAsia"/>
          <w:sz w:val="28"/>
        </w:rPr>
        <w:t>《工业企业设计卫生标准》GBZ 1-2010</w:t>
      </w:r>
      <w:r w:rsidRPr="00123108">
        <w:rPr>
          <w:rFonts w:ascii="宋体" w:hAnsi="宋体" w:hint="eastAsia"/>
          <w:sz w:val="28"/>
        </w:rPr>
        <w:t>、</w:t>
      </w:r>
      <w:r w:rsidRPr="00123108">
        <w:rPr>
          <w:rFonts w:ascii="宋体" w:hAnsi="宋体" w:cs="Arial" w:hint="eastAsia"/>
          <w:sz w:val="28"/>
          <w:szCs w:val="28"/>
        </w:rPr>
        <w:t>《生产设备安全卫生设计总则》</w:t>
      </w:r>
      <w:r w:rsidRPr="00123108">
        <w:rPr>
          <w:rFonts w:ascii="宋体" w:hAnsi="宋体" w:hint="eastAsia"/>
          <w:sz w:val="28"/>
        </w:rPr>
        <w:t>GB5083-1999、</w:t>
      </w:r>
      <w:r w:rsidRPr="00123108">
        <w:rPr>
          <w:rFonts w:hint="eastAsia"/>
          <w:sz w:val="28"/>
          <w:szCs w:val="28"/>
        </w:rPr>
        <w:t>《生产过程安全卫生要求总则》</w:t>
      </w:r>
      <w:r w:rsidRPr="00123108">
        <w:rPr>
          <w:rFonts w:hint="eastAsia"/>
          <w:sz w:val="28"/>
          <w:szCs w:val="28"/>
        </w:rPr>
        <w:t>GB</w:t>
      </w:r>
      <w:r w:rsidRPr="00123108">
        <w:rPr>
          <w:rFonts w:hint="eastAsia"/>
          <w:spacing w:val="-4"/>
          <w:sz w:val="28"/>
          <w:szCs w:val="28"/>
        </w:rPr>
        <w:t xml:space="preserve">/T </w:t>
      </w:r>
      <w:r w:rsidRPr="00123108">
        <w:rPr>
          <w:rFonts w:hint="eastAsia"/>
          <w:sz w:val="28"/>
          <w:szCs w:val="28"/>
        </w:rPr>
        <w:t>12801-2008</w:t>
      </w:r>
      <w:r w:rsidRPr="00123108">
        <w:rPr>
          <w:rFonts w:ascii="宋体" w:hAnsi="宋体" w:cs="宋体" w:hint="eastAsia"/>
          <w:sz w:val="28"/>
        </w:rPr>
        <w:t>等规范，对项目生产工艺及设备设施情况进行检查，见附表2.4-3-1。</w:t>
      </w:r>
    </w:p>
    <w:p w:rsidR="004F34D9" w:rsidRPr="00123108" w:rsidRDefault="004F34D9">
      <w:pPr>
        <w:spacing w:line="360" w:lineRule="auto"/>
        <w:jc w:val="center"/>
        <w:rPr>
          <w:rFonts w:ascii="黑体" w:eastAsia="黑体" w:hAnsi="宋体"/>
          <w:b/>
          <w:sz w:val="28"/>
        </w:rPr>
      </w:pPr>
      <w:r w:rsidRPr="00123108">
        <w:rPr>
          <w:rFonts w:ascii="黑体" w:eastAsia="黑体" w:hAnsi="宋体" w:hint="eastAsia"/>
          <w:b/>
          <w:sz w:val="28"/>
        </w:rPr>
        <w:t>附表</w:t>
      </w:r>
      <w:r w:rsidRPr="00123108">
        <w:rPr>
          <w:rFonts w:ascii="黑体" w:eastAsia="黑体" w:hAnsi="宋体"/>
          <w:b/>
          <w:sz w:val="28"/>
        </w:rPr>
        <w:t>2</w:t>
      </w:r>
      <w:r w:rsidRPr="00123108">
        <w:rPr>
          <w:rFonts w:ascii="黑体" w:eastAsia="黑体" w:hAnsi="宋体" w:hint="eastAsia"/>
          <w:b/>
          <w:sz w:val="28"/>
        </w:rPr>
        <w:t xml:space="preserve">.4-3-1 </w:t>
      </w:r>
      <w:r w:rsidRPr="00123108">
        <w:rPr>
          <w:rFonts w:ascii="黑体" w:eastAsia="黑体" w:hAnsi="宋体"/>
          <w:b/>
          <w:sz w:val="28"/>
        </w:rPr>
        <w:t xml:space="preserve"> </w:t>
      </w:r>
      <w:r w:rsidRPr="00123108">
        <w:rPr>
          <w:rFonts w:ascii="黑体" w:eastAsia="黑体" w:hAnsi="宋体" w:hint="eastAsia"/>
          <w:b/>
          <w:sz w:val="28"/>
        </w:rPr>
        <w:t>生产工艺及设备设施检查表</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4574"/>
        <w:gridCol w:w="1660"/>
        <w:gridCol w:w="709"/>
        <w:gridCol w:w="1779"/>
      </w:tblGrid>
      <w:tr w:rsidR="004F34D9" w:rsidRPr="00123108">
        <w:trPr>
          <w:trHeight w:val="340"/>
          <w:jc w:val="center"/>
        </w:trPr>
        <w:tc>
          <w:tcPr>
            <w:tcW w:w="679" w:type="dxa"/>
            <w:vAlign w:val="center"/>
          </w:tcPr>
          <w:p w:rsidR="004F34D9" w:rsidRPr="00123108" w:rsidRDefault="004F34D9">
            <w:pPr>
              <w:jc w:val="center"/>
              <w:rPr>
                <w:rFonts w:ascii="宋体"/>
                <w:b/>
                <w:szCs w:val="21"/>
              </w:rPr>
            </w:pPr>
            <w:r w:rsidRPr="00123108">
              <w:rPr>
                <w:rFonts w:ascii="宋体" w:hAnsi="宋体" w:hint="eastAsia"/>
                <w:b/>
                <w:szCs w:val="21"/>
              </w:rPr>
              <w:t>序号</w:t>
            </w:r>
          </w:p>
        </w:tc>
        <w:tc>
          <w:tcPr>
            <w:tcW w:w="4574" w:type="dxa"/>
            <w:vAlign w:val="center"/>
          </w:tcPr>
          <w:p w:rsidR="004F34D9" w:rsidRPr="00123108" w:rsidRDefault="004F34D9">
            <w:pPr>
              <w:jc w:val="center"/>
              <w:rPr>
                <w:rFonts w:ascii="宋体"/>
                <w:b/>
                <w:szCs w:val="21"/>
              </w:rPr>
            </w:pPr>
            <w:r w:rsidRPr="00123108">
              <w:rPr>
                <w:rFonts w:ascii="宋体" w:hAnsi="宋体" w:hint="eastAsia"/>
                <w:b/>
                <w:szCs w:val="21"/>
              </w:rPr>
              <w:t>检查项目及内容</w:t>
            </w:r>
          </w:p>
        </w:tc>
        <w:tc>
          <w:tcPr>
            <w:tcW w:w="1660" w:type="dxa"/>
            <w:vAlign w:val="center"/>
          </w:tcPr>
          <w:p w:rsidR="004F34D9" w:rsidRPr="00123108" w:rsidRDefault="004F34D9">
            <w:pPr>
              <w:jc w:val="center"/>
              <w:rPr>
                <w:rFonts w:ascii="宋体"/>
                <w:b/>
                <w:szCs w:val="21"/>
              </w:rPr>
            </w:pPr>
            <w:r w:rsidRPr="00123108">
              <w:rPr>
                <w:rFonts w:ascii="宋体" w:hAnsi="宋体" w:hint="eastAsia"/>
                <w:b/>
                <w:szCs w:val="21"/>
              </w:rPr>
              <w:t>依据标准</w:t>
            </w:r>
          </w:p>
        </w:tc>
        <w:tc>
          <w:tcPr>
            <w:tcW w:w="709" w:type="dxa"/>
            <w:vAlign w:val="center"/>
          </w:tcPr>
          <w:p w:rsidR="004F34D9" w:rsidRPr="00123108" w:rsidRDefault="004F34D9">
            <w:pPr>
              <w:jc w:val="center"/>
              <w:rPr>
                <w:rFonts w:ascii="宋体"/>
                <w:b/>
                <w:szCs w:val="21"/>
              </w:rPr>
            </w:pPr>
            <w:r w:rsidRPr="00123108">
              <w:rPr>
                <w:rFonts w:ascii="宋体" w:hAnsi="宋体" w:hint="eastAsia"/>
                <w:b/>
                <w:szCs w:val="21"/>
              </w:rPr>
              <w:t>检查结果</w:t>
            </w:r>
          </w:p>
        </w:tc>
        <w:tc>
          <w:tcPr>
            <w:tcW w:w="1779" w:type="dxa"/>
            <w:vAlign w:val="center"/>
          </w:tcPr>
          <w:p w:rsidR="004F34D9" w:rsidRPr="00123108" w:rsidRDefault="004F34D9">
            <w:pPr>
              <w:jc w:val="center"/>
              <w:rPr>
                <w:rFonts w:ascii="宋体"/>
                <w:b/>
                <w:szCs w:val="21"/>
              </w:rPr>
            </w:pPr>
            <w:r w:rsidRPr="00123108">
              <w:rPr>
                <w:rFonts w:ascii="宋体" w:hAnsi="宋体" w:hint="eastAsia"/>
                <w:b/>
                <w:szCs w:val="21"/>
              </w:rPr>
              <w:t>实际情况说明</w:t>
            </w:r>
          </w:p>
        </w:tc>
      </w:tr>
      <w:tr w:rsidR="004F34D9" w:rsidRPr="00123108">
        <w:trPr>
          <w:trHeight w:val="340"/>
          <w:jc w:val="center"/>
        </w:trPr>
        <w:tc>
          <w:tcPr>
            <w:tcW w:w="679" w:type="dxa"/>
            <w:vAlign w:val="center"/>
          </w:tcPr>
          <w:p w:rsidR="004F34D9" w:rsidRPr="00123108" w:rsidRDefault="004F34D9">
            <w:pPr>
              <w:jc w:val="center"/>
              <w:rPr>
                <w:b/>
                <w:bCs/>
                <w:szCs w:val="21"/>
              </w:rPr>
            </w:pPr>
            <w:r w:rsidRPr="00123108">
              <w:rPr>
                <w:rFonts w:hint="eastAsia"/>
                <w:b/>
                <w:bCs/>
                <w:szCs w:val="21"/>
              </w:rPr>
              <w:t>一</w:t>
            </w:r>
          </w:p>
        </w:tc>
        <w:tc>
          <w:tcPr>
            <w:tcW w:w="8722" w:type="dxa"/>
            <w:gridSpan w:val="4"/>
            <w:vAlign w:val="center"/>
          </w:tcPr>
          <w:p w:rsidR="004F34D9" w:rsidRPr="00123108" w:rsidRDefault="004F34D9">
            <w:pPr>
              <w:rPr>
                <w:b/>
                <w:bCs/>
                <w:szCs w:val="21"/>
              </w:rPr>
            </w:pPr>
            <w:r w:rsidRPr="00123108">
              <w:rPr>
                <w:rFonts w:hint="eastAsia"/>
                <w:b/>
                <w:bCs/>
                <w:szCs w:val="21"/>
              </w:rPr>
              <w:t>工艺</w:t>
            </w:r>
          </w:p>
        </w:tc>
      </w:tr>
      <w:tr w:rsidR="004F34D9" w:rsidRPr="00123108">
        <w:trPr>
          <w:trHeight w:val="340"/>
          <w:jc w:val="center"/>
        </w:trPr>
        <w:tc>
          <w:tcPr>
            <w:tcW w:w="679" w:type="dxa"/>
            <w:vAlign w:val="center"/>
          </w:tcPr>
          <w:p w:rsidR="004F34D9" w:rsidRPr="00123108" w:rsidRDefault="004F34D9">
            <w:pPr>
              <w:jc w:val="center"/>
              <w:rPr>
                <w:b/>
                <w:bCs/>
                <w:szCs w:val="21"/>
              </w:rPr>
            </w:pPr>
            <w:r w:rsidRPr="00123108">
              <w:rPr>
                <w:rFonts w:ascii="宋体" w:hAnsi="宋体"/>
                <w:szCs w:val="21"/>
              </w:rPr>
              <w:t xml:space="preserve"> 1</w:t>
            </w:r>
          </w:p>
        </w:tc>
        <w:tc>
          <w:tcPr>
            <w:tcW w:w="4574" w:type="dxa"/>
          </w:tcPr>
          <w:p w:rsidR="004F34D9" w:rsidRPr="00123108" w:rsidRDefault="004F34D9" w:rsidP="000D1CAF">
            <w:pPr>
              <w:autoSpaceDE w:val="0"/>
              <w:autoSpaceDN w:val="0"/>
              <w:adjustRightInd w:val="0"/>
              <w:snapToGrid w:val="0"/>
              <w:jc w:val="left"/>
              <w:rPr>
                <w:rFonts w:ascii="宋体" w:hAnsi="Calibri"/>
              </w:rPr>
            </w:pPr>
            <w:r w:rsidRPr="00123108">
              <w:rPr>
                <w:rFonts w:ascii="Calibri" w:hAnsi="Calibri" w:hint="eastAsia"/>
                <w:szCs w:val="21"/>
                <w:lang w:val="zh-CN"/>
              </w:rPr>
              <w:t>生产工艺方法是否为国家明令淘汰、禁止使用的工艺方法</w:t>
            </w:r>
          </w:p>
        </w:tc>
        <w:tc>
          <w:tcPr>
            <w:tcW w:w="1660" w:type="dxa"/>
          </w:tcPr>
          <w:p w:rsidR="004F34D9" w:rsidRPr="00123108" w:rsidRDefault="004F34D9">
            <w:pPr>
              <w:autoSpaceDE w:val="0"/>
              <w:autoSpaceDN w:val="0"/>
              <w:adjustRightInd w:val="0"/>
              <w:spacing w:line="300" w:lineRule="exact"/>
              <w:rPr>
                <w:rFonts w:ascii="Calibri" w:hAnsi="Calibri" w:hint="eastAsia"/>
                <w:szCs w:val="21"/>
                <w:lang w:val="zh-CN"/>
              </w:rPr>
            </w:pPr>
            <w:r w:rsidRPr="00123108">
              <w:rPr>
                <w:rFonts w:ascii="Calibri" w:hAnsi="Calibri" w:hint="eastAsia"/>
                <w:szCs w:val="21"/>
                <w:lang w:val="zh-CN"/>
              </w:rPr>
              <w:t>《安全生产法》</w:t>
            </w:r>
          </w:p>
          <w:p w:rsidR="004F34D9" w:rsidRPr="00123108" w:rsidRDefault="004F34D9" w:rsidP="000D1CAF">
            <w:pPr>
              <w:autoSpaceDE w:val="0"/>
              <w:autoSpaceDN w:val="0"/>
              <w:adjustRightInd w:val="0"/>
              <w:snapToGrid w:val="0"/>
              <w:jc w:val="left"/>
              <w:rPr>
                <w:rFonts w:ascii="宋体" w:hAnsi="Calibri"/>
              </w:rPr>
            </w:pPr>
            <w:r w:rsidRPr="00123108">
              <w:rPr>
                <w:rFonts w:ascii="Calibri" w:hAnsi="Calibri" w:hint="eastAsia"/>
                <w:szCs w:val="21"/>
                <w:lang w:val="zh-CN"/>
              </w:rPr>
              <w:t>第三十一条</w:t>
            </w:r>
          </w:p>
        </w:tc>
        <w:tc>
          <w:tcPr>
            <w:tcW w:w="709" w:type="dxa"/>
            <w:vAlign w:val="center"/>
          </w:tcPr>
          <w:p w:rsidR="004F34D9" w:rsidRPr="00123108" w:rsidRDefault="004F34D9" w:rsidP="000D1CAF">
            <w:pPr>
              <w:autoSpaceDE w:val="0"/>
              <w:autoSpaceDN w:val="0"/>
              <w:adjustRightInd w:val="0"/>
              <w:snapToGrid w:val="0"/>
              <w:jc w:val="left"/>
              <w:rPr>
                <w:rFonts w:ascii="宋体" w:hAnsi="Calibri"/>
              </w:rPr>
            </w:pPr>
            <w:r w:rsidRPr="00123108">
              <w:rPr>
                <w:rFonts w:ascii="宋体" w:hAnsi="宋体" w:hint="eastAsia"/>
              </w:rPr>
              <w:t>符合</w:t>
            </w:r>
          </w:p>
        </w:tc>
        <w:tc>
          <w:tcPr>
            <w:tcW w:w="1779" w:type="dxa"/>
            <w:vAlign w:val="center"/>
          </w:tcPr>
          <w:p w:rsidR="004F34D9" w:rsidRPr="00123108" w:rsidRDefault="004F34D9" w:rsidP="000D1CAF">
            <w:pPr>
              <w:autoSpaceDE w:val="0"/>
              <w:autoSpaceDN w:val="0"/>
              <w:adjustRightInd w:val="0"/>
              <w:snapToGrid w:val="0"/>
              <w:jc w:val="left"/>
              <w:rPr>
                <w:rFonts w:ascii="宋体" w:hAnsi="Calibri"/>
              </w:rPr>
            </w:pPr>
            <w:r w:rsidRPr="00123108">
              <w:rPr>
                <w:rFonts w:ascii="宋体" w:hAnsi="宋体" w:hint="eastAsia"/>
              </w:rPr>
              <w:t>未采用淘汰、</w:t>
            </w:r>
            <w:r w:rsidRPr="00123108">
              <w:rPr>
                <w:rFonts w:ascii="宋体" w:hAnsi="宋体" w:cs="宋体" w:hint="eastAsia"/>
                <w:kern w:val="0"/>
                <w:szCs w:val="21"/>
              </w:rPr>
              <w:t>禁止使用工艺</w:t>
            </w:r>
          </w:p>
        </w:tc>
      </w:tr>
      <w:tr w:rsidR="004F34D9" w:rsidRPr="00123108">
        <w:trPr>
          <w:trHeight w:val="340"/>
          <w:jc w:val="center"/>
        </w:trPr>
        <w:tc>
          <w:tcPr>
            <w:tcW w:w="679" w:type="dxa"/>
            <w:vAlign w:val="center"/>
          </w:tcPr>
          <w:p w:rsidR="004F34D9" w:rsidRPr="00123108" w:rsidRDefault="004F34D9">
            <w:pPr>
              <w:jc w:val="center"/>
              <w:rPr>
                <w:rFonts w:ascii="宋体" w:hAnsi="宋体"/>
                <w:szCs w:val="21"/>
              </w:rPr>
            </w:pPr>
            <w:r w:rsidRPr="00123108">
              <w:rPr>
                <w:rFonts w:ascii="宋体" w:hAnsi="宋体" w:hint="eastAsia"/>
                <w:szCs w:val="21"/>
              </w:rPr>
              <w:t>2</w:t>
            </w:r>
          </w:p>
        </w:tc>
        <w:tc>
          <w:tcPr>
            <w:tcW w:w="4574" w:type="dxa"/>
            <w:vAlign w:val="center"/>
          </w:tcPr>
          <w:p w:rsidR="004F34D9" w:rsidRPr="00123108" w:rsidRDefault="004F34D9" w:rsidP="000D1CAF">
            <w:pPr>
              <w:autoSpaceDE w:val="0"/>
              <w:autoSpaceDN w:val="0"/>
              <w:adjustRightInd w:val="0"/>
              <w:snapToGrid w:val="0"/>
              <w:jc w:val="left"/>
              <w:rPr>
                <w:rFonts w:ascii="宋体" w:hAnsi="宋体" w:cs="宋体" w:hint="eastAsia"/>
              </w:rPr>
            </w:pPr>
            <w:r w:rsidRPr="00123108">
              <w:rPr>
                <w:rFonts w:ascii="宋体" w:hAnsi="宋体" w:cs="宋体" w:hint="eastAsia"/>
                <w:szCs w:val="21"/>
                <w:lang w:val="zh-CN"/>
              </w:rPr>
              <w:t>生产经营单位应当在有较大危险因素的生产经营场所和有关设施、设备上，</w:t>
            </w:r>
            <w:r w:rsidRPr="00123108">
              <w:rPr>
                <w:rFonts w:ascii="宋体" w:hAnsi="宋体" w:cs="宋体" w:hint="eastAsia"/>
                <w:kern w:val="0"/>
                <w:szCs w:val="21"/>
              </w:rPr>
              <w:t>设置明显的安全警示标志</w:t>
            </w:r>
            <w:r w:rsidRPr="00123108">
              <w:rPr>
                <w:rFonts w:ascii="宋体" w:hAnsi="宋体" w:cs="宋体" w:hint="eastAsia"/>
                <w:szCs w:val="21"/>
                <w:lang w:val="zh-CN"/>
              </w:rPr>
              <w:t>。</w:t>
            </w:r>
          </w:p>
        </w:tc>
        <w:tc>
          <w:tcPr>
            <w:tcW w:w="1660" w:type="dxa"/>
            <w:vAlign w:val="center"/>
          </w:tcPr>
          <w:p w:rsidR="004F34D9" w:rsidRPr="00123108" w:rsidRDefault="004F34D9">
            <w:pPr>
              <w:jc w:val="center"/>
              <w:rPr>
                <w:rFonts w:ascii="宋体" w:hAnsi="宋体" w:cs="宋体" w:hint="eastAsia"/>
                <w:szCs w:val="21"/>
                <w:lang w:val="zh-CN"/>
              </w:rPr>
            </w:pPr>
            <w:r w:rsidRPr="00123108">
              <w:rPr>
                <w:rFonts w:ascii="宋体" w:hAnsi="宋体" w:cs="宋体" w:hint="eastAsia"/>
                <w:szCs w:val="21"/>
                <w:lang w:val="zh-CN"/>
              </w:rPr>
              <w:t>《安全生产法》</w:t>
            </w:r>
          </w:p>
          <w:p w:rsidR="004F34D9" w:rsidRPr="00123108" w:rsidRDefault="004F34D9">
            <w:pPr>
              <w:jc w:val="center"/>
              <w:rPr>
                <w:rFonts w:ascii="宋体" w:hAnsi="宋体" w:cs="宋体" w:hint="eastAsia"/>
                <w:szCs w:val="21"/>
              </w:rPr>
            </w:pPr>
            <w:r w:rsidRPr="00123108">
              <w:rPr>
                <w:rFonts w:ascii="宋体" w:hAnsi="宋体" w:cs="宋体" w:hint="eastAsia"/>
                <w:szCs w:val="21"/>
                <w:lang w:val="zh-CN"/>
              </w:rPr>
              <w:t>第三十</w:t>
            </w:r>
            <w:r w:rsidRPr="00123108">
              <w:rPr>
                <w:rFonts w:ascii="宋体" w:hAnsi="宋体" w:cs="宋体" w:hint="eastAsia"/>
                <w:szCs w:val="21"/>
              </w:rPr>
              <w:t>五</w:t>
            </w:r>
            <w:r w:rsidRPr="00123108">
              <w:rPr>
                <w:rFonts w:ascii="宋体" w:hAnsi="宋体" w:cs="宋体" w:hint="eastAsia"/>
                <w:szCs w:val="21"/>
                <w:lang w:val="zh-CN"/>
              </w:rPr>
              <w:t>条</w:t>
            </w:r>
          </w:p>
        </w:tc>
        <w:tc>
          <w:tcPr>
            <w:tcW w:w="709" w:type="dxa"/>
            <w:vAlign w:val="center"/>
          </w:tcPr>
          <w:p w:rsidR="004F34D9" w:rsidRPr="00123108" w:rsidRDefault="004F34D9">
            <w:pPr>
              <w:jc w:val="center"/>
              <w:rPr>
                <w:rFonts w:ascii="宋体" w:hAnsi="宋体" w:hint="eastAsia"/>
              </w:rPr>
            </w:pPr>
            <w:r w:rsidRPr="00123108">
              <w:rPr>
                <w:rFonts w:ascii="宋体" w:hAnsi="宋体" w:hint="eastAsia"/>
              </w:rPr>
              <w:t>符合</w:t>
            </w:r>
          </w:p>
        </w:tc>
        <w:tc>
          <w:tcPr>
            <w:tcW w:w="1779" w:type="dxa"/>
            <w:vAlign w:val="center"/>
          </w:tcPr>
          <w:p w:rsidR="004F34D9" w:rsidRPr="00123108" w:rsidRDefault="004F34D9" w:rsidP="000D1CAF">
            <w:pPr>
              <w:autoSpaceDE w:val="0"/>
              <w:autoSpaceDN w:val="0"/>
              <w:adjustRightInd w:val="0"/>
              <w:snapToGrid w:val="0"/>
              <w:jc w:val="left"/>
              <w:rPr>
                <w:rFonts w:ascii="宋体" w:hAnsi="宋体"/>
              </w:rPr>
            </w:pPr>
            <w:r w:rsidRPr="00123108">
              <w:rPr>
                <w:rFonts w:ascii="宋体" w:hAnsi="宋体" w:cs="宋体" w:hint="eastAsia"/>
                <w:kern w:val="0"/>
                <w:szCs w:val="21"/>
              </w:rPr>
              <w:t>相关场所设置安全警示标志</w:t>
            </w:r>
          </w:p>
        </w:tc>
      </w:tr>
      <w:tr w:rsidR="004F34D9" w:rsidRPr="00123108">
        <w:trPr>
          <w:trHeight w:val="340"/>
          <w:jc w:val="center"/>
        </w:trPr>
        <w:tc>
          <w:tcPr>
            <w:tcW w:w="679" w:type="dxa"/>
            <w:vAlign w:val="center"/>
          </w:tcPr>
          <w:p w:rsidR="004F34D9" w:rsidRPr="00123108" w:rsidRDefault="004F34D9">
            <w:pPr>
              <w:jc w:val="center"/>
              <w:rPr>
                <w:rFonts w:ascii="宋体" w:hAnsi="宋体"/>
                <w:szCs w:val="21"/>
              </w:rPr>
            </w:pPr>
            <w:r w:rsidRPr="00123108">
              <w:rPr>
                <w:rFonts w:ascii="宋体" w:hAnsi="宋体" w:hint="eastAsia"/>
                <w:szCs w:val="21"/>
              </w:rPr>
              <w:t>3</w:t>
            </w:r>
          </w:p>
        </w:tc>
        <w:tc>
          <w:tcPr>
            <w:tcW w:w="4574" w:type="dxa"/>
            <w:vAlign w:val="center"/>
          </w:tcPr>
          <w:p w:rsidR="004F34D9" w:rsidRPr="00123108" w:rsidRDefault="004F34D9" w:rsidP="000D1CAF">
            <w:pPr>
              <w:autoSpaceDE w:val="0"/>
              <w:autoSpaceDN w:val="0"/>
              <w:adjustRightInd w:val="0"/>
              <w:snapToGrid w:val="0"/>
              <w:jc w:val="left"/>
            </w:pPr>
            <w:r w:rsidRPr="00123108">
              <w:rPr>
                <w:rFonts w:hint="eastAsia"/>
              </w:rPr>
              <w:t>国家对严重危及生产安全的工艺、设备实行淘汰制度，</w:t>
            </w:r>
            <w:r w:rsidRPr="00123108">
              <w:rPr>
                <w:rFonts w:ascii="宋体" w:hAnsi="宋体" w:cs="宋体" w:hint="eastAsia"/>
                <w:kern w:val="0"/>
                <w:szCs w:val="21"/>
              </w:rPr>
              <w:t>具体目录由国务院应急管理部门会同国务院有关部门制定并公布</w:t>
            </w:r>
            <w:r w:rsidRPr="00123108">
              <w:rPr>
                <w:rFonts w:hint="eastAsia"/>
              </w:rPr>
              <w:t>。法律、行政法规对目录的制定另有规定的，适用其规定。</w:t>
            </w:r>
          </w:p>
          <w:p w:rsidR="004F34D9" w:rsidRPr="00123108" w:rsidRDefault="004F34D9" w:rsidP="000D1CAF">
            <w:pPr>
              <w:autoSpaceDE w:val="0"/>
              <w:autoSpaceDN w:val="0"/>
              <w:adjustRightInd w:val="0"/>
              <w:snapToGrid w:val="0"/>
              <w:jc w:val="left"/>
              <w:rPr>
                <w:rFonts w:hint="eastAsia"/>
              </w:rPr>
            </w:pPr>
            <w:r w:rsidRPr="00123108">
              <w:rPr>
                <w:rFonts w:hint="eastAsia"/>
              </w:rPr>
              <w:t>省、自治区、</w:t>
            </w:r>
            <w:r w:rsidRPr="00123108">
              <w:rPr>
                <w:rFonts w:ascii="宋体" w:hAnsi="宋体" w:cs="宋体" w:hint="eastAsia"/>
                <w:kern w:val="0"/>
                <w:szCs w:val="21"/>
              </w:rPr>
              <w:t>直辖市人民政府可以根据本地区实际情况制定并公布具体目录</w:t>
            </w:r>
            <w:r w:rsidRPr="00123108">
              <w:rPr>
                <w:rFonts w:hint="eastAsia"/>
              </w:rPr>
              <w:t>，对前款规定以外的危及生产安全的工艺、设备予以淘汰。</w:t>
            </w:r>
          </w:p>
          <w:p w:rsidR="004F34D9" w:rsidRPr="00123108" w:rsidRDefault="004F34D9">
            <w:pPr>
              <w:rPr>
                <w:rFonts w:hint="eastAsia"/>
              </w:rPr>
            </w:pPr>
            <w:r w:rsidRPr="00123108">
              <w:rPr>
                <w:rFonts w:hint="eastAsia"/>
              </w:rPr>
              <w:t>生产经营单位不得使用应当淘汰的危及生产安</w:t>
            </w:r>
            <w:r w:rsidRPr="00123108">
              <w:rPr>
                <w:rFonts w:hint="eastAsia"/>
              </w:rPr>
              <w:lastRenderedPageBreak/>
              <w:t>全的工艺、设备。</w:t>
            </w:r>
          </w:p>
        </w:tc>
        <w:tc>
          <w:tcPr>
            <w:tcW w:w="1660" w:type="dxa"/>
            <w:vAlign w:val="center"/>
          </w:tcPr>
          <w:p w:rsidR="004F34D9" w:rsidRPr="00123108" w:rsidRDefault="004F34D9">
            <w:pPr>
              <w:jc w:val="center"/>
              <w:rPr>
                <w:rFonts w:ascii="宋体" w:hAnsi="宋体" w:cs="宋体" w:hint="eastAsia"/>
                <w:szCs w:val="21"/>
                <w:lang w:val="zh-CN"/>
              </w:rPr>
            </w:pPr>
            <w:r w:rsidRPr="00123108">
              <w:rPr>
                <w:rFonts w:ascii="宋体" w:hAnsi="宋体" w:cs="宋体" w:hint="eastAsia"/>
                <w:szCs w:val="21"/>
                <w:lang w:val="zh-CN"/>
              </w:rPr>
              <w:lastRenderedPageBreak/>
              <w:t>《安全生产法》</w:t>
            </w:r>
          </w:p>
          <w:p w:rsidR="004F34D9" w:rsidRPr="00123108" w:rsidRDefault="004F34D9">
            <w:pPr>
              <w:jc w:val="center"/>
              <w:rPr>
                <w:rFonts w:ascii="宋体" w:hAnsi="宋体" w:cs="宋体" w:hint="eastAsia"/>
                <w:szCs w:val="21"/>
                <w:lang w:val="zh-CN"/>
              </w:rPr>
            </w:pPr>
            <w:r w:rsidRPr="00123108">
              <w:rPr>
                <w:rFonts w:ascii="宋体" w:hAnsi="宋体" w:cs="宋体" w:hint="eastAsia"/>
                <w:szCs w:val="21"/>
                <w:lang w:val="zh-CN"/>
              </w:rPr>
              <w:t>第三十</w:t>
            </w:r>
            <w:r w:rsidRPr="00123108">
              <w:rPr>
                <w:rFonts w:ascii="宋体" w:hAnsi="宋体" w:cs="宋体" w:hint="eastAsia"/>
                <w:szCs w:val="21"/>
              </w:rPr>
              <w:t>八</w:t>
            </w:r>
            <w:r w:rsidRPr="00123108">
              <w:rPr>
                <w:rFonts w:ascii="宋体" w:hAnsi="宋体" w:cs="宋体" w:hint="eastAsia"/>
                <w:szCs w:val="21"/>
                <w:lang w:val="zh-CN"/>
              </w:rPr>
              <w:t>条</w:t>
            </w:r>
          </w:p>
        </w:tc>
        <w:tc>
          <w:tcPr>
            <w:tcW w:w="709" w:type="dxa"/>
            <w:vAlign w:val="center"/>
          </w:tcPr>
          <w:p w:rsidR="004F34D9" w:rsidRPr="00123108" w:rsidRDefault="004F34D9">
            <w:pPr>
              <w:jc w:val="center"/>
              <w:rPr>
                <w:rFonts w:ascii="宋体" w:hAnsi="宋体" w:hint="eastAsia"/>
              </w:rPr>
            </w:pPr>
            <w:r w:rsidRPr="00123108">
              <w:rPr>
                <w:rFonts w:ascii="宋体" w:hAnsi="宋体" w:hint="eastAsia"/>
              </w:rPr>
              <w:t>符合</w:t>
            </w:r>
          </w:p>
        </w:tc>
        <w:tc>
          <w:tcPr>
            <w:tcW w:w="1779" w:type="dxa"/>
            <w:vAlign w:val="center"/>
          </w:tcPr>
          <w:p w:rsidR="004F34D9" w:rsidRPr="00123108" w:rsidRDefault="004F34D9" w:rsidP="000D1CAF">
            <w:pPr>
              <w:autoSpaceDE w:val="0"/>
              <w:autoSpaceDN w:val="0"/>
              <w:adjustRightInd w:val="0"/>
              <w:snapToGrid w:val="0"/>
              <w:jc w:val="left"/>
              <w:rPr>
                <w:rFonts w:ascii="宋体" w:hAnsi="宋体"/>
              </w:rPr>
            </w:pPr>
            <w:r w:rsidRPr="00123108">
              <w:rPr>
                <w:rFonts w:ascii="宋体" w:hAnsi="宋体" w:cs="宋体" w:hint="eastAsia"/>
                <w:kern w:val="0"/>
                <w:szCs w:val="21"/>
              </w:rPr>
              <w:t>未使用淘汰设备淘汰工艺</w:t>
            </w:r>
          </w:p>
        </w:tc>
      </w:tr>
      <w:tr w:rsidR="004F34D9" w:rsidRPr="00123108">
        <w:trPr>
          <w:trHeight w:val="340"/>
          <w:jc w:val="center"/>
        </w:trPr>
        <w:tc>
          <w:tcPr>
            <w:tcW w:w="679" w:type="dxa"/>
            <w:vAlign w:val="center"/>
          </w:tcPr>
          <w:p w:rsidR="004F34D9" w:rsidRPr="00123108" w:rsidRDefault="004F34D9">
            <w:pPr>
              <w:jc w:val="center"/>
              <w:rPr>
                <w:rFonts w:ascii="宋体" w:hAnsi="宋体"/>
                <w:szCs w:val="21"/>
              </w:rPr>
            </w:pPr>
            <w:r w:rsidRPr="00123108">
              <w:rPr>
                <w:rFonts w:ascii="宋体" w:hAnsi="宋体" w:hint="eastAsia"/>
                <w:szCs w:val="21"/>
              </w:rPr>
              <w:t>4</w:t>
            </w:r>
          </w:p>
        </w:tc>
        <w:tc>
          <w:tcPr>
            <w:tcW w:w="4574" w:type="dxa"/>
            <w:vAlign w:val="center"/>
          </w:tcPr>
          <w:p w:rsidR="004F34D9" w:rsidRPr="00123108" w:rsidRDefault="004F34D9" w:rsidP="000D1CAF">
            <w:pPr>
              <w:autoSpaceDE w:val="0"/>
              <w:autoSpaceDN w:val="0"/>
              <w:adjustRightInd w:val="0"/>
              <w:snapToGrid w:val="0"/>
              <w:jc w:val="left"/>
              <w:rPr>
                <w:rFonts w:ascii="宋体" w:hAnsi="Calibri"/>
              </w:rPr>
            </w:pPr>
            <w:r w:rsidRPr="00123108">
              <w:rPr>
                <w:rFonts w:ascii="宋体" w:hAnsi="宋体" w:cs="宋体" w:hint="eastAsia"/>
                <w:kern w:val="0"/>
                <w:szCs w:val="21"/>
              </w:rPr>
              <w:t>原材料和材料是否为国家明令淘汰</w:t>
            </w:r>
            <w:r w:rsidRPr="00123108">
              <w:rPr>
                <w:rFonts w:ascii="Calibri" w:hAnsi="Calibri" w:hint="eastAsia"/>
                <w:szCs w:val="21"/>
                <w:lang w:val="zh-CN"/>
              </w:rPr>
              <w:t>、禁止使用、经营、生产的危险化学品</w:t>
            </w:r>
          </w:p>
        </w:tc>
        <w:tc>
          <w:tcPr>
            <w:tcW w:w="1660" w:type="dxa"/>
            <w:vAlign w:val="center"/>
          </w:tcPr>
          <w:p w:rsidR="004F34D9" w:rsidRPr="00123108" w:rsidRDefault="004F34D9">
            <w:pPr>
              <w:autoSpaceDE w:val="0"/>
              <w:autoSpaceDN w:val="0"/>
              <w:adjustRightInd w:val="0"/>
              <w:spacing w:line="300" w:lineRule="exact"/>
              <w:rPr>
                <w:rFonts w:ascii="宋体" w:hAnsi="Calibri"/>
              </w:rPr>
            </w:pPr>
            <w:r w:rsidRPr="00123108">
              <w:rPr>
                <w:rFonts w:ascii="Calibri" w:hAnsi="Calibri" w:hint="eastAsia"/>
                <w:szCs w:val="21"/>
                <w:lang w:val="zh-CN"/>
              </w:rPr>
              <w:t>《危险化学品生产安全管理条例》第六章第五十七条</w:t>
            </w:r>
          </w:p>
        </w:tc>
        <w:tc>
          <w:tcPr>
            <w:tcW w:w="709" w:type="dxa"/>
            <w:vAlign w:val="center"/>
          </w:tcPr>
          <w:p w:rsidR="004F34D9" w:rsidRPr="00123108" w:rsidRDefault="004F34D9">
            <w:pPr>
              <w:jc w:val="center"/>
              <w:rPr>
                <w:rFonts w:ascii="宋体" w:hAnsi="Calibri"/>
              </w:rPr>
            </w:pPr>
            <w:r w:rsidRPr="00123108">
              <w:rPr>
                <w:rFonts w:ascii="宋体" w:hAnsi="宋体" w:hint="eastAsia"/>
              </w:rPr>
              <w:t>符合</w:t>
            </w:r>
          </w:p>
        </w:tc>
        <w:tc>
          <w:tcPr>
            <w:tcW w:w="1779" w:type="dxa"/>
            <w:vAlign w:val="center"/>
          </w:tcPr>
          <w:p w:rsidR="004F34D9" w:rsidRPr="00123108" w:rsidRDefault="004F34D9" w:rsidP="000D1CAF">
            <w:pPr>
              <w:autoSpaceDE w:val="0"/>
              <w:autoSpaceDN w:val="0"/>
              <w:adjustRightInd w:val="0"/>
              <w:snapToGrid w:val="0"/>
              <w:jc w:val="left"/>
              <w:rPr>
                <w:rFonts w:ascii="宋体" w:hAnsi="宋体" w:cs="宋体"/>
                <w:szCs w:val="21"/>
              </w:rPr>
            </w:pPr>
            <w:r w:rsidRPr="00123108">
              <w:rPr>
                <w:rFonts w:ascii="宋体" w:hAnsi="宋体" w:cs="宋体" w:hint="eastAsia"/>
                <w:szCs w:val="21"/>
              </w:rPr>
              <w:t>未使用国家明令淘汰、禁止使用、经营、生产的危险化学品</w:t>
            </w:r>
          </w:p>
        </w:tc>
      </w:tr>
      <w:tr w:rsidR="004F34D9" w:rsidRPr="00123108">
        <w:trPr>
          <w:trHeight w:val="340"/>
          <w:jc w:val="center"/>
        </w:trPr>
        <w:tc>
          <w:tcPr>
            <w:tcW w:w="679" w:type="dxa"/>
            <w:vAlign w:val="center"/>
          </w:tcPr>
          <w:p w:rsidR="004F34D9" w:rsidRPr="00123108" w:rsidRDefault="004F34D9">
            <w:pPr>
              <w:jc w:val="center"/>
              <w:rPr>
                <w:rFonts w:ascii="宋体" w:hAnsi="宋体" w:hint="eastAsia"/>
                <w:szCs w:val="21"/>
              </w:rPr>
            </w:pPr>
            <w:r w:rsidRPr="00123108">
              <w:rPr>
                <w:rFonts w:ascii="宋体" w:hAnsi="宋体" w:hint="eastAsia"/>
                <w:szCs w:val="21"/>
              </w:rPr>
              <w:t>5</w:t>
            </w:r>
          </w:p>
        </w:tc>
        <w:tc>
          <w:tcPr>
            <w:tcW w:w="4574" w:type="dxa"/>
          </w:tcPr>
          <w:p w:rsidR="004F34D9" w:rsidRPr="00123108" w:rsidRDefault="004F34D9" w:rsidP="000D1CAF">
            <w:pPr>
              <w:autoSpaceDE w:val="0"/>
              <w:autoSpaceDN w:val="0"/>
              <w:adjustRightInd w:val="0"/>
              <w:snapToGrid w:val="0"/>
              <w:jc w:val="left"/>
              <w:rPr>
                <w:rFonts w:ascii="宋体" w:hAnsi="宋体" w:cs="宋体" w:hint="eastAsia"/>
              </w:rPr>
            </w:pPr>
            <w:r w:rsidRPr="00123108">
              <w:rPr>
                <w:rFonts w:ascii="宋体" w:hAnsi="宋体" w:cs="宋体" w:hint="eastAsia"/>
                <w:szCs w:val="21"/>
                <w:lang w:val="zh-CN"/>
              </w:rPr>
              <w:t>具有危险和有害因素的生产过程，应设计可靠的监测仪器、仪表，</w:t>
            </w:r>
            <w:r w:rsidRPr="00123108">
              <w:rPr>
                <w:rFonts w:ascii="宋体" w:hAnsi="宋体" w:cs="宋体" w:hint="eastAsia"/>
                <w:kern w:val="0"/>
                <w:szCs w:val="21"/>
              </w:rPr>
              <w:t>并设计必要的自动报警和自动连锁装置</w:t>
            </w:r>
          </w:p>
        </w:tc>
        <w:tc>
          <w:tcPr>
            <w:tcW w:w="1660"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HG 20571-2014  第2.3.5条</w:t>
            </w:r>
          </w:p>
        </w:tc>
        <w:tc>
          <w:tcPr>
            <w:tcW w:w="709" w:type="dxa"/>
            <w:vAlign w:val="center"/>
          </w:tcPr>
          <w:p w:rsidR="004F34D9" w:rsidRPr="00123108" w:rsidRDefault="004F34D9">
            <w:pPr>
              <w:jc w:val="center"/>
              <w:rPr>
                <w:rFonts w:ascii="宋体"/>
                <w:szCs w:val="21"/>
              </w:rPr>
            </w:pPr>
            <w:r w:rsidRPr="00123108">
              <w:rPr>
                <w:rFonts w:ascii="宋体" w:hAnsi="宋体" w:hint="eastAsia"/>
              </w:rPr>
              <w:t>符合</w:t>
            </w:r>
          </w:p>
        </w:tc>
        <w:tc>
          <w:tcPr>
            <w:tcW w:w="1779" w:type="dxa"/>
            <w:vAlign w:val="center"/>
          </w:tcPr>
          <w:p w:rsidR="004F34D9" w:rsidRPr="00123108" w:rsidRDefault="004F34D9">
            <w:pPr>
              <w:spacing w:line="300" w:lineRule="exact"/>
              <w:rPr>
                <w:rFonts w:ascii="宋体" w:hAnsi="宋体" w:cs="宋体"/>
                <w:szCs w:val="21"/>
              </w:rPr>
            </w:pPr>
            <w:r w:rsidRPr="00123108">
              <w:rPr>
                <w:rFonts w:ascii="宋体" w:hAnsi="宋体" w:cs="宋体" w:hint="eastAsia"/>
                <w:szCs w:val="21"/>
              </w:rPr>
              <w:t>生产过程设有自控系统</w:t>
            </w:r>
          </w:p>
        </w:tc>
      </w:tr>
      <w:tr w:rsidR="004F34D9" w:rsidRPr="00123108">
        <w:trPr>
          <w:trHeight w:val="340"/>
          <w:jc w:val="center"/>
        </w:trPr>
        <w:tc>
          <w:tcPr>
            <w:tcW w:w="679" w:type="dxa"/>
            <w:vAlign w:val="center"/>
          </w:tcPr>
          <w:p w:rsidR="004F34D9" w:rsidRPr="00123108" w:rsidRDefault="004F34D9">
            <w:pPr>
              <w:jc w:val="center"/>
              <w:rPr>
                <w:rFonts w:ascii="宋体" w:hAnsi="宋体" w:hint="eastAsia"/>
                <w:szCs w:val="21"/>
              </w:rPr>
            </w:pPr>
            <w:r w:rsidRPr="00123108">
              <w:rPr>
                <w:rFonts w:ascii="宋体" w:hAnsi="宋体" w:hint="eastAsia"/>
                <w:szCs w:val="21"/>
              </w:rPr>
              <w:t>6</w:t>
            </w:r>
          </w:p>
        </w:tc>
        <w:tc>
          <w:tcPr>
            <w:tcW w:w="4574" w:type="dxa"/>
            <w:vAlign w:val="center"/>
          </w:tcPr>
          <w:p w:rsidR="004F34D9" w:rsidRPr="00123108" w:rsidRDefault="004F34D9" w:rsidP="000D1CAF">
            <w:pPr>
              <w:autoSpaceDE w:val="0"/>
              <w:autoSpaceDN w:val="0"/>
              <w:adjustRightInd w:val="0"/>
              <w:snapToGrid w:val="0"/>
              <w:jc w:val="left"/>
              <w:rPr>
                <w:rFonts w:ascii="宋体" w:hAnsi="宋体" w:cs="宋体" w:hint="eastAsia"/>
                <w:szCs w:val="21"/>
              </w:rPr>
            </w:pPr>
            <w:r w:rsidRPr="00123108">
              <w:rPr>
                <w:rFonts w:ascii="宋体" w:hAnsi="宋体" w:cs="宋体" w:hint="eastAsia"/>
                <w:szCs w:val="21"/>
              </w:rPr>
              <w:t>表面温度超过60℃的设备和管道，</w:t>
            </w:r>
            <w:r w:rsidRPr="00123108">
              <w:rPr>
                <w:rFonts w:ascii="宋体" w:hAnsi="宋体" w:cs="宋体" w:hint="eastAsia"/>
                <w:kern w:val="0"/>
                <w:szCs w:val="21"/>
              </w:rPr>
              <w:t>在下列范围内应设防烫伤隔热层</w:t>
            </w:r>
            <w:r w:rsidRPr="00123108">
              <w:rPr>
                <w:rFonts w:ascii="宋体" w:hAnsi="宋体" w:cs="宋体" w:hint="eastAsia"/>
                <w:szCs w:val="21"/>
              </w:rPr>
              <w:t>：距地面或工作台高度2m以内者；距操作平台周围0.75m以内者。</w:t>
            </w:r>
          </w:p>
        </w:tc>
        <w:tc>
          <w:tcPr>
            <w:tcW w:w="1660"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SH/T 3047-2021</w:t>
            </w:r>
          </w:p>
          <w:p w:rsidR="004F34D9" w:rsidRPr="00123108" w:rsidRDefault="004F34D9">
            <w:pPr>
              <w:jc w:val="center"/>
              <w:rPr>
                <w:rFonts w:ascii="宋体" w:hAnsi="宋体" w:cs="宋体" w:hint="eastAsia"/>
                <w:szCs w:val="21"/>
              </w:rPr>
            </w:pPr>
            <w:r w:rsidRPr="00123108">
              <w:rPr>
                <w:rFonts w:ascii="宋体" w:hAnsi="宋体" w:cs="宋体" w:hint="eastAsia"/>
                <w:szCs w:val="21"/>
              </w:rPr>
              <w:t>第2.10.6条</w:t>
            </w:r>
          </w:p>
        </w:tc>
        <w:tc>
          <w:tcPr>
            <w:tcW w:w="709" w:type="dxa"/>
            <w:vAlign w:val="center"/>
          </w:tcPr>
          <w:p w:rsidR="004F34D9" w:rsidRPr="00123108" w:rsidRDefault="004F34D9">
            <w:pPr>
              <w:jc w:val="center"/>
              <w:rPr>
                <w:rFonts w:ascii="宋体"/>
                <w:szCs w:val="21"/>
              </w:rPr>
            </w:pPr>
            <w:r w:rsidRPr="00123108">
              <w:rPr>
                <w:rFonts w:ascii="宋体" w:hAnsi="宋体" w:hint="eastAsia"/>
              </w:rPr>
              <w:t>符合</w:t>
            </w:r>
          </w:p>
        </w:tc>
        <w:tc>
          <w:tcPr>
            <w:tcW w:w="1779" w:type="dxa"/>
            <w:vAlign w:val="center"/>
          </w:tcPr>
          <w:p w:rsidR="004F34D9" w:rsidRPr="00123108" w:rsidRDefault="004F34D9">
            <w:pPr>
              <w:spacing w:line="300" w:lineRule="exact"/>
              <w:rPr>
                <w:rFonts w:ascii="宋体" w:hAnsi="宋体" w:cs="宋体"/>
                <w:szCs w:val="21"/>
              </w:rPr>
            </w:pPr>
            <w:r w:rsidRPr="00123108">
              <w:rPr>
                <w:rFonts w:ascii="宋体" w:hAnsi="宋体" w:cs="宋体" w:hint="eastAsia"/>
                <w:szCs w:val="21"/>
              </w:rPr>
              <w:t>表面温度超过60℃的设备和管道已设置隔热层</w:t>
            </w:r>
          </w:p>
        </w:tc>
      </w:tr>
      <w:tr w:rsidR="004F34D9" w:rsidRPr="00123108">
        <w:trPr>
          <w:trHeight w:val="340"/>
          <w:jc w:val="center"/>
        </w:trPr>
        <w:tc>
          <w:tcPr>
            <w:tcW w:w="679" w:type="dxa"/>
            <w:vAlign w:val="center"/>
          </w:tcPr>
          <w:p w:rsidR="004F34D9" w:rsidRPr="00123108" w:rsidRDefault="004F34D9">
            <w:pPr>
              <w:jc w:val="center"/>
              <w:rPr>
                <w:rFonts w:ascii="宋体" w:hAnsi="宋体" w:hint="eastAsia"/>
                <w:szCs w:val="21"/>
              </w:rPr>
            </w:pPr>
            <w:r w:rsidRPr="00123108">
              <w:rPr>
                <w:rFonts w:ascii="宋体" w:hAnsi="宋体" w:hint="eastAsia"/>
                <w:szCs w:val="21"/>
              </w:rPr>
              <w:t>7</w:t>
            </w:r>
          </w:p>
        </w:tc>
        <w:tc>
          <w:tcPr>
            <w:tcW w:w="4574" w:type="dxa"/>
            <w:vAlign w:val="center"/>
          </w:tcPr>
          <w:p w:rsidR="004F34D9" w:rsidRPr="00123108" w:rsidRDefault="004F34D9" w:rsidP="000D1CAF">
            <w:pPr>
              <w:autoSpaceDE w:val="0"/>
              <w:autoSpaceDN w:val="0"/>
              <w:adjustRightInd w:val="0"/>
              <w:snapToGrid w:val="0"/>
              <w:jc w:val="left"/>
              <w:rPr>
                <w:rFonts w:ascii="宋体" w:hAnsi="宋体" w:cs="宋体" w:hint="eastAsia"/>
                <w:szCs w:val="21"/>
              </w:rPr>
            </w:pPr>
            <w:r w:rsidRPr="00123108">
              <w:rPr>
                <w:rFonts w:ascii="宋体" w:hAnsi="宋体" w:cs="宋体" w:hint="eastAsia"/>
                <w:szCs w:val="21"/>
              </w:rPr>
              <w:t>生产、储存危险化学品的单位，</w:t>
            </w:r>
            <w:r w:rsidRPr="00123108">
              <w:rPr>
                <w:rFonts w:ascii="宋体" w:hAnsi="宋体" w:cs="宋体" w:hint="eastAsia"/>
                <w:kern w:val="0"/>
                <w:szCs w:val="21"/>
              </w:rPr>
              <w:t>应当对其铺设的危险化学品管道设置明显标志</w:t>
            </w:r>
            <w:r w:rsidRPr="00123108">
              <w:rPr>
                <w:rFonts w:ascii="宋体" w:hAnsi="宋体" w:cs="宋体" w:hint="eastAsia"/>
                <w:szCs w:val="21"/>
              </w:rPr>
              <w:t>，并对危险化学品管道定期检查、检测。</w:t>
            </w:r>
          </w:p>
        </w:tc>
        <w:tc>
          <w:tcPr>
            <w:tcW w:w="1660"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《危险化学品安全管理条例》第十三条</w:t>
            </w:r>
          </w:p>
        </w:tc>
        <w:tc>
          <w:tcPr>
            <w:tcW w:w="709" w:type="dxa"/>
            <w:vAlign w:val="center"/>
          </w:tcPr>
          <w:p w:rsidR="004F34D9" w:rsidRPr="00123108" w:rsidRDefault="004F34D9">
            <w:pPr>
              <w:jc w:val="center"/>
              <w:rPr>
                <w:rFonts w:ascii="宋体"/>
                <w:szCs w:val="21"/>
              </w:rPr>
            </w:pPr>
            <w:r w:rsidRPr="00123108">
              <w:rPr>
                <w:rFonts w:ascii="宋体" w:hint="eastAsia"/>
                <w:szCs w:val="21"/>
              </w:rPr>
              <w:t>不符合</w:t>
            </w:r>
          </w:p>
        </w:tc>
        <w:tc>
          <w:tcPr>
            <w:tcW w:w="1779" w:type="dxa"/>
            <w:vAlign w:val="center"/>
          </w:tcPr>
          <w:p w:rsidR="004F34D9" w:rsidRPr="00123108" w:rsidRDefault="004F34D9" w:rsidP="000D1CAF">
            <w:pPr>
              <w:autoSpaceDE w:val="0"/>
              <w:autoSpaceDN w:val="0"/>
              <w:adjustRightInd w:val="0"/>
              <w:snapToGrid w:val="0"/>
              <w:jc w:val="left"/>
              <w:rPr>
                <w:rFonts w:ascii="宋体"/>
                <w:szCs w:val="21"/>
              </w:rPr>
            </w:pPr>
            <w:r w:rsidRPr="00123108">
              <w:rPr>
                <w:rFonts w:ascii="宋体" w:hAnsi="宋体" w:cs="宋体" w:hint="eastAsia"/>
                <w:kern w:val="0"/>
                <w:szCs w:val="21"/>
              </w:rPr>
              <w:t>管廊架界面图与实际不一致</w:t>
            </w:r>
            <w:r w:rsidRPr="00123108">
              <w:rPr>
                <w:rFonts w:ascii="宋体" w:hAnsi="宋体" w:cs="宋体" w:hint="eastAsia"/>
                <w:szCs w:val="21"/>
              </w:rPr>
              <w:t>；压力管道定期检测</w:t>
            </w:r>
          </w:p>
        </w:tc>
      </w:tr>
      <w:tr w:rsidR="004F34D9" w:rsidRPr="00123108">
        <w:trPr>
          <w:trHeight w:val="340"/>
          <w:jc w:val="center"/>
        </w:trPr>
        <w:tc>
          <w:tcPr>
            <w:tcW w:w="679" w:type="dxa"/>
            <w:vAlign w:val="center"/>
          </w:tcPr>
          <w:p w:rsidR="004F34D9" w:rsidRPr="00123108" w:rsidRDefault="004F34D9">
            <w:pPr>
              <w:jc w:val="center"/>
              <w:rPr>
                <w:rFonts w:ascii="宋体" w:hint="eastAsia"/>
                <w:szCs w:val="21"/>
              </w:rPr>
            </w:pPr>
            <w:r w:rsidRPr="00123108">
              <w:rPr>
                <w:rFonts w:ascii="宋体" w:hAnsi="宋体" w:hint="eastAsia"/>
                <w:szCs w:val="21"/>
              </w:rPr>
              <w:t>8</w:t>
            </w:r>
          </w:p>
        </w:tc>
        <w:tc>
          <w:tcPr>
            <w:tcW w:w="4574" w:type="dxa"/>
            <w:vAlign w:val="center"/>
          </w:tcPr>
          <w:p w:rsidR="004F34D9" w:rsidRPr="00123108" w:rsidRDefault="004F34D9" w:rsidP="000D1CAF">
            <w:pPr>
              <w:autoSpaceDE w:val="0"/>
              <w:autoSpaceDN w:val="0"/>
              <w:adjustRightInd w:val="0"/>
              <w:snapToGrid w:val="0"/>
              <w:jc w:val="left"/>
              <w:rPr>
                <w:rFonts w:ascii="宋体" w:hAnsi="宋体" w:cs="宋体" w:hint="eastAsia"/>
                <w:szCs w:val="21"/>
              </w:rPr>
            </w:pPr>
            <w:r w:rsidRPr="00123108">
              <w:rPr>
                <w:rFonts w:ascii="宋体" w:hAnsi="宋体" w:cs="宋体" w:hint="eastAsia"/>
                <w:szCs w:val="21"/>
              </w:rPr>
              <w:t>生产、储存危险化学品的单位，应当在其作业场所设置通信、报警装置，并保证处于适用状态。</w:t>
            </w:r>
          </w:p>
        </w:tc>
        <w:tc>
          <w:tcPr>
            <w:tcW w:w="1660"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《危险化学品安全管理条例》第二十一条</w:t>
            </w:r>
          </w:p>
        </w:tc>
        <w:tc>
          <w:tcPr>
            <w:tcW w:w="709" w:type="dxa"/>
            <w:vAlign w:val="center"/>
          </w:tcPr>
          <w:p w:rsidR="004F34D9" w:rsidRPr="00123108" w:rsidRDefault="004F34D9">
            <w:pPr>
              <w:spacing w:line="300" w:lineRule="exact"/>
              <w:jc w:val="center"/>
              <w:rPr>
                <w:rFonts w:ascii="宋体" w:hAnsi="宋体" w:hint="eastAsia"/>
                <w:szCs w:val="21"/>
              </w:rPr>
            </w:pPr>
            <w:r w:rsidRPr="00123108">
              <w:rPr>
                <w:rFonts w:ascii="宋体" w:hAnsi="宋体" w:hint="eastAsia"/>
                <w:szCs w:val="21"/>
              </w:rPr>
              <w:t>符合</w:t>
            </w:r>
          </w:p>
        </w:tc>
        <w:tc>
          <w:tcPr>
            <w:tcW w:w="1779" w:type="dxa"/>
            <w:vAlign w:val="center"/>
          </w:tcPr>
          <w:p w:rsidR="004F34D9" w:rsidRPr="00123108" w:rsidRDefault="004F34D9" w:rsidP="000D1CAF">
            <w:pPr>
              <w:autoSpaceDE w:val="0"/>
              <w:autoSpaceDN w:val="0"/>
              <w:adjustRightInd w:val="0"/>
              <w:snapToGrid w:val="0"/>
              <w:jc w:val="left"/>
              <w:rPr>
                <w:rFonts w:ascii="宋体" w:hAnsi="宋体"/>
                <w:szCs w:val="21"/>
              </w:rPr>
            </w:pPr>
            <w:r w:rsidRPr="00123108">
              <w:rPr>
                <w:rFonts w:ascii="宋体" w:hAnsi="宋体" w:hint="eastAsia"/>
                <w:szCs w:val="21"/>
              </w:rPr>
              <w:t>设置报警设施；</w:t>
            </w:r>
            <w:r w:rsidRPr="00123108">
              <w:rPr>
                <w:rFonts w:ascii="宋体" w:hAnsi="宋体" w:cs="宋体" w:hint="eastAsia"/>
                <w:kern w:val="0"/>
                <w:szCs w:val="21"/>
              </w:rPr>
              <w:t>通信采用防爆对讲机及防爆手机</w:t>
            </w:r>
          </w:p>
        </w:tc>
      </w:tr>
      <w:tr w:rsidR="004F34D9" w:rsidRPr="00123108">
        <w:trPr>
          <w:trHeight w:val="340"/>
          <w:jc w:val="center"/>
        </w:trPr>
        <w:tc>
          <w:tcPr>
            <w:tcW w:w="679" w:type="dxa"/>
            <w:vAlign w:val="center"/>
          </w:tcPr>
          <w:p w:rsidR="004F34D9" w:rsidRPr="00123108" w:rsidRDefault="004F34D9">
            <w:pPr>
              <w:jc w:val="center"/>
              <w:rPr>
                <w:rFonts w:ascii="宋体" w:hAnsi="宋体" w:hint="eastAsia"/>
                <w:szCs w:val="21"/>
              </w:rPr>
            </w:pPr>
            <w:r w:rsidRPr="00123108">
              <w:rPr>
                <w:rFonts w:ascii="宋体" w:hAnsi="宋体" w:hint="eastAsia"/>
                <w:szCs w:val="21"/>
              </w:rPr>
              <w:t>9</w:t>
            </w:r>
          </w:p>
        </w:tc>
        <w:tc>
          <w:tcPr>
            <w:tcW w:w="4574" w:type="dxa"/>
            <w:vAlign w:val="center"/>
          </w:tcPr>
          <w:p w:rsidR="004F34D9" w:rsidRPr="00123108" w:rsidRDefault="004F34D9" w:rsidP="000D1CAF">
            <w:pPr>
              <w:autoSpaceDE w:val="0"/>
              <w:autoSpaceDN w:val="0"/>
              <w:adjustRightInd w:val="0"/>
              <w:snapToGrid w:val="0"/>
              <w:jc w:val="left"/>
              <w:rPr>
                <w:rFonts w:ascii="宋体" w:hAnsi="宋体" w:hint="eastAsia"/>
                <w:szCs w:val="21"/>
              </w:rPr>
            </w:pPr>
            <w:r w:rsidRPr="00123108">
              <w:rPr>
                <w:rFonts w:ascii="宋体" w:hAnsi="宋体" w:cs="宋体" w:hint="eastAsia"/>
                <w:szCs w:val="21"/>
              </w:rPr>
              <w:t>对具有或能产生危险和有害因素的工艺、作业、施工过程，</w:t>
            </w:r>
            <w:r w:rsidRPr="00123108">
              <w:rPr>
                <w:rFonts w:ascii="宋体" w:hAnsi="宋体" w:cs="宋体" w:hint="eastAsia"/>
                <w:kern w:val="0"/>
                <w:szCs w:val="21"/>
              </w:rPr>
              <w:t>应采用综合机械化</w:t>
            </w:r>
            <w:r w:rsidRPr="00123108">
              <w:rPr>
                <w:rFonts w:ascii="宋体" w:hAnsi="宋体" w:cs="宋体" w:hint="eastAsia"/>
                <w:szCs w:val="21"/>
              </w:rPr>
              <w:t>、自动化或其他措施，实现遥控或隔离操作。</w:t>
            </w:r>
          </w:p>
        </w:tc>
        <w:tc>
          <w:tcPr>
            <w:tcW w:w="1660" w:type="dxa"/>
            <w:vAlign w:val="center"/>
          </w:tcPr>
          <w:p w:rsidR="004F34D9" w:rsidRPr="00123108" w:rsidRDefault="004F34D9">
            <w:pPr>
              <w:spacing w:line="300" w:lineRule="exact"/>
              <w:jc w:val="center"/>
              <w:rPr>
                <w:rFonts w:ascii="宋体" w:hAnsi="宋体" w:hint="eastAsia"/>
                <w:szCs w:val="21"/>
              </w:rPr>
            </w:pPr>
            <w:r w:rsidRPr="00123108">
              <w:rPr>
                <w:rFonts w:ascii="宋体" w:hAnsi="宋体" w:hint="eastAsia"/>
                <w:szCs w:val="21"/>
              </w:rPr>
              <w:t>GB/T 12801-2008</w:t>
            </w:r>
          </w:p>
          <w:p w:rsidR="004F34D9" w:rsidRPr="00123108" w:rsidRDefault="004F34D9">
            <w:pPr>
              <w:spacing w:line="300" w:lineRule="exact"/>
              <w:jc w:val="center"/>
              <w:rPr>
                <w:rFonts w:ascii="宋体" w:hAnsi="宋体" w:hint="eastAsia"/>
                <w:szCs w:val="21"/>
              </w:rPr>
            </w:pPr>
            <w:r w:rsidRPr="00123108">
              <w:rPr>
                <w:rFonts w:ascii="宋体" w:hAnsi="宋体" w:hint="eastAsia"/>
                <w:szCs w:val="21"/>
              </w:rPr>
              <w:t>第5.3.1c条</w:t>
            </w:r>
          </w:p>
        </w:tc>
        <w:tc>
          <w:tcPr>
            <w:tcW w:w="709" w:type="dxa"/>
            <w:vAlign w:val="center"/>
          </w:tcPr>
          <w:p w:rsidR="004F34D9" w:rsidRPr="00123108" w:rsidRDefault="004F34D9">
            <w:pPr>
              <w:spacing w:line="300" w:lineRule="exact"/>
              <w:jc w:val="center"/>
              <w:rPr>
                <w:rFonts w:ascii="宋体" w:hAnsi="宋体" w:hint="eastAsia"/>
                <w:szCs w:val="21"/>
              </w:rPr>
            </w:pPr>
            <w:r w:rsidRPr="00123108">
              <w:rPr>
                <w:rFonts w:ascii="宋体" w:hAnsi="宋体" w:hint="eastAsia"/>
                <w:szCs w:val="21"/>
              </w:rPr>
              <w:t>符合</w:t>
            </w:r>
          </w:p>
        </w:tc>
        <w:tc>
          <w:tcPr>
            <w:tcW w:w="1779" w:type="dxa"/>
            <w:vAlign w:val="center"/>
          </w:tcPr>
          <w:p w:rsidR="004F34D9" w:rsidRPr="00123108" w:rsidRDefault="004F34D9">
            <w:pPr>
              <w:spacing w:line="300" w:lineRule="exact"/>
              <w:rPr>
                <w:rFonts w:ascii="宋体" w:hAnsi="宋体" w:hint="eastAsia"/>
                <w:szCs w:val="21"/>
              </w:rPr>
            </w:pPr>
            <w:r w:rsidRPr="00123108">
              <w:rPr>
                <w:rFonts w:ascii="宋体" w:hAnsi="宋体" w:cs="宋体" w:hint="eastAsia"/>
                <w:szCs w:val="21"/>
              </w:rPr>
              <w:t>作业过程采用自动化措施</w:t>
            </w:r>
          </w:p>
        </w:tc>
      </w:tr>
      <w:tr w:rsidR="004F34D9" w:rsidRPr="00123108">
        <w:trPr>
          <w:trHeight w:val="340"/>
          <w:jc w:val="center"/>
        </w:trPr>
        <w:tc>
          <w:tcPr>
            <w:tcW w:w="679" w:type="dxa"/>
            <w:vAlign w:val="center"/>
          </w:tcPr>
          <w:p w:rsidR="004F34D9" w:rsidRPr="00123108" w:rsidRDefault="004F34D9">
            <w:pPr>
              <w:jc w:val="center"/>
              <w:rPr>
                <w:rFonts w:ascii="宋体" w:hAnsi="宋体" w:hint="eastAsia"/>
                <w:bCs/>
                <w:szCs w:val="21"/>
              </w:rPr>
            </w:pPr>
            <w:r w:rsidRPr="00123108">
              <w:rPr>
                <w:rFonts w:ascii="宋体" w:hAnsi="宋体" w:hint="eastAsia"/>
                <w:bCs/>
                <w:szCs w:val="21"/>
              </w:rPr>
              <w:t>二</w:t>
            </w:r>
          </w:p>
        </w:tc>
        <w:tc>
          <w:tcPr>
            <w:tcW w:w="4574" w:type="dxa"/>
            <w:vAlign w:val="center"/>
          </w:tcPr>
          <w:p w:rsidR="004F34D9" w:rsidRPr="00123108" w:rsidRDefault="004F34D9">
            <w:r w:rsidRPr="00123108">
              <w:rPr>
                <w:rFonts w:hint="eastAsia"/>
              </w:rPr>
              <w:t>设备设施</w:t>
            </w:r>
          </w:p>
        </w:tc>
        <w:tc>
          <w:tcPr>
            <w:tcW w:w="1660" w:type="dxa"/>
            <w:vAlign w:val="center"/>
          </w:tcPr>
          <w:p w:rsidR="004F34D9" w:rsidRPr="00123108" w:rsidRDefault="004F34D9">
            <w:pPr>
              <w:spacing w:line="300" w:lineRule="exact"/>
              <w:jc w:val="center"/>
              <w:rPr>
                <w:rFonts w:ascii="宋体" w:hAnsi="宋体" w:hint="eastAsia"/>
                <w:szCs w:val="21"/>
              </w:rPr>
            </w:pPr>
          </w:p>
        </w:tc>
        <w:tc>
          <w:tcPr>
            <w:tcW w:w="709" w:type="dxa"/>
            <w:vAlign w:val="center"/>
          </w:tcPr>
          <w:p w:rsidR="004F34D9" w:rsidRPr="00123108" w:rsidRDefault="004F34D9">
            <w:pPr>
              <w:spacing w:line="300" w:lineRule="exact"/>
              <w:jc w:val="center"/>
              <w:rPr>
                <w:rFonts w:ascii="宋体" w:hAnsi="宋体" w:hint="eastAsia"/>
                <w:szCs w:val="21"/>
              </w:rPr>
            </w:pPr>
          </w:p>
        </w:tc>
        <w:tc>
          <w:tcPr>
            <w:tcW w:w="1779" w:type="dxa"/>
            <w:vAlign w:val="center"/>
          </w:tcPr>
          <w:p w:rsidR="004F34D9" w:rsidRPr="00123108" w:rsidRDefault="004F34D9">
            <w:pPr>
              <w:spacing w:line="300" w:lineRule="exact"/>
              <w:jc w:val="center"/>
              <w:rPr>
                <w:rFonts w:ascii="宋体" w:hAnsi="宋体" w:hint="eastAsia"/>
                <w:szCs w:val="21"/>
              </w:rPr>
            </w:pPr>
          </w:p>
        </w:tc>
      </w:tr>
      <w:tr w:rsidR="004F34D9" w:rsidRPr="00123108">
        <w:trPr>
          <w:trHeight w:val="340"/>
          <w:jc w:val="center"/>
        </w:trPr>
        <w:tc>
          <w:tcPr>
            <w:tcW w:w="679" w:type="dxa"/>
            <w:vAlign w:val="center"/>
          </w:tcPr>
          <w:p w:rsidR="004F34D9" w:rsidRPr="00123108" w:rsidRDefault="004F34D9">
            <w:pPr>
              <w:jc w:val="center"/>
              <w:rPr>
                <w:rFonts w:ascii="宋体" w:hAnsi="宋体" w:hint="eastAsia"/>
                <w:bCs/>
                <w:szCs w:val="21"/>
              </w:rPr>
            </w:pPr>
            <w:r w:rsidRPr="00123108">
              <w:rPr>
                <w:rFonts w:ascii="宋体" w:hAnsi="宋体" w:hint="eastAsia"/>
                <w:bCs/>
                <w:szCs w:val="21"/>
              </w:rPr>
              <w:t>10</w:t>
            </w:r>
          </w:p>
        </w:tc>
        <w:tc>
          <w:tcPr>
            <w:tcW w:w="4574" w:type="dxa"/>
            <w:vAlign w:val="center"/>
          </w:tcPr>
          <w:p w:rsidR="004F34D9" w:rsidRPr="00123108" w:rsidRDefault="004F34D9">
            <w:pPr>
              <w:spacing w:line="240" w:lineRule="exact"/>
              <w:rPr>
                <w:rFonts w:ascii="宋体" w:hAnsi="宋体" w:hint="eastAsia"/>
                <w:szCs w:val="21"/>
              </w:rPr>
            </w:pPr>
            <w:r w:rsidRPr="00123108">
              <w:rPr>
                <w:rFonts w:ascii="宋体" w:hAnsi="宋体"/>
                <w:szCs w:val="21"/>
              </w:rPr>
              <w:t>在设备、设施、管线上有发生坠落危险的部位，应配置便于人员操作、检查和维修的扶梯、平台、 围栏和系挂装置等附属设施。</w:t>
            </w:r>
          </w:p>
        </w:tc>
        <w:tc>
          <w:tcPr>
            <w:tcW w:w="1660" w:type="dxa"/>
            <w:vAlign w:val="center"/>
          </w:tcPr>
          <w:p w:rsidR="004F34D9" w:rsidRPr="00123108" w:rsidRDefault="004F34D9">
            <w:pPr>
              <w:jc w:val="center"/>
              <w:rPr>
                <w:rFonts w:ascii="宋体" w:hAnsi="宋体" w:hint="eastAsia"/>
                <w:szCs w:val="21"/>
              </w:rPr>
            </w:pPr>
            <w:r w:rsidRPr="00123108">
              <w:rPr>
                <w:rFonts w:ascii="宋体" w:hAnsi="宋体" w:hint="eastAsia"/>
                <w:szCs w:val="21"/>
              </w:rPr>
              <w:t>GB/T 12801-2008</w:t>
            </w:r>
          </w:p>
          <w:p w:rsidR="004F34D9" w:rsidRPr="00123108" w:rsidRDefault="004F34D9">
            <w:pPr>
              <w:jc w:val="center"/>
              <w:rPr>
                <w:rFonts w:ascii="宋体" w:hAnsi="宋体" w:hint="eastAsia"/>
                <w:szCs w:val="21"/>
              </w:rPr>
            </w:pPr>
            <w:r w:rsidRPr="00123108">
              <w:rPr>
                <w:rFonts w:ascii="宋体" w:hAnsi="宋体" w:hint="eastAsia"/>
                <w:szCs w:val="21"/>
              </w:rPr>
              <w:t>第5.7.1条</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hint="eastAsia"/>
                <w:szCs w:val="21"/>
              </w:rPr>
              <w:t>符合</w:t>
            </w:r>
          </w:p>
        </w:tc>
        <w:tc>
          <w:tcPr>
            <w:tcW w:w="1779" w:type="dxa"/>
            <w:vAlign w:val="center"/>
          </w:tcPr>
          <w:p w:rsidR="004F34D9" w:rsidRPr="00123108" w:rsidRDefault="004F34D9">
            <w:pPr>
              <w:spacing w:line="300" w:lineRule="exact"/>
              <w:rPr>
                <w:rFonts w:ascii="宋体" w:hAnsi="宋体" w:hint="eastAsia"/>
                <w:szCs w:val="21"/>
              </w:rPr>
            </w:pPr>
            <w:r w:rsidRPr="00123108">
              <w:rPr>
                <w:rFonts w:ascii="宋体" w:hAnsi="宋体" w:cs="宋体"/>
                <w:szCs w:val="21"/>
              </w:rPr>
              <w:t>有发生坠落危险的部位，配置扶梯、平台、 围栏和系挂装置等附属设施。</w:t>
            </w:r>
          </w:p>
        </w:tc>
      </w:tr>
      <w:tr w:rsidR="004F34D9" w:rsidRPr="00123108">
        <w:trPr>
          <w:trHeight w:val="340"/>
          <w:jc w:val="center"/>
        </w:trPr>
        <w:tc>
          <w:tcPr>
            <w:tcW w:w="679" w:type="dxa"/>
            <w:vAlign w:val="center"/>
          </w:tcPr>
          <w:p w:rsidR="004F34D9" w:rsidRPr="00123108" w:rsidRDefault="004F34D9">
            <w:pPr>
              <w:jc w:val="center"/>
              <w:rPr>
                <w:rFonts w:ascii="宋体" w:hAnsi="宋体" w:hint="eastAsia"/>
                <w:bCs/>
                <w:szCs w:val="21"/>
              </w:rPr>
            </w:pPr>
            <w:r w:rsidRPr="00123108">
              <w:rPr>
                <w:rFonts w:ascii="宋体" w:hAnsi="宋体" w:hint="eastAsia"/>
                <w:bCs/>
                <w:szCs w:val="21"/>
              </w:rPr>
              <w:t>11</w:t>
            </w:r>
          </w:p>
        </w:tc>
        <w:tc>
          <w:tcPr>
            <w:tcW w:w="4574" w:type="dxa"/>
            <w:vAlign w:val="center"/>
          </w:tcPr>
          <w:p w:rsidR="004F34D9" w:rsidRPr="00123108" w:rsidRDefault="004F34D9">
            <w:pPr>
              <w:rPr>
                <w:rFonts w:ascii="宋体" w:hAnsi="宋体" w:cs="宋体" w:hint="eastAsia"/>
              </w:rPr>
            </w:pPr>
            <w:r w:rsidRPr="00123108">
              <w:rPr>
                <w:rFonts w:ascii="宋体" w:hAnsi="宋体" w:hint="eastAsia"/>
                <w:szCs w:val="21"/>
              </w:rPr>
              <w:t>易被腐蚀或空蚀的生产设备及其零部件应选用耐腐蚀或耐空蚀材料制造，并应采取防蚀措施。</w:t>
            </w:r>
            <w:r w:rsidRPr="00123108">
              <w:rPr>
                <w:rFonts w:ascii="宋体" w:hAnsi="宋体" w:cs="宋体" w:hint="eastAsia"/>
                <w:szCs w:val="21"/>
              </w:rPr>
              <w:t>同时，应规定检查和更换周期。</w:t>
            </w:r>
          </w:p>
        </w:tc>
        <w:tc>
          <w:tcPr>
            <w:tcW w:w="1660" w:type="dxa"/>
            <w:vAlign w:val="center"/>
          </w:tcPr>
          <w:p w:rsidR="004F34D9" w:rsidRPr="00123108" w:rsidRDefault="004F34D9">
            <w:pPr>
              <w:jc w:val="center"/>
              <w:rPr>
                <w:rFonts w:ascii="宋体" w:hAnsi="宋体" w:cs="宋体" w:hint="eastAsia"/>
              </w:rPr>
            </w:pPr>
            <w:r w:rsidRPr="00123108">
              <w:rPr>
                <w:rFonts w:ascii="宋体" w:hAnsi="宋体" w:cs="宋体" w:hint="eastAsia"/>
              </w:rPr>
              <w:t>GB</w:t>
            </w:r>
          </w:p>
          <w:p w:rsidR="004F34D9" w:rsidRPr="00123108" w:rsidRDefault="004F34D9">
            <w:pPr>
              <w:jc w:val="center"/>
              <w:rPr>
                <w:rFonts w:ascii="宋体" w:hAnsi="宋体" w:cs="宋体" w:hint="eastAsia"/>
              </w:rPr>
            </w:pPr>
            <w:r w:rsidRPr="00123108">
              <w:rPr>
                <w:rFonts w:ascii="宋体" w:hAnsi="宋体" w:cs="宋体" w:hint="eastAsia"/>
              </w:rPr>
              <w:t>5083-1999</w:t>
            </w:r>
          </w:p>
          <w:p w:rsidR="004F34D9" w:rsidRPr="00123108" w:rsidRDefault="004F34D9">
            <w:pPr>
              <w:jc w:val="center"/>
              <w:rPr>
                <w:rFonts w:ascii="宋体" w:hAnsi="宋体" w:cs="宋体" w:hint="eastAsia"/>
              </w:rPr>
            </w:pPr>
            <w:r w:rsidRPr="00123108">
              <w:rPr>
                <w:rFonts w:ascii="宋体" w:hAnsi="宋体" w:cs="宋体" w:hint="eastAsia"/>
              </w:rPr>
              <w:t>第5.2.4条</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hint="eastAsia"/>
                <w:szCs w:val="21"/>
              </w:rPr>
              <w:t>符合</w:t>
            </w:r>
          </w:p>
        </w:tc>
        <w:tc>
          <w:tcPr>
            <w:tcW w:w="1779" w:type="dxa"/>
            <w:vAlign w:val="center"/>
          </w:tcPr>
          <w:p w:rsidR="004F34D9" w:rsidRPr="00123108" w:rsidRDefault="004F34D9">
            <w:pPr>
              <w:jc w:val="center"/>
              <w:rPr>
                <w:rFonts w:ascii="宋体" w:hAnsi="宋体"/>
                <w:szCs w:val="21"/>
              </w:rPr>
            </w:pPr>
            <w:r w:rsidRPr="00123108">
              <w:rPr>
                <w:rFonts w:ascii="宋体" w:hAnsi="宋体" w:hint="eastAsia"/>
                <w:szCs w:val="21"/>
              </w:rPr>
              <w:t>盐酸的管道采用耐腐蚀PVC管道</w:t>
            </w:r>
          </w:p>
        </w:tc>
      </w:tr>
      <w:tr w:rsidR="004F34D9" w:rsidRPr="00123108">
        <w:trPr>
          <w:trHeight w:val="340"/>
          <w:jc w:val="center"/>
        </w:trPr>
        <w:tc>
          <w:tcPr>
            <w:tcW w:w="679" w:type="dxa"/>
            <w:vAlign w:val="center"/>
          </w:tcPr>
          <w:p w:rsidR="004F34D9" w:rsidRPr="00123108" w:rsidRDefault="004F34D9">
            <w:pPr>
              <w:jc w:val="center"/>
              <w:rPr>
                <w:rFonts w:ascii="宋体" w:hAnsi="宋体" w:hint="eastAsia"/>
                <w:bCs/>
                <w:szCs w:val="21"/>
              </w:rPr>
            </w:pPr>
            <w:r w:rsidRPr="00123108">
              <w:rPr>
                <w:rFonts w:ascii="宋体" w:hAnsi="宋体" w:hint="eastAsia"/>
                <w:bCs/>
                <w:szCs w:val="21"/>
              </w:rPr>
              <w:t>12</w:t>
            </w:r>
          </w:p>
        </w:tc>
        <w:tc>
          <w:tcPr>
            <w:tcW w:w="4574" w:type="dxa"/>
            <w:vAlign w:val="center"/>
          </w:tcPr>
          <w:p w:rsidR="004F34D9" w:rsidRPr="00123108" w:rsidRDefault="004F34D9">
            <w:pPr>
              <w:spacing w:line="240" w:lineRule="exact"/>
              <w:rPr>
                <w:rFonts w:ascii="宋体" w:hAnsi="宋体" w:cs="宋体" w:hint="eastAsia"/>
              </w:rPr>
            </w:pPr>
            <w:r w:rsidRPr="00123108">
              <w:rPr>
                <w:rFonts w:ascii="宋体" w:hAnsi="宋体" w:hint="eastAsia"/>
                <w:szCs w:val="21"/>
              </w:rPr>
              <w:t>若操作人员进行操作、维护、调节的工作位置在坠落基准面2m以上时，则必须在生产设备上配置供站立的平台和防坠落的护栏、护板或安全圈等。</w:t>
            </w:r>
          </w:p>
        </w:tc>
        <w:tc>
          <w:tcPr>
            <w:tcW w:w="1660" w:type="dxa"/>
            <w:vAlign w:val="center"/>
          </w:tcPr>
          <w:p w:rsidR="004F34D9" w:rsidRPr="00123108" w:rsidRDefault="004F34D9">
            <w:pPr>
              <w:jc w:val="center"/>
              <w:rPr>
                <w:rFonts w:ascii="宋体" w:hAnsi="宋体" w:cs="宋体" w:hint="eastAsia"/>
              </w:rPr>
            </w:pPr>
            <w:r w:rsidRPr="00123108">
              <w:rPr>
                <w:rFonts w:ascii="宋体" w:hAnsi="宋体" w:cs="宋体" w:hint="eastAsia"/>
              </w:rPr>
              <w:t>GB</w:t>
            </w:r>
          </w:p>
          <w:p w:rsidR="004F34D9" w:rsidRPr="00123108" w:rsidRDefault="004F34D9">
            <w:pPr>
              <w:jc w:val="center"/>
              <w:rPr>
                <w:rFonts w:ascii="宋体" w:hAnsi="宋体" w:cs="宋体" w:hint="eastAsia"/>
              </w:rPr>
            </w:pPr>
            <w:r w:rsidRPr="00123108">
              <w:rPr>
                <w:rFonts w:ascii="宋体" w:hAnsi="宋体" w:cs="宋体" w:hint="eastAsia"/>
              </w:rPr>
              <w:t>5083-1999</w:t>
            </w:r>
          </w:p>
          <w:p w:rsidR="004F34D9" w:rsidRPr="00123108" w:rsidRDefault="004F34D9">
            <w:pPr>
              <w:jc w:val="center"/>
              <w:rPr>
                <w:rFonts w:ascii="宋体" w:hAnsi="宋体" w:cs="宋体" w:hint="eastAsia"/>
              </w:rPr>
            </w:pPr>
            <w:r w:rsidRPr="00123108">
              <w:rPr>
                <w:rFonts w:ascii="宋体" w:hAnsi="宋体" w:cs="宋体" w:hint="eastAsia"/>
              </w:rPr>
              <w:t>第5.7.4条</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hint="eastAsia"/>
                <w:szCs w:val="21"/>
              </w:rPr>
              <w:t>符合</w:t>
            </w:r>
          </w:p>
        </w:tc>
        <w:tc>
          <w:tcPr>
            <w:tcW w:w="1779" w:type="dxa"/>
            <w:vAlign w:val="center"/>
          </w:tcPr>
          <w:p w:rsidR="004F34D9" w:rsidRPr="00123108" w:rsidRDefault="004F34D9">
            <w:pPr>
              <w:jc w:val="center"/>
              <w:rPr>
                <w:rFonts w:ascii="宋体" w:hAnsi="宋体"/>
                <w:szCs w:val="21"/>
              </w:rPr>
            </w:pPr>
            <w:r w:rsidRPr="00123108">
              <w:rPr>
                <w:rFonts w:ascii="宋体" w:hAnsi="宋体" w:hint="eastAsia"/>
                <w:szCs w:val="21"/>
              </w:rPr>
              <w:t>配有护栏及网罩</w:t>
            </w:r>
          </w:p>
        </w:tc>
      </w:tr>
      <w:tr w:rsidR="004F34D9" w:rsidRPr="00123108">
        <w:trPr>
          <w:trHeight w:val="340"/>
          <w:jc w:val="center"/>
        </w:trPr>
        <w:tc>
          <w:tcPr>
            <w:tcW w:w="679" w:type="dxa"/>
            <w:vAlign w:val="center"/>
          </w:tcPr>
          <w:p w:rsidR="004F34D9" w:rsidRPr="00123108" w:rsidRDefault="004F34D9">
            <w:pPr>
              <w:jc w:val="center"/>
              <w:rPr>
                <w:rFonts w:ascii="宋体" w:hAnsi="宋体" w:hint="eastAsia"/>
                <w:bCs/>
                <w:szCs w:val="21"/>
              </w:rPr>
            </w:pPr>
            <w:r w:rsidRPr="00123108">
              <w:rPr>
                <w:rFonts w:ascii="宋体" w:hAnsi="宋体" w:hint="eastAsia"/>
                <w:bCs/>
                <w:szCs w:val="21"/>
              </w:rPr>
              <w:t>13</w:t>
            </w:r>
          </w:p>
        </w:tc>
        <w:tc>
          <w:tcPr>
            <w:tcW w:w="4574" w:type="dxa"/>
            <w:vAlign w:val="center"/>
          </w:tcPr>
          <w:p w:rsidR="004F34D9" w:rsidRPr="00123108" w:rsidRDefault="004F34D9">
            <w:pPr>
              <w:spacing w:line="240" w:lineRule="exact"/>
              <w:rPr>
                <w:rFonts w:ascii="宋体" w:hAnsi="宋体" w:cs="宋体" w:hint="eastAsia"/>
                <w:szCs w:val="21"/>
              </w:rPr>
            </w:pPr>
            <w:r w:rsidRPr="00123108">
              <w:rPr>
                <w:rFonts w:ascii="宋体" w:hAnsi="宋体" w:hint="eastAsia"/>
                <w:szCs w:val="21"/>
              </w:rPr>
              <w:t>生产设备应具有良好的防渗漏性能。对有可能产生渗漏的生产设备，应有适宜的收集和排放装置，必要时，应设有特殊防滑地板。</w:t>
            </w:r>
          </w:p>
        </w:tc>
        <w:tc>
          <w:tcPr>
            <w:tcW w:w="1660" w:type="dxa"/>
            <w:vAlign w:val="center"/>
          </w:tcPr>
          <w:p w:rsidR="004F34D9" w:rsidRPr="00123108" w:rsidRDefault="004F34D9">
            <w:pPr>
              <w:jc w:val="center"/>
              <w:rPr>
                <w:rFonts w:ascii="宋体" w:hAnsi="宋体" w:cs="宋体" w:hint="eastAsia"/>
              </w:rPr>
            </w:pPr>
            <w:r w:rsidRPr="00123108">
              <w:rPr>
                <w:rFonts w:ascii="宋体" w:hAnsi="宋体" w:cs="宋体" w:hint="eastAsia"/>
              </w:rPr>
              <w:t>GB</w:t>
            </w:r>
          </w:p>
          <w:p w:rsidR="004F34D9" w:rsidRPr="00123108" w:rsidRDefault="004F34D9">
            <w:pPr>
              <w:jc w:val="center"/>
              <w:rPr>
                <w:rFonts w:ascii="宋体" w:hAnsi="宋体" w:cs="宋体" w:hint="eastAsia"/>
              </w:rPr>
            </w:pPr>
            <w:r w:rsidRPr="00123108">
              <w:rPr>
                <w:rFonts w:ascii="宋体" w:hAnsi="宋体" w:cs="宋体" w:hint="eastAsia"/>
              </w:rPr>
              <w:t>5083-1999</w:t>
            </w:r>
          </w:p>
          <w:p w:rsidR="004F34D9" w:rsidRPr="00123108" w:rsidRDefault="004F34D9">
            <w:pPr>
              <w:jc w:val="center"/>
              <w:rPr>
                <w:rFonts w:ascii="宋体" w:hAnsi="宋体" w:cs="宋体" w:hint="eastAsia"/>
              </w:rPr>
            </w:pPr>
            <w:r w:rsidRPr="00123108">
              <w:rPr>
                <w:rFonts w:ascii="宋体" w:hAnsi="宋体" w:cs="宋体" w:hint="eastAsia"/>
              </w:rPr>
              <w:t>第5.7.4条</w:t>
            </w:r>
          </w:p>
        </w:tc>
        <w:tc>
          <w:tcPr>
            <w:tcW w:w="709" w:type="dxa"/>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不符合</w:t>
            </w:r>
          </w:p>
        </w:tc>
        <w:tc>
          <w:tcPr>
            <w:tcW w:w="1779" w:type="dxa"/>
            <w:vAlign w:val="center"/>
          </w:tcPr>
          <w:p w:rsidR="004F34D9" w:rsidRPr="00123108" w:rsidRDefault="004F34D9">
            <w:pPr>
              <w:spacing w:line="240" w:lineRule="exact"/>
              <w:rPr>
                <w:rFonts w:ascii="宋体" w:hAnsi="宋体"/>
                <w:szCs w:val="21"/>
              </w:rPr>
            </w:pPr>
            <w:r w:rsidRPr="00123108">
              <w:rPr>
                <w:rFonts w:ascii="宋体" w:hAnsi="宋体" w:hint="eastAsia"/>
                <w:szCs w:val="21"/>
              </w:rPr>
              <w:t>苯乙烯罐泵区、二甲苯罐泵区未设置围堰；A反应部二甲苯、戊烷</w:t>
            </w:r>
            <w:r w:rsidR="00F07894" w:rsidRPr="00123108">
              <w:rPr>
                <w:rFonts w:ascii="宋体" w:hAnsi="宋体" w:cs="宋体" w:hint="eastAsia"/>
                <w:szCs w:val="21"/>
              </w:rPr>
              <w:t>计量槽出口管线上阀组</w:t>
            </w:r>
            <w:r w:rsidR="00F07894" w:rsidRPr="00123108">
              <w:rPr>
                <w:rFonts w:ascii="宋体" w:hAnsi="宋体" w:hint="eastAsia"/>
                <w:szCs w:val="21"/>
              </w:rPr>
              <w:t>缺少接液盘</w:t>
            </w:r>
          </w:p>
        </w:tc>
      </w:tr>
      <w:tr w:rsidR="004F34D9" w:rsidRPr="00123108">
        <w:trPr>
          <w:trHeight w:val="340"/>
          <w:jc w:val="center"/>
        </w:trPr>
        <w:tc>
          <w:tcPr>
            <w:tcW w:w="679" w:type="dxa"/>
            <w:vAlign w:val="center"/>
          </w:tcPr>
          <w:p w:rsidR="004F34D9" w:rsidRPr="00123108" w:rsidRDefault="004F34D9">
            <w:pPr>
              <w:jc w:val="center"/>
              <w:rPr>
                <w:rFonts w:ascii="宋体" w:hAnsi="宋体" w:hint="eastAsia"/>
                <w:bCs/>
                <w:szCs w:val="21"/>
              </w:rPr>
            </w:pPr>
            <w:r w:rsidRPr="00123108">
              <w:rPr>
                <w:rFonts w:ascii="宋体" w:hAnsi="宋体" w:hint="eastAsia"/>
                <w:bCs/>
                <w:szCs w:val="21"/>
              </w:rPr>
              <w:t>14</w:t>
            </w:r>
          </w:p>
        </w:tc>
        <w:tc>
          <w:tcPr>
            <w:tcW w:w="4574" w:type="dxa"/>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以操作人员的操作位置所在平面为基准，凡高度在2ｍ之内的所有转轴、传动链、联轴节等危险零、部件及危险部位，都必须设置防护装置。</w:t>
            </w:r>
          </w:p>
        </w:tc>
        <w:tc>
          <w:tcPr>
            <w:tcW w:w="1660" w:type="dxa"/>
            <w:vAlign w:val="center"/>
          </w:tcPr>
          <w:p w:rsidR="004F34D9" w:rsidRPr="00123108" w:rsidRDefault="004F34D9">
            <w:pPr>
              <w:spacing w:line="240" w:lineRule="exact"/>
              <w:jc w:val="center"/>
              <w:rPr>
                <w:rFonts w:ascii="宋体" w:hAnsi="宋体" w:hint="eastAsia"/>
                <w:szCs w:val="21"/>
              </w:rPr>
            </w:pPr>
            <w:r w:rsidRPr="00123108">
              <w:rPr>
                <w:rFonts w:ascii="宋体" w:hAnsi="宋体" w:hint="eastAsia"/>
                <w:szCs w:val="21"/>
              </w:rPr>
              <w:t>GB</w:t>
            </w:r>
          </w:p>
          <w:p w:rsidR="004F34D9" w:rsidRPr="00123108" w:rsidRDefault="004F34D9">
            <w:pPr>
              <w:spacing w:line="240" w:lineRule="exact"/>
              <w:jc w:val="center"/>
              <w:rPr>
                <w:rFonts w:ascii="宋体" w:hAnsi="宋体" w:hint="eastAsia"/>
                <w:szCs w:val="21"/>
              </w:rPr>
            </w:pPr>
            <w:r w:rsidRPr="00123108">
              <w:rPr>
                <w:rFonts w:ascii="宋体" w:hAnsi="宋体" w:hint="eastAsia"/>
                <w:szCs w:val="21"/>
              </w:rPr>
              <w:t>5083-1999</w:t>
            </w:r>
          </w:p>
          <w:p w:rsidR="004F34D9" w:rsidRPr="00123108" w:rsidRDefault="004F34D9">
            <w:pPr>
              <w:spacing w:line="240" w:lineRule="exact"/>
              <w:jc w:val="center"/>
              <w:rPr>
                <w:rFonts w:ascii="宋体" w:hAnsi="宋体" w:hint="eastAsia"/>
                <w:szCs w:val="21"/>
              </w:rPr>
            </w:pPr>
            <w:r w:rsidRPr="00123108">
              <w:rPr>
                <w:rFonts w:ascii="宋体" w:hAnsi="宋体" w:hint="eastAsia"/>
                <w:szCs w:val="21"/>
              </w:rPr>
              <w:t>第6.1.6条</w:t>
            </w:r>
          </w:p>
        </w:tc>
        <w:tc>
          <w:tcPr>
            <w:tcW w:w="709" w:type="dxa"/>
            <w:vAlign w:val="center"/>
          </w:tcPr>
          <w:p w:rsidR="004F34D9" w:rsidRPr="00123108" w:rsidRDefault="004F34D9">
            <w:pPr>
              <w:spacing w:line="240" w:lineRule="exact"/>
              <w:jc w:val="center"/>
              <w:rPr>
                <w:rFonts w:ascii="宋体" w:hAnsi="宋体" w:hint="eastAsia"/>
                <w:szCs w:val="21"/>
              </w:rPr>
            </w:pPr>
            <w:r w:rsidRPr="00123108">
              <w:rPr>
                <w:rFonts w:ascii="宋体" w:hAnsi="宋体" w:hint="eastAsia"/>
                <w:szCs w:val="21"/>
              </w:rPr>
              <w:t>符合</w:t>
            </w:r>
          </w:p>
        </w:tc>
        <w:tc>
          <w:tcPr>
            <w:tcW w:w="1779" w:type="dxa"/>
            <w:vAlign w:val="center"/>
          </w:tcPr>
          <w:p w:rsidR="004F34D9" w:rsidRPr="00123108" w:rsidRDefault="004F34D9">
            <w:pPr>
              <w:spacing w:line="240" w:lineRule="exact"/>
              <w:jc w:val="center"/>
              <w:rPr>
                <w:rFonts w:ascii="宋体" w:hAnsi="宋体"/>
                <w:szCs w:val="21"/>
              </w:rPr>
            </w:pPr>
            <w:r w:rsidRPr="00123108">
              <w:rPr>
                <w:rFonts w:ascii="宋体" w:hAnsi="宋体" w:hint="eastAsia"/>
                <w:szCs w:val="21"/>
              </w:rPr>
              <w:t>现场勘察时轴等设有防护罩</w:t>
            </w:r>
          </w:p>
        </w:tc>
      </w:tr>
      <w:tr w:rsidR="004F34D9" w:rsidRPr="00123108">
        <w:trPr>
          <w:trHeight w:val="340"/>
          <w:jc w:val="center"/>
        </w:trPr>
        <w:tc>
          <w:tcPr>
            <w:tcW w:w="679" w:type="dxa"/>
            <w:vAlign w:val="center"/>
          </w:tcPr>
          <w:p w:rsidR="004F34D9" w:rsidRPr="00123108" w:rsidRDefault="004F34D9">
            <w:pPr>
              <w:jc w:val="center"/>
              <w:rPr>
                <w:rFonts w:ascii="宋体" w:hAnsi="宋体" w:hint="eastAsia"/>
                <w:bCs/>
                <w:szCs w:val="21"/>
              </w:rPr>
            </w:pPr>
            <w:r w:rsidRPr="00123108">
              <w:rPr>
                <w:rFonts w:ascii="宋体" w:hAnsi="宋体" w:hint="eastAsia"/>
                <w:bCs/>
                <w:szCs w:val="21"/>
              </w:rPr>
              <w:lastRenderedPageBreak/>
              <w:t>15</w:t>
            </w:r>
          </w:p>
        </w:tc>
        <w:tc>
          <w:tcPr>
            <w:tcW w:w="4574" w:type="dxa"/>
            <w:vAlign w:val="center"/>
          </w:tcPr>
          <w:p w:rsidR="004F34D9" w:rsidRPr="00123108" w:rsidRDefault="004F34D9">
            <w:pPr>
              <w:spacing w:line="240" w:lineRule="exact"/>
              <w:rPr>
                <w:rFonts w:ascii="宋体" w:hAnsi="宋体" w:hint="eastAsia"/>
                <w:szCs w:val="21"/>
              </w:rPr>
            </w:pPr>
            <w:r w:rsidRPr="00123108">
              <w:rPr>
                <w:rFonts w:ascii="宋体" w:hAnsi="宋体"/>
                <w:szCs w:val="21"/>
              </w:rPr>
              <w:t xml:space="preserve">危险性作业场所，应设置安全通道；应设应急照明、安全标志和疏散指示标志；门窗应向外开启；通道和出口应保持畅通；出入口的设置应符合有关规定。 </w:t>
            </w:r>
          </w:p>
        </w:tc>
        <w:tc>
          <w:tcPr>
            <w:tcW w:w="1660" w:type="dxa"/>
            <w:vAlign w:val="center"/>
          </w:tcPr>
          <w:p w:rsidR="004F34D9" w:rsidRPr="00123108" w:rsidRDefault="004F34D9">
            <w:pPr>
              <w:spacing w:line="240" w:lineRule="exact"/>
              <w:jc w:val="center"/>
              <w:rPr>
                <w:rFonts w:ascii="宋体" w:hAnsi="宋体" w:hint="eastAsia"/>
                <w:szCs w:val="21"/>
              </w:rPr>
            </w:pPr>
            <w:r w:rsidRPr="00123108">
              <w:rPr>
                <w:rFonts w:ascii="宋体" w:hAnsi="宋体" w:hint="eastAsia"/>
                <w:szCs w:val="21"/>
              </w:rPr>
              <w:t>GB/T 12801-2008第5.4.6条</w:t>
            </w:r>
          </w:p>
        </w:tc>
        <w:tc>
          <w:tcPr>
            <w:tcW w:w="709" w:type="dxa"/>
            <w:vAlign w:val="center"/>
          </w:tcPr>
          <w:p w:rsidR="004F34D9" w:rsidRPr="00123108" w:rsidRDefault="004F34D9">
            <w:pPr>
              <w:spacing w:line="240" w:lineRule="exact"/>
              <w:jc w:val="center"/>
              <w:rPr>
                <w:rFonts w:ascii="宋体" w:hAnsi="宋体" w:hint="eastAsia"/>
                <w:szCs w:val="21"/>
              </w:rPr>
            </w:pPr>
            <w:r w:rsidRPr="00123108">
              <w:rPr>
                <w:rFonts w:ascii="宋体" w:hAnsi="宋体" w:hint="eastAsia"/>
                <w:szCs w:val="21"/>
              </w:rPr>
              <w:t>符合</w:t>
            </w:r>
          </w:p>
        </w:tc>
        <w:tc>
          <w:tcPr>
            <w:tcW w:w="1779" w:type="dxa"/>
            <w:vAlign w:val="center"/>
          </w:tcPr>
          <w:p w:rsidR="004F34D9" w:rsidRPr="00123108" w:rsidRDefault="004F34D9">
            <w:pPr>
              <w:spacing w:line="240" w:lineRule="exact"/>
              <w:jc w:val="center"/>
              <w:rPr>
                <w:rFonts w:ascii="宋体" w:hAnsi="宋体" w:hint="eastAsia"/>
                <w:szCs w:val="21"/>
              </w:rPr>
            </w:pPr>
            <w:r w:rsidRPr="00123108">
              <w:rPr>
                <w:rFonts w:ascii="宋体" w:hAnsi="宋体" w:hint="eastAsia"/>
                <w:szCs w:val="21"/>
              </w:rPr>
              <w:t>设有安全通道、应急照明及疏散标志</w:t>
            </w:r>
          </w:p>
        </w:tc>
      </w:tr>
      <w:tr w:rsidR="004F34D9" w:rsidRPr="00123108">
        <w:trPr>
          <w:trHeight w:val="340"/>
          <w:jc w:val="center"/>
        </w:trPr>
        <w:tc>
          <w:tcPr>
            <w:tcW w:w="679" w:type="dxa"/>
            <w:vAlign w:val="center"/>
          </w:tcPr>
          <w:p w:rsidR="004F34D9" w:rsidRPr="00123108" w:rsidRDefault="004F34D9">
            <w:pPr>
              <w:jc w:val="center"/>
              <w:rPr>
                <w:rFonts w:ascii="宋体" w:hAnsi="宋体" w:hint="eastAsia"/>
                <w:bCs/>
                <w:szCs w:val="21"/>
              </w:rPr>
            </w:pPr>
            <w:r w:rsidRPr="00123108">
              <w:rPr>
                <w:rFonts w:ascii="宋体" w:hAnsi="宋体" w:hint="eastAsia"/>
                <w:bCs/>
                <w:szCs w:val="21"/>
              </w:rPr>
              <w:t>16</w:t>
            </w:r>
          </w:p>
        </w:tc>
        <w:tc>
          <w:tcPr>
            <w:tcW w:w="4574" w:type="dxa"/>
            <w:vAlign w:val="center"/>
          </w:tcPr>
          <w:p w:rsidR="004F34D9" w:rsidRPr="00123108" w:rsidRDefault="004F34D9">
            <w:pPr>
              <w:spacing w:line="240" w:lineRule="exact"/>
              <w:rPr>
                <w:rFonts w:ascii="宋体" w:hAnsi="宋体" w:hint="eastAsia"/>
                <w:szCs w:val="21"/>
              </w:rPr>
            </w:pPr>
            <w:r w:rsidRPr="00123108">
              <w:rPr>
                <w:rFonts w:ascii="宋体" w:hAnsi="宋体"/>
                <w:szCs w:val="21"/>
              </w:rPr>
              <w:t>凡容易发生事故的地方，应按GB 2894的要求设置安全标志，或在建(构)筑物及设备上按GB 2893的要求涂安全色。</w:t>
            </w:r>
          </w:p>
        </w:tc>
        <w:tc>
          <w:tcPr>
            <w:tcW w:w="1660" w:type="dxa"/>
            <w:vAlign w:val="center"/>
          </w:tcPr>
          <w:p w:rsidR="004F34D9" w:rsidRPr="00123108" w:rsidRDefault="004F34D9">
            <w:pPr>
              <w:spacing w:line="240" w:lineRule="exact"/>
              <w:jc w:val="center"/>
              <w:rPr>
                <w:rFonts w:ascii="宋体" w:hAnsi="宋体" w:hint="eastAsia"/>
                <w:szCs w:val="21"/>
              </w:rPr>
            </w:pPr>
            <w:r w:rsidRPr="00123108">
              <w:rPr>
                <w:rFonts w:ascii="宋体" w:hAnsi="宋体" w:hint="eastAsia"/>
                <w:szCs w:val="21"/>
              </w:rPr>
              <w:t>GB/T 12801-2008</w:t>
            </w:r>
          </w:p>
          <w:p w:rsidR="004F34D9" w:rsidRPr="00123108" w:rsidRDefault="004F34D9">
            <w:pPr>
              <w:spacing w:line="240" w:lineRule="exact"/>
              <w:jc w:val="center"/>
              <w:rPr>
                <w:rFonts w:ascii="宋体" w:hAnsi="宋体" w:hint="eastAsia"/>
                <w:szCs w:val="21"/>
              </w:rPr>
            </w:pPr>
            <w:r w:rsidRPr="00123108">
              <w:rPr>
                <w:rFonts w:ascii="宋体" w:hAnsi="宋体" w:hint="eastAsia"/>
                <w:szCs w:val="21"/>
              </w:rPr>
              <w:t>第6.8.1条</w:t>
            </w:r>
          </w:p>
        </w:tc>
        <w:tc>
          <w:tcPr>
            <w:tcW w:w="709" w:type="dxa"/>
            <w:vAlign w:val="center"/>
          </w:tcPr>
          <w:p w:rsidR="004F34D9" w:rsidRPr="00123108" w:rsidRDefault="004F34D9">
            <w:pPr>
              <w:spacing w:line="240" w:lineRule="exact"/>
              <w:jc w:val="center"/>
              <w:rPr>
                <w:rFonts w:ascii="宋体" w:hAnsi="宋体" w:hint="eastAsia"/>
                <w:szCs w:val="21"/>
              </w:rPr>
            </w:pPr>
            <w:r w:rsidRPr="00123108">
              <w:rPr>
                <w:rFonts w:ascii="宋体" w:hAnsi="宋体" w:hint="eastAsia"/>
                <w:szCs w:val="21"/>
              </w:rPr>
              <w:t>符合</w:t>
            </w:r>
          </w:p>
        </w:tc>
        <w:tc>
          <w:tcPr>
            <w:tcW w:w="1779" w:type="dxa"/>
            <w:vAlign w:val="center"/>
          </w:tcPr>
          <w:p w:rsidR="004F34D9" w:rsidRPr="00123108" w:rsidRDefault="004F34D9">
            <w:pPr>
              <w:spacing w:line="240" w:lineRule="exact"/>
              <w:jc w:val="center"/>
              <w:rPr>
                <w:rFonts w:ascii="宋体" w:hAnsi="宋体" w:hint="eastAsia"/>
                <w:szCs w:val="21"/>
              </w:rPr>
            </w:pPr>
            <w:r w:rsidRPr="00123108">
              <w:rPr>
                <w:rFonts w:ascii="宋体" w:hAnsi="宋体" w:hint="eastAsia"/>
                <w:szCs w:val="21"/>
              </w:rPr>
              <w:t>已在</w:t>
            </w:r>
            <w:r w:rsidRPr="00123108">
              <w:rPr>
                <w:rFonts w:ascii="宋体" w:hAnsi="宋体"/>
                <w:szCs w:val="21"/>
              </w:rPr>
              <w:t>设备上</w:t>
            </w:r>
            <w:r w:rsidRPr="00123108">
              <w:rPr>
                <w:rFonts w:ascii="宋体" w:hAnsi="宋体" w:hint="eastAsia"/>
                <w:szCs w:val="21"/>
              </w:rPr>
              <w:t>涂安全色</w:t>
            </w:r>
          </w:p>
        </w:tc>
      </w:tr>
      <w:tr w:rsidR="004F34D9" w:rsidRPr="00123108">
        <w:trPr>
          <w:trHeight w:val="340"/>
          <w:jc w:val="center"/>
        </w:trPr>
        <w:tc>
          <w:tcPr>
            <w:tcW w:w="679" w:type="dxa"/>
            <w:vAlign w:val="center"/>
          </w:tcPr>
          <w:p w:rsidR="004F34D9" w:rsidRPr="00123108" w:rsidRDefault="004F34D9">
            <w:pPr>
              <w:jc w:val="center"/>
              <w:rPr>
                <w:rFonts w:ascii="宋体" w:hAnsi="宋体" w:hint="eastAsia"/>
                <w:bCs/>
                <w:szCs w:val="21"/>
              </w:rPr>
            </w:pPr>
            <w:r w:rsidRPr="00123108">
              <w:rPr>
                <w:rFonts w:ascii="宋体" w:hAnsi="宋体" w:hint="eastAsia"/>
                <w:bCs/>
                <w:szCs w:val="21"/>
              </w:rPr>
              <w:t>17</w:t>
            </w:r>
          </w:p>
        </w:tc>
        <w:tc>
          <w:tcPr>
            <w:tcW w:w="4574" w:type="dxa"/>
            <w:vAlign w:val="center"/>
          </w:tcPr>
          <w:p w:rsidR="004F34D9" w:rsidRPr="00123108" w:rsidRDefault="004F34D9">
            <w:pPr>
              <w:rPr>
                <w:rFonts w:hint="eastAsia"/>
              </w:rPr>
            </w:pPr>
            <w:r w:rsidRPr="00123108">
              <w:t>设备和管线应按有关标准的规定涂识别色、识别符号和安全标识。</w:t>
            </w:r>
          </w:p>
        </w:tc>
        <w:tc>
          <w:tcPr>
            <w:tcW w:w="1660" w:type="dxa"/>
            <w:vAlign w:val="center"/>
          </w:tcPr>
          <w:p w:rsidR="004F34D9" w:rsidRPr="00123108" w:rsidRDefault="004F34D9">
            <w:pPr>
              <w:spacing w:line="300" w:lineRule="exact"/>
              <w:jc w:val="center"/>
              <w:rPr>
                <w:rFonts w:ascii="宋体" w:hAnsi="宋体" w:hint="eastAsia"/>
                <w:szCs w:val="21"/>
              </w:rPr>
            </w:pPr>
            <w:r w:rsidRPr="00123108">
              <w:rPr>
                <w:rFonts w:ascii="宋体" w:hAnsi="宋体" w:hint="eastAsia"/>
                <w:szCs w:val="21"/>
              </w:rPr>
              <w:t>GB/T 12801-2008</w:t>
            </w:r>
          </w:p>
          <w:p w:rsidR="004F34D9" w:rsidRPr="00123108" w:rsidRDefault="004F34D9">
            <w:pPr>
              <w:spacing w:line="300" w:lineRule="exact"/>
              <w:jc w:val="center"/>
              <w:rPr>
                <w:rFonts w:ascii="宋体" w:hAnsi="宋体" w:hint="eastAsia"/>
                <w:szCs w:val="21"/>
              </w:rPr>
            </w:pPr>
            <w:r w:rsidRPr="00123108">
              <w:rPr>
                <w:rFonts w:ascii="宋体" w:hAnsi="宋体" w:hint="eastAsia"/>
                <w:szCs w:val="21"/>
              </w:rPr>
              <w:t>第6.8.4条</w:t>
            </w:r>
          </w:p>
        </w:tc>
        <w:tc>
          <w:tcPr>
            <w:tcW w:w="709" w:type="dxa"/>
            <w:vAlign w:val="center"/>
          </w:tcPr>
          <w:p w:rsidR="004F34D9" w:rsidRPr="00123108" w:rsidRDefault="004F34D9">
            <w:pPr>
              <w:spacing w:line="300" w:lineRule="exact"/>
              <w:jc w:val="center"/>
              <w:rPr>
                <w:rFonts w:ascii="宋体" w:hAnsi="宋体"/>
                <w:szCs w:val="21"/>
              </w:rPr>
            </w:pPr>
            <w:r w:rsidRPr="00123108">
              <w:rPr>
                <w:rFonts w:ascii="宋体" w:hAnsi="宋体" w:hint="eastAsia"/>
                <w:szCs w:val="21"/>
              </w:rPr>
              <w:t>不符合</w:t>
            </w:r>
          </w:p>
        </w:tc>
        <w:tc>
          <w:tcPr>
            <w:tcW w:w="1779" w:type="dxa"/>
            <w:vAlign w:val="center"/>
          </w:tcPr>
          <w:p w:rsidR="004F34D9" w:rsidRPr="00123108" w:rsidRDefault="004F34D9">
            <w:pPr>
              <w:spacing w:line="300" w:lineRule="exact"/>
              <w:rPr>
                <w:rFonts w:ascii="宋体" w:hAnsi="宋体"/>
                <w:szCs w:val="21"/>
              </w:rPr>
            </w:pPr>
            <w:r w:rsidRPr="00123108">
              <w:rPr>
                <w:rFonts w:ascii="宋体" w:hAnsi="宋体" w:hint="eastAsia"/>
                <w:szCs w:val="21"/>
              </w:rPr>
              <w:t>个别物料管道标识缺失</w:t>
            </w:r>
          </w:p>
        </w:tc>
      </w:tr>
      <w:tr w:rsidR="004F34D9" w:rsidRPr="00123108">
        <w:trPr>
          <w:trHeight w:val="340"/>
          <w:jc w:val="center"/>
        </w:trPr>
        <w:tc>
          <w:tcPr>
            <w:tcW w:w="679" w:type="dxa"/>
            <w:vAlign w:val="center"/>
          </w:tcPr>
          <w:p w:rsidR="004F34D9" w:rsidRPr="00123108" w:rsidRDefault="004F34D9">
            <w:pPr>
              <w:jc w:val="center"/>
              <w:rPr>
                <w:rFonts w:ascii="宋体" w:hAnsi="宋体" w:hint="eastAsia"/>
                <w:bCs/>
                <w:szCs w:val="21"/>
              </w:rPr>
            </w:pPr>
            <w:r w:rsidRPr="00123108">
              <w:rPr>
                <w:rFonts w:ascii="宋体" w:hAnsi="宋体" w:hint="eastAsia"/>
                <w:bCs/>
                <w:szCs w:val="21"/>
              </w:rPr>
              <w:t>18</w:t>
            </w:r>
          </w:p>
        </w:tc>
        <w:tc>
          <w:tcPr>
            <w:tcW w:w="4574" w:type="dxa"/>
            <w:vAlign w:val="center"/>
          </w:tcPr>
          <w:p w:rsidR="004F34D9" w:rsidRPr="00123108" w:rsidRDefault="004F34D9">
            <w:pPr>
              <w:tabs>
                <w:tab w:val="center" w:pos="4153"/>
              </w:tabs>
              <w:spacing w:line="240" w:lineRule="exact"/>
              <w:rPr>
                <w:rFonts w:ascii="宋体" w:hAnsi="宋体"/>
                <w:bCs/>
                <w:szCs w:val="21"/>
              </w:rPr>
            </w:pPr>
            <w:r w:rsidRPr="00123108">
              <w:rPr>
                <w:rFonts w:ascii="宋体" w:hAnsi="宋体"/>
                <w:szCs w:val="21"/>
              </w:rPr>
              <w:t>生产设备及其零部件，必须有足够的强度、刚度、稳定性和可靠性。在按规定条件制造、运输、贮存、安装和使用时，不得对人员造成危险。</w:t>
            </w:r>
          </w:p>
        </w:tc>
        <w:tc>
          <w:tcPr>
            <w:tcW w:w="1660" w:type="dxa"/>
            <w:vAlign w:val="center"/>
          </w:tcPr>
          <w:p w:rsidR="004F34D9" w:rsidRPr="00123108" w:rsidRDefault="004F34D9">
            <w:pPr>
              <w:tabs>
                <w:tab w:val="center" w:pos="4153"/>
              </w:tabs>
              <w:spacing w:line="240" w:lineRule="exact"/>
              <w:jc w:val="center"/>
              <w:rPr>
                <w:rFonts w:ascii="宋体" w:hAnsi="宋体" w:hint="eastAsia"/>
                <w:szCs w:val="21"/>
              </w:rPr>
            </w:pPr>
            <w:r w:rsidRPr="00123108">
              <w:rPr>
                <w:rFonts w:ascii="宋体" w:hAnsi="宋体"/>
                <w:szCs w:val="21"/>
              </w:rPr>
              <w:t>GB5083-1999</w:t>
            </w:r>
          </w:p>
          <w:p w:rsidR="004F34D9" w:rsidRPr="00123108" w:rsidRDefault="004F34D9">
            <w:pPr>
              <w:tabs>
                <w:tab w:val="center" w:pos="4153"/>
              </w:tabs>
              <w:spacing w:line="240" w:lineRule="exact"/>
              <w:jc w:val="center"/>
              <w:rPr>
                <w:rFonts w:ascii="宋体" w:hAnsi="宋体"/>
                <w:szCs w:val="21"/>
              </w:rPr>
            </w:pPr>
            <w:r w:rsidRPr="00123108">
              <w:rPr>
                <w:rFonts w:ascii="宋体" w:hAnsi="宋体"/>
                <w:szCs w:val="21"/>
              </w:rPr>
              <w:t>第4.1条</w:t>
            </w:r>
          </w:p>
        </w:tc>
        <w:tc>
          <w:tcPr>
            <w:tcW w:w="709" w:type="dxa"/>
            <w:vAlign w:val="center"/>
          </w:tcPr>
          <w:p w:rsidR="004F34D9" w:rsidRPr="00123108" w:rsidRDefault="004F34D9">
            <w:pPr>
              <w:tabs>
                <w:tab w:val="center" w:pos="4153"/>
              </w:tabs>
              <w:spacing w:line="240" w:lineRule="exact"/>
              <w:rPr>
                <w:rFonts w:ascii="宋体" w:hAnsi="宋体"/>
                <w:bCs/>
                <w:szCs w:val="21"/>
              </w:rPr>
            </w:pPr>
            <w:r w:rsidRPr="00123108">
              <w:rPr>
                <w:rFonts w:ascii="宋体" w:hAnsi="宋体" w:hint="eastAsia"/>
                <w:szCs w:val="21"/>
              </w:rPr>
              <w:t>符合</w:t>
            </w:r>
          </w:p>
        </w:tc>
        <w:tc>
          <w:tcPr>
            <w:tcW w:w="1779" w:type="dxa"/>
            <w:vAlign w:val="center"/>
          </w:tcPr>
          <w:p w:rsidR="004F34D9" w:rsidRPr="00123108" w:rsidRDefault="004F34D9">
            <w:pPr>
              <w:tabs>
                <w:tab w:val="center" w:pos="4153"/>
              </w:tabs>
              <w:spacing w:line="240" w:lineRule="exact"/>
              <w:rPr>
                <w:rFonts w:ascii="宋体" w:hAnsi="宋体" w:hint="eastAsia"/>
                <w:bCs/>
                <w:szCs w:val="21"/>
              </w:rPr>
            </w:pPr>
            <w:r w:rsidRPr="00123108">
              <w:rPr>
                <w:rFonts w:ascii="宋体" w:hAnsi="宋体" w:hint="eastAsia"/>
                <w:bCs/>
                <w:szCs w:val="21"/>
              </w:rPr>
              <w:t>根据设计购买合格设备，特种设备定期检测</w:t>
            </w:r>
          </w:p>
        </w:tc>
      </w:tr>
      <w:tr w:rsidR="004F34D9" w:rsidRPr="00123108">
        <w:trPr>
          <w:trHeight w:val="340"/>
          <w:jc w:val="center"/>
        </w:trPr>
        <w:tc>
          <w:tcPr>
            <w:tcW w:w="679" w:type="dxa"/>
            <w:vAlign w:val="center"/>
          </w:tcPr>
          <w:p w:rsidR="004F34D9" w:rsidRPr="00123108" w:rsidRDefault="004F34D9">
            <w:pPr>
              <w:jc w:val="center"/>
              <w:rPr>
                <w:rFonts w:ascii="宋体" w:hAnsi="宋体" w:hint="eastAsia"/>
                <w:bCs/>
                <w:szCs w:val="21"/>
              </w:rPr>
            </w:pPr>
            <w:r w:rsidRPr="00123108">
              <w:rPr>
                <w:rFonts w:ascii="宋体" w:hAnsi="宋体" w:hint="eastAsia"/>
                <w:bCs/>
                <w:szCs w:val="21"/>
              </w:rPr>
              <w:t>19</w:t>
            </w:r>
          </w:p>
        </w:tc>
        <w:tc>
          <w:tcPr>
            <w:tcW w:w="4574" w:type="dxa"/>
            <w:vAlign w:val="center"/>
          </w:tcPr>
          <w:p w:rsidR="004F34D9" w:rsidRPr="00123108" w:rsidRDefault="004F34D9">
            <w:pPr>
              <w:pStyle w:val="af0"/>
              <w:rPr>
                <w:rFonts w:ascii="宋体" w:hAnsi="宋体" w:cs="宋体" w:hint="eastAsia"/>
                <w:kern w:val="0"/>
                <w:szCs w:val="21"/>
              </w:rPr>
            </w:pPr>
            <w:r w:rsidRPr="00123108">
              <w:rPr>
                <w:rFonts w:ascii="宋体" w:hAnsi="宋体"/>
                <w:kern w:val="0"/>
                <w:szCs w:val="21"/>
              </w:rPr>
              <w:t>在规定使用期</w:t>
            </w:r>
            <w:r w:rsidRPr="00123108">
              <w:rPr>
                <w:rFonts w:ascii="宋体" w:hAnsi="宋体" w:hint="eastAsia"/>
                <w:kern w:val="0"/>
                <w:szCs w:val="21"/>
              </w:rPr>
              <w:t>限</w:t>
            </w:r>
            <w:r w:rsidRPr="00123108">
              <w:rPr>
                <w:rFonts w:ascii="宋体" w:hAnsi="宋体"/>
                <w:kern w:val="0"/>
                <w:szCs w:val="21"/>
              </w:rPr>
              <w:t>内，生产设备应满足使用环境要求，特别是满足防腐蚀、耐磨损、抗疲劳、抗老化和抵御失效的要求。</w:t>
            </w:r>
          </w:p>
        </w:tc>
        <w:tc>
          <w:tcPr>
            <w:tcW w:w="1660" w:type="dxa"/>
            <w:vAlign w:val="center"/>
          </w:tcPr>
          <w:p w:rsidR="004F34D9" w:rsidRPr="00123108" w:rsidRDefault="004F34D9">
            <w:pPr>
              <w:jc w:val="center"/>
              <w:rPr>
                <w:rFonts w:ascii="宋体" w:hAnsi="宋体" w:hint="eastAsia"/>
                <w:bCs/>
                <w:szCs w:val="21"/>
              </w:rPr>
            </w:pPr>
            <w:r w:rsidRPr="00123108">
              <w:rPr>
                <w:rFonts w:ascii="宋体" w:hAnsi="宋体"/>
                <w:bCs/>
                <w:szCs w:val="21"/>
              </w:rPr>
              <w:t>GB</w:t>
            </w:r>
            <w:r w:rsidRPr="00123108">
              <w:rPr>
                <w:rFonts w:ascii="宋体" w:hAnsi="宋体" w:hint="eastAsia"/>
                <w:bCs/>
                <w:szCs w:val="21"/>
              </w:rPr>
              <w:t xml:space="preserve"> </w:t>
            </w:r>
            <w:r w:rsidRPr="00123108">
              <w:rPr>
                <w:rFonts w:ascii="宋体" w:hAnsi="宋体"/>
                <w:bCs/>
                <w:szCs w:val="21"/>
              </w:rPr>
              <w:t>5083-1999</w:t>
            </w:r>
          </w:p>
          <w:p w:rsidR="004F34D9" w:rsidRPr="00123108" w:rsidRDefault="004F34D9">
            <w:pPr>
              <w:jc w:val="center"/>
              <w:rPr>
                <w:rFonts w:ascii="宋体" w:hAnsi="宋体" w:hint="eastAsia"/>
                <w:szCs w:val="21"/>
              </w:rPr>
            </w:pPr>
            <w:r w:rsidRPr="00123108">
              <w:rPr>
                <w:rFonts w:ascii="宋体" w:hAnsi="宋体"/>
                <w:szCs w:val="21"/>
              </w:rPr>
              <w:t>第</w:t>
            </w:r>
            <w:r w:rsidRPr="00123108">
              <w:rPr>
                <w:rFonts w:ascii="宋体" w:hAnsi="宋体" w:hint="eastAsia"/>
                <w:szCs w:val="21"/>
              </w:rPr>
              <w:t>5</w:t>
            </w:r>
            <w:r w:rsidRPr="00123108">
              <w:rPr>
                <w:rFonts w:ascii="宋体" w:hAnsi="宋体"/>
                <w:szCs w:val="21"/>
              </w:rPr>
              <w:t>.1条</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hint="eastAsia"/>
                <w:szCs w:val="21"/>
              </w:rPr>
              <w:t>符合</w:t>
            </w:r>
          </w:p>
        </w:tc>
        <w:tc>
          <w:tcPr>
            <w:tcW w:w="1779" w:type="dxa"/>
            <w:vAlign w:val="center"/>
          </w:tcPr>
          <w:p w:rsidR="004F34D9" w:rsidRPr="00123108" w:rsidRDefault="004F34D9">
            <w:pPr>
              <w:pStyle w:val="2f3"/>
              <w:tabs>
                <w:tab w:val="clear" w:pos="277"/>
                <w:tab w:val="clear" w:pos="600"/>
                <w:tab w:val="clear" w:pos="780"/>
                <w:tab w:val="clear" w:pos="2517"/>
              </w:tabs>
              <w:adjustRightInd/>
              <w:spacing w:before="0"/>
              <w:textAlignment w:val="auto"/>
              <w:rPr>
                <w:rFonts w:ascii="宋体" w:hAnsi="宋体" w:hint="eastAsia"/>
                <w:kern w:val="2"/>
                <w:szCs w:val="21"/>
              </w:rPr>
            </w:pPr>
            <w:r w:rsidRPr="00123108">
              <w:rPr>
                <w:rFonts w:ascii="宋体" w:hAnsi="宋体" w:hint="eastAsia"/>
                <w:kern w:val="2"/>
                <w:szCs w:val="21"/>
              </w:rPr>
              <w:t>根据设计要求采购设备</w:t>
            </w:r>
          </w:p>
        </w:tc>
      </w:tr>
      <w:tr w:rsidR="004F34D9" w:rsidRPr="00123108">
        <w:trPr>
          <w:trHeight w:val="340"/>
          <w:jc w:val="center"/>
        </w:trPr>
        <w:tc>
          <w:tcPr>
            <w:tcW w:w="679" w:type="dxa"/>
            <w:vAlign w:val="center"/>
          </w:tcPr>
          <w:p w:rsidR="004F34D9" w:rsidRPr="00123108" w:rsidRDefault="004F34D9">
            <w:pPr>
              <w:widowControl/>
              <w:spacing w:line="240" w:lineRule="exact"/>
              <w:jc w:val="center"/>
              <w:rPr>
                <w:rFonts w:ascii="宋体" w:hAnsi="宋体" w:hint="eastAsia"/>
                <w:bCs/>
                <w:szCs w:val="21"/>
              </w:rPr>
            </w:pPr>
            <w:r w:rsidRPr="00123108">
              <w:rPr>
                <w:rFonts w:ascii="宋体" w:hAnsi="宋体" w:hint="eastAsia"/>
                <w:bCs/>
                <w:szCs w:val="21"/>
              </w:rPr>
              <w:t>20</w:t>
            </w:r>
          </w:p>
        </w:tc>
        <w:tc>
          <w:tcPr>
            <w:tcW w:w="4574" w:type="dxa"/>
            <w:vAlign w:val="center"/>
          </w:tcPr>
          <w:p w:rsidR="004F34D9" w:rsidRPr="00123108" w:rsidRDefault="004F34D9">
            <w:pPr>
              <w:tabs>
                <w:tab w:val="center" w:pos="4153"/>
              </w:tabs>
              <w:spacing w:line="240" w:lineRule="exact"/>
              <w:rPr>
                <w:rFonts w:ascii="宋体" w:hAnsi="宋体"/>
                <w:bCs/>
                <w:szCs w:val="21"/>
              </w:rPr>
            </w:pPr>
            <w:r w:rsidRPr="00123108">
              <w:rPr>
                <w:rFonts w:ascii="宋体" w:hAnsi="宋体"/>
                <w:szCs w:val="21"/>
              </w:rPr>
              <w:t>在不影响使用功能的情况下，生产设备可被人员接触到的部分及其零部件应设计成不带易伤人的锐角、利棱、凹凸不平的表面和较突出的部位。</w:t>
            </w:r>
          </w:p>
        </w:tc>
        <w:tc>
          <w:tcPr>
            <w:tcW w:w="1660" w:type="dxa"/>
            <w:vAlign w:val="center"/>
          </w:tcPr>
          <w:p w:rsidR="004F34D9" w:rsidRPr="00123108" w:rsidRDefault="004F34D9">
            <w:pPr>
              <w:tabs>
                <w:tab w:val="center" w:pos="4153"/>
              </w:tabs>
              <w:spacing w:line="240" w:lineRule="exact"/>
              <w:jc w:val="center"/>
              <w:rPr>
                <w:rFonts w:ascii="宋体" w:hAnsi="宋体"/>
                <w:szCs w:val="21"/>
              </w:rPr>
            </w:pPr>
            <w:r w:rsidRPr="00123108">
              <w:rPr>
                <w:rFonts w:ascii="宋体" w:hAnsi="宋体"/>
                <w:szCs w:val="21"/>
              </w:rPr>
              <w:t>GB5083-1999</w:t>
            </w:r>
          </w:p>
          <w:p w:rsidR="004F34D9" w:rsidRPr="00123108" w:rsidRDefault="004F34D9">
            <w:pPr>
              <w:tabs>
                <w:tab w:val="center" w:pos="4153"/>
              </w:tabs>
              <w:spacing w:line="240" w:lineRule="exact"/>
              <w:jc w:val="center"/>
              <w:rPr>
                <w:rFonts w:ascii="宋体" w:hAnsi="宋体"/>
                <w:szCs w:val="21"/>
              </w:rPr>
            </w:pPr>
            <w:r w:rsidRPr="00123108">
              <w:rPr>
                <w:rFonts w:ascii="宋体" w:hAnsi="宋体"/>
                <w:szCs w:val="21"/>
              </w:rPr>
              <w:t>第5.4条</w:t>
            </w:r>
          </w:p>
        </w:tc>
        <w:tc>
          <w:tcPr>
            <w:tcW w:w="709" w:type="dxa"/>
            <w:vAlign w:val="center"/>
          </w:tcPr>
          <w:p w:rsidR="004F34D9" w:rsidRPr="00123108" w:rsidRDefault="004F34D9">
            <w:pPr>
              <w:tabs>
                <w:tab w:val="center" w:pos="4153"/>
              </w:tabs>
              <w:spacing w:line="240" w:lineRule="exact"/>
              <w:rPr>
                <w:rFonts w:ascii="宋体" w:hAnsi="宋体"/>
                <w:bCs/>
                <w:szCs w:val="21"/>
              </w:rPr>
            </w:pPr>
            <w:r w:rsidRPr="00123108">
              <w:rPr>
                <w:rFonts w:ascii="宋体" w:hAnsi="宋体"/>
                <w:bCs/>
                <w:szCs w:val="21"/>
              </w:rPr>
              <w:t>符合</w:t>
            </w:r>
          </w:p>
        </w:tc>
        <w:tc>
          <w:tcPr>
            <w:tcW w:w="1779" w:type="dxa"/>
            <w:vAlign w:val="center"/>
          </w:tcPr>
          <w:p w:rsidR="004F34D9" w:rsidRPr="00123108" w:rsidRDefault="004F34D9">
            <w:pPr>
              <w:tabs>
                <w:tab w:val="center" w:pos="4153"/>
              </w:tabs>
              <w:spacing w:line="240" w:lineRule="exact"/>
              <w:rPr>
                <w:rFonts w:ascii="宋体" w:hAnsi="宋体"/>
                <w:bCs/>
                <w:szCs w:val="21"/>
              </w:rPr>
            </w:pPr>
            <w:r w:rsidRPr="00123108">
              <w:rPr>
                <w:rFonts w:ascii="宋体" w:hAnsi="宋体"/>
                <w:bCs/>
                <w:szCs w:val="21"/>
              </w:rPr>
              <w:t>生产设备</w:t>
            </w:r>
            <w:r w:rsidRPr="00123108">
              <w:rPr>
                <w:rFonts w:ascii="宋体" w:hAnsi="宋体"/>
                <w:szCs w:val="21"/>
              </w:rPr>
              <w:t>可被人员接触到的部分</w:t>
            </w:r>
            <w:r w:rsidRPr="00123108">
              <w:rPr>
                <w:rFonts w:ascii="宋体" w:hAnsi="宋体" w:hint="eastAsia"/>
                <w:szCs w:val="21"/>
              </w:rPr>
              <w:t>表面无突出部位</w:t>
            </w:r>
          </w:p>
        </w:tc>
      </w:tr>
      <w:tr w:rsidR="004F34D9" w:rsidRPr="00123108">
        <w:trPr>
          <w:trHeight w:val="340"/>
          <w:jc w:val="center"/>
        </w:trPr>
        <w:tc>
          <w:tcPr>
            <w:tcW w:w="679" w:type="dxa"/>
            <w:vAlign w:val="center"/>
          </w:tcPr>
          <w:p w:rsidR="004F34D9" w:rsidRPr="00123108" w:rsidRDefault="004F34D9">
            <w:pPr>
              <w:widowControl/>
              <w:spacing w:line="240" w:lineRule="exact"/>
              <w:jc w:val="center"/>
              <w:rPr>
                <w:rFonts w:ascii="宋体" w:hAnsi="宋体" w:hint="eastAsia"/>
                <w:bCs/>
                <w:szCs w:val="21"/>
              </w:rPr>
            </w:pPr>
            <w:r w:rsidRPr="00123108">
              <w:rPr>
                <w:rFonts w:ascii="宋体" w:hAnsi="宋体" w:hint="eastAsia"/>
                <w:bCs/>
                <w:szCs w:val="21"/>
              </w:rPr>
              <w:t>21</w:t>
            </w:r>
          </w:p>
        </w:tc>
        <w:tc>
          <w:tcPr>
            <w:tcW w:w="4574" w:type="dxa"/>
            <w:vAlign w:val="center"/>
          </w:tcPr>
          <w:p w:rsidR="004F34D9" w:rsidRPr="00123108" w:rsidRDefault="004F34D9">
            <w:pPr>
              <w:tabs>
                <w:tab w:val="center" w:pos="4153"/>
              </w:tabs>
              <w:spacing w:line="240" w:lineRule="exact"/>
              <w:rPr>
                <w:rFonts w:ascii="宋体" w:hAnsi="宋体"/>
                <w:bCs/>
                <w:szCs w:val="21"/>
              </w:rPr>
            </w:pPr>
            <w:r w:rsidRPr="00123108">
              <w:rPr>
                <w:rFonts w:ascii="宋体" w:hAnsi="宋体"/>
                <w:szCs w:val="21"/>
              </w:rPr>
              <w:t>生产设备必须保证操作点和操作区域有足够的照度，但要避免各种频闪效应和眩光现象。对可移动式设备，其灯光设计按有关专业标准执行。其他设备，照明设计按GB50034执行。</w:t>
            </w:r>
          </w:p>
        </w:tc>
        <w:tc>
          <w:tcPr>
            <w:tcW w:w="1660" w:type="dxa"/>
            <w:vAlign w:val="center"/>
          </w:tcPr>
          <w:p w:rsidR="004F34D9" w:rsidRPr="00123108" w:rsidRDefault="004F34D9">
            <w:pPr>
              <w:tabs>
                <w:tab w:val="center" w:pos="4153"/>
              </w:tabs>
              <w:spacing w:line="240" w:lineRule="exact"/>
              <w:jc w:val="center"/>
              <w:rPr>
                <w:rFonts w:ascii="宋体" w:hAnsi="宋体"/>
                <w:szCs w:val="21"/>
              </w:rPr>
            </w:pPr>
            <w:r w:rsidRPr="00123108">
              <w:rPr>
                <w:rFonts w:ascii="宋体" w:hAnsi="宋体"/>
                <w:szCs w:val="21"/>
              </w:rPr>
              <w:t>GB5083-1999</w:t>
            </w:r>
          </w:p>
          <w:p w:rsidR="004F34D9" w:rsidRPr="00123108" w:rsidRDefault="004F34D9">
            <w:pPr>
              <w:tabs>
                <w:tab w:val="center" w:pos="4153"/>
              </w:tabs>
              <w:spacing w:line="240" w:lineRule="exact"/>
              <w:jc w:val="center"/>
              <w:rPr>
                <w:rFonts w:ascii="宋体" w:hAnsi="宋体"/>
                <w:szCs w:val="21"/>
              </w:rPr>
            </w:pPr>
            <w:r w:rsidRPr="00123108">
              <w:rPr>
                <w:rFonts w:ascii="宋体" w:hAnsi="宋体"/>
                <w:szCs w:val="21"/>
              </w:rPr>
              <w:t>第5.8.1条</w:t>
            </w:r>
          </w:p>
        </w:tc>
        <w:tc>
          <w:tcPr>
            <w:tcW w:w="709" w:type="dxa"/>
            <w:vAlign w:val="center"/>
          </w:tcPr>
          <w:p w:rsidR="004F34D9" w:rsidRPr="00123108" w:rsidRDefault="004F34D9">
            <w:pPr>
              <w:tabs>
                <w:tab w:val="center" w:pos="4153"/>
              </w:tabs>
              <w:spacing w:line="240" w:lineRule="exact"/>
              <w:rPr>
                <w:rFonts w:ascii="宋体" w:hAnsi="宋体"/>
                <w:bCs/>
                <w:szCs w:val="21"/>
              </w:rPr>
            </w:pPr>
            <w:r w:rsidRPr="00123108">
              <w:rPr>
                <w:rFonts w:ascii="宋体" w:hAnsi="宋体"/>
                <w:bCs/>
                <w:szCs w:val="21"/>
              </w:rPr>
              <w:t>符合</w:t>
            </w:r>
          </w:p>
        </w:tc>
        <w:tc>
          <w:tcPr>
            <w:tcW w:w="1779" w:type="dxa"/>
            <w:vAlign w:val="center"/>
          </w:tcPr>
          <w:p w:rsidR="004F34D9" w:rsidRPr="00123108" w:rsidRDefault="004F34D9">
            <w:pPr>
              <w:tabs>
                <w:tab w:val="center" w:pos="4153"/>
              </w:tabs>
              <w:spacing w:line="240" w:lineRule="exact"/>
              <w:jc w:val="center"/>
              <w:rPr>
                <w:rFonts w:ascii="宋体" w:hAnsi="宋体" w:hint="eastAsia"/>
                <w:bCs/>
                <w:szCs w:val="21"/>
              </w:rPr>
            </w:pPr>
            <w:r w:rsidRPr="00123108">
              <w:rPr>
                <w:rFonts w:ascii="宋体" w:hAnsi="宋体" w:hint="eastAsia"/>
                <w:bCs/>
                <w:szCs w:val="21"/>
              </w:rPr>
              <w:t>照明充足</w:t>
            </w:r>
          </w:p>
        </w:tc>
      </w:tr>
      <w:tr w:rsidR="004F34D9" w:rsidRPr="00123108">
        <w:trPr>
          <w:trHeight w:val="340"/>
          <w:jc w:val="center"/>
        </w:trPr>
        <w:tc>
          <w:tcPr>
            <w:tcW w:w="679" w:type="dxa"/>
            <w:vAlign w:val="center"/>
          </w:tcPr>
          <w:p w:rsidR="004F34D9" w:rsidRPr="00123108" w:rsidRDefault="004F34D9">
            <w:pPr>
              <w:widowControl/>
              <w:spacing w:line="240" w:lineRule="exact"/>
              <w:jc w:val="center"/>
              <w:rPr>
                <w:rFonts w:ascii="宋体" w:hAnsi="宋体" w:hint="eastAsia"/>
                <w:bCs/>
                <w:szCs w:val="21"/>
              </w:rPr>
            </w:pPr>
            <w:r w:rsidRPr="00123108">
              <w:rPr>
                <w:rFonts w:ascii="宋体" w:hAnsi="宋体" w:hint="eastAsia"/>
                <w:bCs/>
                <w:szCs w:val="21"/>
              </w:rPr>
              <w:t>22</w:t>
            </w:r>
          </w:p>
        </w:tc>
        <w:tc>
          <w:tcPr>
            <w:tcW w:w="4574" w:type="dxa"/>
            <w:vAlign w:val="center"/>
          </w:tcPr>
          <w:p w:rsidR="004F34D9" w:rsidRPr="00123108" w:rsidRDefault="004F34D9">
            <w:pPr>
              <w:tabs>
                <w:tab w:val="center" w:pos="4153"/>
              </w:tabs>
              <w:spacing w:line="240" w:lineRule="exact"/>
              <w:rPr>
                <w:rFonts w:ascii="宋体" w:hAnsi="宋体"/>
                <w:bCs/>
                <w:szCs w:val="21"/>
              </w:rPr>
            </w:pPr>
            <w:r w:rsidRPr="00123108">
              <w:rPr>
                <w:rFonts w:ascii="宋体" w:hAnsi="宋体"/>
                <w:szCs w:val="21"/>
              </w:rPr>
              <w:t>高速旋转零部件必须配置具有足够强度、刚度和合适形态、尺寸的防护罩，必要时，应在设计中规定此类零部件的检查周期和更换标准。</w:t>
            </w:r>
          </w:p>
        </w:tc>
        <w:tc>
          <w:tcPr>
            <w:tcW w:w="1660" w:type="dxa"/>
            <w:vAlign w:val="center"/>
          </w:tcPr>
          <w:p w:rsidR="004F34D9" w:rsidRPr="00123108" w:rsidRDefault="004F34D9">
            <w:pPr>
              <w:tabs>
                <w:tab w:val="center" w:pos="4153"/>
              </w:tabs>
              <w:spacing w:line="240" w:lineRule="exact"/>
              <w:jc w:val="center"/>
              <w:rPr>
                <w:rFonts w:ascii="宋体" w:hAnsi="宋体"/>
                <w:szCs w:val="21"/>
              </w:rPr>
            </w:pPr>
            <w:r w:rsidRPr="00123108">
              <w:rPr>
                <w:rFonts w:ascii="宋体" w:hAnsi="宋体"/>
                <w:szCs w:val="21"/>
              </w:rPr>
              <w:t>GB5083-1999</w:t>
            </w:r>
          </w:p>
          <w:p w:rsidR="004F34D9" w:rsidRPr="00123108" w:rsidRDefault="004F34D9">
            <w:pPr>
              <w:tabs>
                <w:tab w:val="center" w:pos="4153"/>
              </w:tabs>
              <w:spacing w:line="240" w:lineRule="exact"/>
              <w:jc w:val="center"/>
              <w:rPr>
                <w:rFonts w:ascii="宋体" w:hAnsi="宋体"/>
                <w:szCs w:val="21"/>
              </w:rPr>
            </w:pPr>
            <w:r w:rsidRPr="00123108">
              <w:rPr>
                <w:rFonts w:ascii="宋体" w:hAnsi="宋体"/>
                <w:szCs w:val="21"/>
              </w:rPr>
              <w:t>第6.2.1条</w:t>
            </w:r>
          </w:p>
        </w:tc>
        <w:tc>
          <w:tcPr>
            <w:tcW w:w="709" w:type="dxa"/>
            <w:vAlign w:val="center"/>
          </w:tcPr>
          <w:p w:rsidR="004F34D9" w:rsidRPr="00123108" w:rsidRDefault="004F34D9">
            <w:pPr>
              <w:tabs>
                <w:tab w:val="center" w:pos="4153"/>
              </w:tabs>
              <w:spacing w:line="240" w:lineRule="exact"/>
              <w:rPr>
                <w:rFonts w:ascii="宋体" w:hAnsi="宋体"/>
                <w:bCs/>
                <w:szCs w:val="21"/>
              </w:rPr>
            </w:pPr>
            <w:r w:rsidRPr="00123108">
              <w:rPr>
                <w:rFonts w:ascii="宋体" w:hAnsi="宋体"/>
                <w:bCs/>
                <w:szCs w:val="21"/>
              </w:rPr>
              <w:t>符合</w:t>
            </w:r>
          </w:p>
        </w:tc>
        <w:tc>
          <w:tcPr>
            <w:tcW w:w="1779" w:type="dxa"/>
            <w:vAlign w:val="center"/>
          </w:tcPr>
          <w:p w:rsidR="004F34D9" w:rsidRPr="00123108" w:rsidRDefault="004F34D9">
            <w:pPr>
              <w:tabs>
                <w:tab w:val="center" w:pos="4153"/>
              </w:tabs>
              <w:spacing w:line="240" w:lineRule="exact"/>
              <w:jc w:val="center"/>
              <w:rPr>
                <w:rFonts w:ascii="宋体" w:hAnsi="宋体"/>
                <w:bCs/>
                <w:szCs w:val="21"/>
              </w:rPr>
            </w:pPr>
            <w:r w:rsidRPr="00123108">
              <w:rPr>
                <w:rFonts w:ascii="宋体" w:hAnsi="宋体"/>
                <w:szCs w:val="21"/>
              </w:rPr>
              <w:t>高速旋转零部件</w:t>
            </w:r>
            <w:r w:rsidRPr="00123108">
              <w:rPr>
                <w:rFonts w:ascii="宋体" w:hAnsi="宋体"/>
                <w:bCs/>
                <w:szCs w:val="21"/>
              </w:rPr>
              <w:t>有防护罩</w:t>
            </w:r>
          </w:p>
        </w:tc>
      </w:tr>
      <w:tr w:rsidR="004F34D9" w:rsidRPr="00123108">
        <w:trPr>
          <w:trHeight w:val="340"/>
          <w:jc w:val="center"/>
        </w:trPr>
        <w:tc>
          <w:tcPr>
            <w:tcW w:w="679" w:type="dxa"/>
            <w:vAlign w:val="center"/>
          </w:tcPr>
          <w:p w:rsidR="004F34D9" w:rsidRPr="00123108" w:rsidRDefault="004F34D9">
            <w:pPr>
              <w:widowControl/>
              <w:spacing w:line="240" w:lineRule="exact"/>
              <w:jc w:val="center"/>
              <w:rPr>
                <w:rFonts w:ascii="宋体" w:hAnsi="宋体" w:hint="eastAsia"/>
                <w:bCs/>
                <w:szCs w:val="21"/>
              </w:rPr>
            </w:pPr>
            <w:r w:rsidRPr="00123108">
              <w:rPr>
                <w:rFonts w:ascii="宋体" w:hAnsi="宋体" w:hint="eastAsia"/>
                <w:bCs/>
                <w:szCs w:val="21"/>
              </w:rPr>
              <w:t>23</w:t>
            </w:r>
          </w:p>
        </w:tc>
        <w:tc>
          <w:tcPr>
            <w:tcW w:w="4574" w:type="dxa"/>
            <w:vAlign w:val="center"/>
          </w:tcPr>
          <w:p w:rsidR="004F34D9" w:rsidRPr="00123108" w:rsidRDefault="004F34D9">
            <w:pPr>
              <w:tabs>
                <w:tab w:val="center" w:pos="4153"/>
              </w:tabs>
              <w:spacing w:line="240" w:lineRule="exact"/>
              <w:rPr>
                <w:rFonts w:ascii="宋体" w:hAnsi="宋体"/>
                <w:szCs w:val="21"/>
              </w:rPr>
            </w:pPr>
            <w:r w:rsidRPr="00123108">
              <w:rPr>
                <w:rFonts w:ascii="宋体" w:hAnsi="宋体"/>
                <w:szCs w:val="21"/>
              </w:rPr>
              <w:t>生产设备易发生危险的部位必须有安全标志。安全标志的图形、符号、文字、颜色等均必须符合GB2893、GB2894、GB6527.2、GB15052等标准规定。</w:t>
            </w:r>
          </w:p>
        </w:tc>
        <w:tc>
          <w:tcPr>
            <w:tcW w:w="1660" w:type="dxa"/>
            <w:vAlign w:val="center"/>
          </w:tcPr>
          <w:p w:rsidR="004F34D9" w:rsidRPr="00123108" w:rsidRDefault="004F34D9">
            <w:pPr>
              <w:tabs>
                <w:tab w:val="center" w:pos="4153"/>
              </w:tabs>
              <w:spacing w:line="240" w:lineRule="exact"/>
              <w:jc w:val="center"/>
              <w:rPr>
                <w:rFonts w:ascii="宋体" w:hAnsi="宋体"/>
                <w:szCs w:val="21"/>
              </w:rPr>
            </w:pPr>
            <w:r w:rsidRPr="00123108">
              <w:rPr>
                <w:rFonts w:ascii="宋体" w:hAnsi="宋体"/>
                <w:szCs w:val="21"/>
              </w:rPr>
              <w:t>GB5083-1999</w:t>
            </w:r>
          </w:p>
          <w:p w:rsidR="004F34D9" w:rsidRPr="00123108" w:rsidRDefault="004F34D9">
            <w:pPr>
              <w:tabs>
                <w:tab w:val="center" w:pos="4153"/>
              </w:tabs>
              <w:spacing w:line="240" w:lineRule="exact"/>
              <w:jc w:val="center"/>
              <w:rPr>
                <w:rFonts w:ascii="宋体" w:hAnsi="宋体"/>
                <w:szCs w:val="21"/>
              </w:rPr>
            </w:pPr>
            <w:r w:rsidRPr="00123108">
              <w:rPr>
                <w:rFonts w:ascii="宋体" w:hAnsi="宋体"/>
                <w:szCs w:val="21"/>
              </w:rPr>
              <w:t>第7.1条</w:t>
            </w:r>
          </w:p>
        </w:tc>
        <w:tc>
          <w:tcPr>
            <w:tcW w:w="709" w:type="dxa"/>
            <w:vAlign w:val="center"/>
          </w:tcPr>
          <w:p w:rsidR="004F34D9" w:rsidRPr="00123108" w:rsidRDefault="004F34D9">
            <w:pPr>
              <w:tabs>
                <w:tab w:val="center" w:pos="4153"/>
              </w:tabs>
              <w:spacing w:line="240" w:lineRule="exact"/>
              <w:rPr>
                <w:rFonts w:ascii="宋体" w:hAnsi="宋体"/>
                <w:bCs/>
                <w:szCs w:val="21"/>
              </w:rPr>
            </w:pPr>
            <w:r w:rsidRPr="00123108">
              <w:rPr>
                <w:rFonts w:ascii="宋体" w:hAnsi="宋体"/>
                <w:bCs/>
                <w:szCs w:val="21"/>
              </w:rPr>
              <w:t>符合</w:t>
            </w:r>
          </w:p>
        </w:tc>
        <w:tc>
          <w:tcPr>
            <w:tcW w:w="1779" w:type="dxa"/>
            <w:vAlign w:val="center"/>
          </w:tcPr>
          <w:p w:rsidR="004F34D9" w:rsidRPr="00123108" w:rsidRDefault="004F34D9">
            <w:pPr>
              <w:tabs>
                <w:tab w:val="center" w:pos="4153"/>
              </w:tabs>
              <w:spacing w:line="240" w:lineRule="exact"/>
              <w:jc w:val="center"/>
              <w:rPr>
                <w:rFonts w:ascii="宋体" w:hAnsi="宋体" w:hint="eastAsia"/>
                <w:bCs/>
                <w:szCs w:val="21"/>
              </w:rPr>
            </w:pPr>
            <w:r w:rsidRPr="00123108">
              <w:rPr>
                <w:rFonts w:ascii="宋体" w:hAnsi="宋体" w:hint="eastAsia"/>
                <w:bCs/>
                <w:szCs w:val="21"/>
              </w:rPr>
              <w:t>现场有安全标志</w:t>
            </w:r>
          </w:p>
        </w:tc>
      </w:tr>
      <w:tr w:rsidR="004F34D9" w:rsidRPr="00123108">
        <w:trPr>
          <w:trHeight w:val="340"/>
          <w:jc w:val="center"/>
        </w:trPr>
        <w:tc>
          <w:tcPr>
            <w:tcW w:w="679" w:type="dxa"/>
            <w:vAlign w:val="center"/>
          </w:tcPr>
          <w:p w:rsidR="004F34D9" w:rsidRPr="00123108" w:rsidRDefault="004F34D9">
            <w:pPr>
              <w:jc w:val="center"/>
              <w:rPr>
                <w:rFonts w:hint="eastAsia"/>
                <w:szCs w:val="21"/>
              </w:rPr>
            </w:pPr>
            <w:r w:rsidRPr="00123108">
              <w:rPr>
                <w:rFonts w:hint="eastAsia"/>
                <w:szCs w:val="21"/>
              </w:rPr>
              <w:t>24</w:t>
            </w:r>
          </w:p>
        </w:tc>
        <w:tc>
          <w:tcPr>
            <w:tcW w:w="4574" w:type="dxa"/>
          </w:tcPr>
          <w:p w:rsidR="004F34D9" w:rsidRPr="00123108" w:rsidRDefault="004F34D9">
            <w:pPr>
              <w:autoSpaceDE w:val="0"/>
              <w:autoSpaceDN w:val="0"/>
              <w:adjustRightInd w:val="0"/>
              <w:snapToGrid w:val="0"/>
              <w:jc w:val="left"/>
              <w:rPr>
                <w:rFonts w:ascii="宋体" w:hAnsi="宋体" w:hint="eastAsia"/>
                <w:szCs w:val="22"/>
              </w:rPr>
            </w:pPr>
            <w:r w:rsidRPr="00123108">
              <w:rPr>
                <w:rFonts w:ascii="宋体" w:hAnsi="宋体" w:hint="eastAsia"/>
              </w:rPr>
              <w:t>涉及“两重点一重大”的在役化工装置，是否开展HAZOP分析，HAZOP分析报告提出的建议是否得到有效落实。</w:t>
            </w:r>
          </w:p>
        </w:tc>
        <w:tc>
          <w:tcPr>
            <w:tcW w:w="1660" w:type="dxa"/>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浙安委〔2019〕8号</w:t>
            </w:r>
          </w:p>
        </w:tc>
        <w:tc>
          <w:tcPr>
            <w:tcW w:w="709" w:type="dxa"/>
            <w:vAlign w:val="center"/>
          </w:tcPr>
          <w:p w:rsidR="004F34D9" w:rsidRPr="00123108" w:rsidRDefault="004F34D9">
            <w:pPr>
              <w:tabs>
                <w:tab w:val="center" w:pos="4153"/>
              </w:tabs>
              <w:spacing w:line="240" w:lineRule="exact"/>
              <w:rPr>
                <w:rFonts w:ascii="宋体" w:hAnsi="宋体"/>
                <w:bCs/>
                <w:szCs w:val="21"/>
              </w:rPr>
            </w:pPr>
            <w:r w:rsidRPr="00123108">
              <w:rPr>
                <w:rFonts w:ascii="宋体" w:hAnsi="宋体"/>
                <w:bCs/>
                <w:szCs w:val="21"/>
              </w:rPr>
              <w:t>符合</w:t>
            </w:r>
          </w:p>
        </w:tc>
        <w:tc>
          <w:tcPr>
            <w:tcW w:w="1779" w:type="dxa"/>
            <w:vAlign w:val="center"/>
          </w:tcPr>
          <w:p w:rsidR="004F34D9" w:rsidRPr="00123108" w:rsidRDefault="004F34D9">
            <w:pPr>
              <w:tabs>
                <w:tab w:val="center" w:pos="4153"/>
              </w:tabs>
              <w:spacing w:line="240" w:lineRule="exact"/>
              <w:jc w:val="center"/>
              <w:rPr>
                <w:rFonts w:ascii="宋体" w:hAnsi="宋体" w:hint="eastAsia"/>
                <w:bCs/>
                <w:szCs w:val="21"/>
              </w:rPr>
            </w:pPr>
            <w:r w:rsidRPr="00123108">
              <w:rPr>
                <w:rFonts w:ascii="宋体" w:hAnsi="宋体" w:hint="eastAsia"/>
                <w:bCs/>
                <w:szCs w:val="21"/>
              </w:rPr>
              <w:t>已定期进行HAZOP分析</w:t>
            </w: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t xml:space="preserve"> 25</w:t>
            </w:r>
          </w:p>
        </w:tc>
        <w:tc>
          <w:tcPr>
            <w:tcW w:w="4574" w:type="dxa"/>
          </w:tcPr>
          <w:p w:rsidR="004F34D9" w:rsidRPr="00123108" w:rsidRDefault="004F34D9">
            <w:pPr>
              <w:autoSpaceDE w:val="0"/>
              <w:autoSpaceDN w:val="0"/>
              <w:adjustRightInd w:val="0"/>
              <w:snapToGrid w:val="0"/>
              <w:jc w:val="left"/>
              <w:rPr>
                <w:rFonts w:ascii="宋体" w:hAnsi="宋体" w:cs="宋体" w:hint="eastAsia"/>
                <w:kern w:val="0"/>
                <w:sz w:val="22"/>
                <w:szCs w:val="22"/>
              </w:rPr>
            </w:pPr>
            <w:r w:rsidRPr="00123108">
              <w:rPr>
                <w:rFonts w:ascii="宋体" w:hAnsi="宋体" w:cs="宋体" w:hint="eastAsia"/>
                <w:kern w:val="0"/>
                <w:sz w:val="22"/>
                <w:szCs w:val="22"/>
              </w:rPr>
              <w:t>企业是否制订工艺安全信息文件，包括：危险品危害信息；工艺技术信息；工艺设备信息。</w:t>
            </w:r>
          </w:p>
        </w:tc>
        <w:tc>
          <w:tcPr>
            <w:tcW w:w="1660" w:type="dxa"/>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浙安委〔2019〕8号</w:t>
            </w:r>
          </w:p>
        </w:tc>
        <w:tc>
          <w:tcPr>
            <w:tcW w:w="709" w:type="dxa"/>
            <w:vAlign w:val="center"/>
          </w:tcPr>
          <w:p w:rsidR="004F34D9" w:rsidRPr="00123108" w:rsidRDefault="004F34D9">
            <w:pPr>
              <w:jc w:val="center"/>
              <w:rPr>
                <w:rFonts w:ascii="宋体"/>
                <w:szCs w:val="21"/>
              </w:rPr>
            </w:pPr>
            <w:r w:rsidRPr="00123108">
              <w:rPr>
                <w:rFonts w:ascii="宋体" w:hAnsi="宋体"/>
                <w:bCs/>
                <w:szCs w:val="21"/>
              </w:rPr>
              <w:t>符合</w:t>
            </w:r>
          </w:p>
        </w:tc>
        <w:tc>
          <w:tcPr>
            <w:tcW w:w="1779" w:type="dxa"/>
            <w:vAlign w:val="center"/>
          </w:tcPr>
          <w:p w:rsidR="004F34D9" w:rsidRPr="00123108" w:rsidRDefault="004F34D9">
            <w:pPr>
              <w:jc w:val="center"/>
              <w:rPr>
                <w:rFonts w:ascii="宋体"/>
                <w:szCs w:val="21"/>
              </w:rPr>
            </w:pPr>
            <w:r w:rsidRPr="00123108">
              <w:rPr>
                <w:rFonts w:ascii="宋体" w:hint="eastAsia"/>
                <w:szCs w:val="21"/>
              </w:rPr>
              <w:t>制订有工艺安全文件</w:t>
            </w: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t>26</w:t>
            </w:r>
          </w:p>
        </w:tc>
        <w:tc>
          <w:tcPr>
            <w:tcW w:w="4574" w:type="dxa"/>
          </w:tcPr>
          <w:p w:rsidR="004F34D9" w:rsidRPr="00123108" w:rsidRDefault="004F34D9">
            <w:pPr>
              <w:autoSpaceDE w:val="0"/>
              <w:autoSpaceDN w:val="0"/>
              <w:adjustRightInd w:val="0"/>
              <w:snapToGrid w:val="0"/>
              <w:jc w:val="left"/>
              <w:rPr>
                <w:rFonts w:hint="eastAsia"/>
              </w:rPr>
            </w:pPr>
            <w:r w:rsidRPr="00123108">
              <w:rPr>
                <w:rFonts w:ascii="宋体" w:hAnsi="宋体" w:cs="宋体" w:hint="eastAsia"/>
                <w:kern w:val="0"/>
                <w:sz w:val="22"/>
                <w:szCs w:val="22"/>
              </w:rPr>
              <w:t>企业是否制定操作规程，应至少包括工艺控制指标，并明确正常控制范围、高低报警值、高高低低报警值、联锁值，开车、临时操作、应急操作、正常停车、和紧急停车操作步骤等。</w:t>
            </w:r>
          </w:p>
        </w:tc>
        <w:tc>
          <w:tcPr>
            <w:tcW w:w="1660" w:type="dxa"/>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浙安委〔2019〕8号</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hint="eastAsia"/>
                <w:bCs/>
                <w:szCs w:val="21"/>
              </w:rPr>
              <w:t>不</w:t>
            </w:r>
            <w:r w:rsidRPr="00123108">
              <w:rPr>
                <w:rFonts w:ascii="宋体" w:hAnsi="宋体"/>
                <w:bCs/>
                <w:szCs w:val="21"/>
              </w:rPr>
              <w:t>符合</w:t>
            </w:r>
          </w:p>
        </w:tc>
        <w:tc>
          <w:tcPr>
            <w:tcW w:w="1779"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有操作规程，未对清罐后初始入料流速等参数提出明确</w:t>
            </w: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t>27</w:t>
            </w:r>
          </w:p>
        </w:tc>
        <w:tc>
          <w:tcPr>
            <w:tcW w:w="4574" w:type="dxa"/>
          </w:tcPr>
          <w:p w:rsidR="004F34D9" w:rsidRPr="00123108" w:rsidRDefault="004F34D9">
            <w:pPr>
              <w:autoSpaceDE w:val="0"/>
              <w:autoSpaceDN w:val="0"/>
              <w:adjustRightInd w:val="0"/>
              <w:snapToGrid w:val="0"/>
              <w:jc w:val="left"/>
              <w:rPr>
                <w:rFonts w:ascii="宋体" w:hAnsi="宋体" w:cs="宋体" w:hint="eastAsia"/>
                <w:kern w:val="0"/>
                <w:sz w:val="22"/>
                <w:szCs w:val="22"/>
              </w:rPr>
            </w:pPr>
            <w:r w:rsidRPr="00123108">
              <w:rPr>
                <w:rFonts w:ascii="宋体" w:hAnsi="宋体" w:cs="宋体" w:hint="eastAsia"/>
                <w:kern w:val="0"/>
                <w:sz w:val="22"/>
                <w:szCs w:val="22"/>
              </w:rPr>
              <w:t>企业是否建立操作记录，定时进行巡回检查</w:t>
            </w:r>
          </w:p>
        </w:tc>
        <w:tc>
          <w:tcPr>
            <w:tcW w:w="1660" w:type="dxa"/>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浙安委〔2019〕</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8号</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bCs/>
                <w:szCs w:val="21"/>
              </w:rPr>
              <w:t>符合</w:t>
            </w:r>
          </w:p>
        </w:tc>
        <w:tc>
          <w:tcPr>
            <w:tcW w:w="1779"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建立操作记录定期巡回检查</w:t>
            </w: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t>28</w:t>
            </w:r>
          </w:p>
        </w:tc>
        <w:tc>
          <w:tcPr>
            <w:tcW w:w="4574" w:type="dxa"/>
          </w:tcPr>
          <w:p w:rsidR="004F34D9" w:rsidRPr="00123108" w:rsidRDefault="004F34D9">
            <w:pPr>
              <w:autoSpaceDE w:val="0"/>
              <w:autoSpaceDN w:val="0"/>
              <w:adjustRightInd w:val="0"/>
              <w:snapToGrid w:val="0"/>
              <w:jc w:val="left"/>
              <w:rPr>
                <w:rFonts w:ascii="宋体" w:hAnsi="宋体" w:cs="宋体" w:hint="eastAsia"/>
                <w:kern w:val="0"/>
                <w:sz w:val="22"/>
                <w:szCs w:val="22"/>
              </w:rPr>
            </w:pPr>
            <w:r w:rsidRPr="00123108">
              <w:rPr>
                <w:rFonts w:ascii="宋体" w:hAnsi="宋体" w:cs="宋体" w:hint="eastAsia"/>
                <w:kern w:val="0"/>
                <w:sz w:val="22"/>
                <w:szCs w:val="22"/>
              </w:rPr>
              <w:t>是否建立工艺报警处置程序，及时处置工艺报警并记录。</w:t>
            </w:r>
          </w:p>
        </w:tc>
        <w:tc>
          <w:tcPr>
            <w:tcW w:w="1660" w:type="dxa"/>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浙安委〔2019〕</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8号</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bCs/>
                <w:szCs w:val="21"/>
              </w:rPr>
              <w:t>符合</w:t>
            </w:r>
          </w:p>
        </w:tc>
        <w:tc>
          <w:tcPr>
            <w:tcW w:w="1779"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建立工艺报警处置程序</w:t>
            </w: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t>29</w:t>
            </w:r>
          </w:p>
        </w:tc>
        <w:tc>
          <w:tcPr>
            <w:tcW w:w="4574" w:type="dxa"/>
          </w:tcPr>
          <w:p w:rsidR="004F34D9" w:rsidRPr="00123108" w:rsidRDefault="004F34D9">
            <w:pPr>
              <w:autoSpaceDE w:val="0"/>
              <w:autoSpaceDN w:val="0"/>
              <w:adjustRightInd w:val="0"/>
              <w:snapToGrid w:val="0"/>
              <w:jc w:val="left"/>
              <w:rPr>
                <w:rFonts w:ascii="宋体" w:hAnsi="宋体" w:cs="宋体" w:hint="eastAsia"/>
                <w:kern w:val="0"/>
                <w:sz w:val="22"/>
                <w:szCs w:val="22"/>
              </w:rPr>
            </w:pPr>
            <w:r w:rsidRPr="00123108">
              <w:rPr>
                <w:rFonts w:ascii="宋体" w:hAnsi="宋体" w:cs="宋体" w:hint="eastAsia"/>
                <w:kern w:val="0"/>
                <w:sz w:val="22"/>
                <w:szCs w:val="22"/>
              </w:rPr>
              <w:t>有氮气保护设施的储罐氮封系统是否完好在用</w:t>
            </w:r>
          </w:p>
        </w:tc>
        <w:tc>
          <w:tcPr>
            <w:tcW w:w="1660" w:type="dxa"/>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浙安委〔2019〕</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8号</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bCs/>
                <w:szCs w:val="21"/>
              </w:rPr>
              <w:t>符合</w:t>
            </w:r>
          </w:p>
        </w:tc>
        <w:tc>
          <w:tcPr>
            <w:tcW w:w="1779"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现场检查时投用氮封完好</w:t>
            </w: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t>30</w:t>
            </w:r>
          </w:p>
        </w:tc>
        <w:tc>
          <w:tcPr>
            <w:tcW w:w="4574" w:type="dxa"/>
          </w:tcPr>
          <w:p w:rsidR="004F34D9" w:rsidRPr="00123108" w:rsidRDefault="004F34D9">
            <w:pPr>
              <w:autoSpaceDE w:val="0"/>
              <w:autoSpaceDN w:val="0"/>
              <w:adjustRightInd w:val="0"/>
              <w:snapToGrid w:val="0"/>
              <w:jc w:val="left"/>
              <w:rPr>
                <w:rFonts w:ascii="宋体" w:hAnsi="宋体" w:cs="宋体" w:hint="eastAsia"/>
                <w:kern w:val="0"/>
                <w:sz w:val="22"/>
                <w:szCs w:val="22"/>
              </w:rPr>
            </w:pPr>
            <w:r w:rsidRPr="00123108">
              <w:rPr>
                <w:rFonts w:ascii="宋体" w:hAnsi="宋体" w:cs="宋体" w:hint="eastAsia"/>
                <w:kern w:val="0"/>
                <w:sz w:val="22"/>
                <w:szCs w:val="22"/>
              </w:rPr>
              <w:t>汽车是否安装阻火器，是否定位并熄火，汽</w:t>
            </w:r>
            <w:r w:rsidRPr="00123108">
              <w:rPr>
                <w:rFonts w:ascii="宋体" w:hAnsi="宋体" w:cs="宋体" w:hint="eastAsia"/>
                <w:kern w:val="0"/>
                <w:sz w:val="22"/>
                <w:szCs w:val="22"/>
              </w:rPr>
              <w:lastRenderedPageBreak/>
              <w:t>车罐车和装卸场所，是否设置防静电专用接地线</w:t>
            </w:r>
          </w:p>
        </w:tc>
        <w:tc>
          <w:tcPr>
            <w:tcW w:w="1660" w:type="dxa"/>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lastRenderedPageBreak/>
              <w:t>浙安委</w:t>
            </w:r>
            <w:r w:rsidRPr="00123108">
              <w:rPr>
                <w:rFonts w:ascii="宋体" w:hAnsi="宋体" w:cs="宋体" w:hint="eastAsia"/>
                <w:kern w:val="0"/>
                <w:szCs w:val="21"/>
              </w:rPr>
              <w:lastRenderedPageBreak/>
              <w:t>〔2019〕</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8号</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bCs/>
                <w:szCs w:val="21"/>
              </w:rPr>
              <w:lastRenderedPageBreak/>
              <w:t>符合</w:t>
            </w:r>
          </w:p>
        </w:tc>
        <w:tc>
          <w:tcPr>
            <w:tcW w:w="1779"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现场检查时未发</w:t>
            </w:r>
            <w:r w:rsidRPr="00123108">
              <w:rPr>
                <w:rFonts w:ascii="宋体" w:hAnsi="宋体" w:cs="宋体" w:hint="eastAsia"/>
                <w:kern w:val="0"/>
                <w:szCs w:val="21"/>
              </w:rPr>
              <w:lastRenderedPageBreak/>
              <w:t>现不符合项</w:t>
            </w: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lastRenderedPageBreak/>
              <w:t>31</w:t>
            </w:r>
          </w:p>
        </w:tc>
        <w:tc>
          <w:tcPr>
            <w:tcW w:w="4574" w:type="dxa"/>
          </w:tcPr>
          <w:p w:rsidR="004F34D9" w:rsidRPr="00123108" w:rsidRDefault="004F34D9">
            <w:pPr>
              <w:autoSpaceDE w:val="0"/>
              <w:autoSpaceDN w:val="0"/>
              <w:adjustRightInd w:val="0"/>
              <w:snapToGrid w:val="0"/>
              <w:jc w:val="left"/>
              <w:rPr>
                <w:rFonts w:ascii="宋体" w:hAnsi="宋体"/>
                <w:szCs w:val="21"/>
              </w:rPr>
            </w:pPr>
            <w:r w:rsidRPr="00123108">
              <w:rPr>
                <w:rFonts w:ascii="宋体" w:hAnsi="宋体" w:cs="宋体" w:hint="eastAsia"/>
                <w:kern w:val="0"/>
                <w:szCs w:val="21"/>
              </w:rPr>
              <w:t>企业是否建立设备防腐蚀管理制度，并依据制度定期对易腐蚀、易磨损的容器及管道，应定期测厚，有监测记录。</w:t>
            </w:r>
          </w:p>
        </w:tc>
        <w:tc>
          <w:tcPr>
            <w:tcW w:w="1660" w:type="dxa"/>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浙安委〔2019〕</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8号</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bCs/>
                <w:szCs w:val="21"/>
              </w:rPr>
              <w:t>符合</w:t>
            </w:r>
          </w:p>
        </w:tc>
        <w:tc>
          <w:tcPr>
            <w:tcW w:w="1779"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有相关管理制度</w:t>
            </w: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t>32</w:t>
            </w:r>
          </w:p>
        </w:tc>
        <w:tc>
          <w:tcPr>
            <w:tcW w:w="4574" w:type="dxa"/>
          </w:tcPr>
          <w:p w:rsidR="004F34D9" w:rsidRPr="00123108" w:rsidRDefault="004F34D9">
            <w:pPr>
              <w:autoSpaceDE w:val="0"/>
              <w:autoSpaceDN w:val="0"/>
              <w:adjustRightInd w:val="0"/>
              <w:snapToGrid w:val="0"/>
              <w:jc w:val="left"/>
              <w:rPr>
                <w:rFonts w:ascii="宋体" w:hAnsi="宋体" w:hint="eastAsia"/>
                <w:szCs w:val="21"/>
              </w:rPr>
            </w:pPr>
            <w:r w:rsidRPr="00123108">
              <w:rPr>
                <w:rFonts w:ascii="宋体" w:hAnsi="宋体" w:cs="宋体" w:hint="eastAsia"/>
                <w:kern w:val="0"/>
                <w:szCs w:val="21"/>
              </w:rPr>
              <w:t>企业是否建立安全附件管理制度，或在有关制度中明确安全附件的管理内容</w:t>
            </w:r>
          </w:p>
        </w:tc>
        <w:tc>
          <w:tcPr>
            <w:tcW w:w="1660" w:type="dxa"/>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浙安委〔2019〕</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8号</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bCs/>
                <w:szCs w:val="21"/>
              </w:rPr>
              <w:t>符合</w:t>
            </w:r>
          </w:p>
        </w:tc>
        <w:tc>
          <w:tcPr>
            <w:tcW w:w="1779"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制度中已包含</w:t>
            </w: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t>33</w:t>
            </w:r>
          </w:p>
        </w:tc>
        <w:tc>
          <w:tcPr>
            <w:tcW w:w="4574" w:type="dxa"/>
          </w:tcPr>
          <w:p w:rsidR="004F34D9" w:rsidRPr="00123108" w:rsidRDefault="004F34D9">
            <w:pPr>
              <w:autoSpaceDE w:val="0"/>
              <w:autoSpaceDN w:val="0"/>
              <w:adjustRightInd w:val="0"/>
              <w:snapToGrid w:val="0"/>
              <w:jc w:val="left"/>
              <w:rPr>
                <w:rFonts w:ascii="宋体" w:hAnsi="宋体" w:hint="eastAsia"/>
                <w:szCs w:val="21"/>
              </w:rPr>
            </w:pPr>
            <w:r w:rsidRPr="00123108">
              <w:rPr>
                <w:rFonts w:ascii="宋体" w:hAnsi="宋体" w:cs="宋体" w:hint="eastAsia"/>
                <w:kern w:val="0"/>
                <w:szCs w:val="21"/>
              </w:rPr>
              <w:t>安全阀、爆破片等安全附件是否正常投用</w:t>
            </w:r>
          </w:p>
        </w:tc>
        <w:tc>
          <w:tcPr>
            <w:tcW w:w="1660" w:type="dxa"/>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浙安委〔2019〕</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8号</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hint="eastAsia"/>
                <w:szCs w:val="21"/>
              </w:rPr>
              <w:t>符合</w:t>
            </w:r>
          </w:p>
        </w:tc>
        <w:tc>
          <w:tcPr>
            <w:tcW w:w="1779"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安全阀、爆破片等正常投用</w:t>
            </w: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t>三</w:t>
            </w:r>
          </w:p>
        </w:tc>
        <w:tc>
          <w:tcPr>
            <w:tcW w:w="4574" w:type="dxa"/>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特种设备及其管理</w:t>
            </w:r>
          </w:p>
        </w:tc>
        <w:tc>
          <w:tcPr>
            <w:tcW w:w="1660" w:type="dxa"/>
          </w:tcPr>
          <w:p w:rsidR="004F34D9" w:rsidRPr="00123108" w:rsidRDefault="004F34D9">
            <w:pPr>
              <w:jc w:val="center"/>
              <w:rPr>
                <w:rFonts w:hint="eastAsia"/>
              </w:rPr>
            </w:pPr>
          </w:p>
        </w:tc>
        <w:tc>
          <w:tcPr>
            <w:tcW w:w="709" w:type="dxa"/>
            <w:vAlign w:val="center"/>
          </w:tcPr>
          <w:p w:rsidR="004F34D9" w:rsidRPr="00123108" w:rsidRDefault="004F34D9">
            <w:pPr>
              <w:jc w:val="center"/>
              <w:rPr>
                <w:rFonts w:ascii="宋体" w:hAnsi="宋体" w:hint="eastAsia"/>
                <w:szCs w:val="21"/>
              </w:rPr>
            </w:pPr>
          </w:p>
        </w:tc>
        <w:tc>
          <w:tcPr>
            <w:tcW w:w="1779" w:type="dxa"/>
            <w:vAlign w:val="center"/>
          </w:tcPr>
          <w:p w:rsidR="004F34D9" w:rsidRPr="00123108" w:rsidRDefault="004F34D9">
            <w:pPr>
              <w:jc w:val="center"/>
              <w:rPr>
                <w:rFonts w:ascii="宋体" w:hAnsi="宋体" w:hint="eastAsia"/>
                <w:szCs w:val="21"/>
              </w:rPr>
            </w:pP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t>34</w:t>
            </w:r>
          </w:p>
        </w:tc>
        <w:tc>
          <w:tcPr>
            <w:tcW w:w="4574" w:type="dxa"/>
            <w:vAlign w:val="center"/>
          </w:tcPr>
          <w:p w:rsidR="004F34D9" w:rsidRPr="00123108" w:rsidRDefault="004F34D9">
            <w:pPr>
              <w:autoSpaceDE w:val="0"/>
              <w:autoSpaceDN w:val="0"/>
              <w:adjustRightInd w:val="0"/>
              <w:snapToGrid w:val="0"/>
              <w:jc w:val="left"/>
              <w:rPr>
                <w:rFonts w:ascii="宋体" w:hAnsi="宋体" w:cs="宋体" w:hint="eastAsia"/>
                <w:szCs w:val="21"/>
              </w:rPr>
            </w:pPr>
            <w:r w:rsidRPr="00123108">
              <w:rPr>
                <w:rFonts w:ascii="宋体" w:hAnsi="宋体" w:cs="宋体" w:hint="eastAsia"/>
                <w:szCs w:val="21"/>
              </w:rPr>
              <w:t>压力容器使用单位应当按照《特种设备使用管理规则》的有关要求，对压力容器进行使用安全管理，设置安全管理机构，配备安全管理负责人、安全管理人员和作业人员，办理使用登记，建立各项安全管理制度，制定操作规程，并且进行检查</w:t>
            </w:r>
          </w:p>
        </w:tc>
        <w:tc>
          <w:tcPr>
            <w:tcW w:w="166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TSG 21-2016/XG1-2020</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第7.1.1条</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hint="eastAsia"/>
                <w:szCs w:val="21"/>
              </w:rPr>
              <w:t>符合</w:t>
            </w:r>
          </w:p>
        </w:tc>
        <w:tc>
          <w:tcPr>
            <w:tcW w:w="1779"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有特种设备管理人员、压力容器定期检测</w:t>
            </w: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t>35</w:t>
            </w:r>
          </w:p>
        </w:tc>
        <w:tc>
          <w:tcPr>
            <w:tcW w:w="4574" w:type="dxa"/>
            <w:vAlign w:val="center"/>
          </w:tcPr>
          <w:p w:rsidR="004F34D9" w:rsidRPr="00123108" w:rsidRDefault="004F34D9">
            <w:pPr>
              <w:autoSpaceDE w:val="0"/>
              <w:autoSpaceDN w:val="0"/>
              <w:adjustRightInd w:val="0"/>
              <w:snapToGrid w:val="0"/>
              <w:jc w:val="left"/>
              <w:rPr>
                <w:rFonts w:ascii="宋体" w:hAnsi="宋体" w:cs="宋体" w:hint="eastAsia"/>
                <w:szCs w:val="21"/>
              </w:rPr>
            </w:pPr>
            <w:r w:rsidRPr="00123108">
              <w:rPr>
                <w:rFonts w:ascii="宋体" w:hAnsi="宋体" w:cs="宋体" w:hint="eastAsia"/>
                <w:szCs w:val="21"/>
              </w:rPr>
              <w:t>使用单位应当按照规定在压力容器投入使用前或者投入使用后30日内，向所在地负责特种设备使用登记的部门（以下简称使用登记机关）申请办理《特种设备使用登记证》（以下简称《使用登记证》）</w:t>
            </w:r>
          </w:p>
        </w:tc>
        <w:tc>
          <w:tcPr>
            <w:tcW w:w="166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TSG 21-2016/XG1-2020</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第7.1.2条</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hint="eastAsia"/>
                <w:szCs w:val="21"/>
              </w:rPr>
              <w:t>符合</w:t>
            </w:r>
          </w:p>
        </w:tc>
        <w:tc>
          <w:tcPr>
            <w:tcW w:w="1779"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压力容器已进行登记</w:t>
            </w: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t>36</w:t>
            </w:r>
          </w:p>
        </w:tc>
        <w:tc>
          <w:tcPr>
            <w:tcW w:w="4574" w:type="dxa"/>
            <w:vAlign w:val="center"/>
          </w:tcPr>
          <w:p w:rsidR="004F34D9" w:rsidRPr="00123108" w:rsidRDefault="004F34D9">
            <w:pPr>
              <w:autoSpaceDE w:val="0"/>
              <w:autoSpaceDN w:val="0"/>
              <w:adjustRightInd w:val="0"/>
              <w:snapToGrid w:val="0"/>
              <w:jc w:val="left"/>
              <w:rPr>
                <w:rFonts w:ascii="宋体" w:hAnsi="宋体" w:cs="宋体" w:hint="eastAsia"/>
                <w:szCs w:val="21"/>
              </w:rPr>
            </w:pPr>
            <w:r w:rsidRPr="00123108">
              <w:rPr>
                <w:rFonts w:ascii="宋体" w:hAnsi="宋体" w:cs="宋体" w:hint="eastAsia"/>
                <w:szCs w:val="21"/>
              </w:rPr>
              <w:t>使用单位应当在压力容器定期检验有效期届满的1个月以前，向特种设备检验机构提出定期检验申请，并且做好定期检验相关的准备工作。</w:t>
            </w:r>
          </w:p>
        </w:tc>
        <w:tc>
          <w:tcPr>
            <w:tcW w:w="166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TSG 21-2016/XG1-2020</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第7.1.6条</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hint="eastAsia"/>
                <w:szCs w:val="21"/>
              </w:rPr>
              <w:t>符合</w:t>
            </w:r>
          </w:p>
        </w:tc>
        <w:tc>
          <w:tcPr>
            <w:tcW w:w="1779"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压力容器定期检测，在有效期内</w:t>
            </w: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t>37</w:t>
            </w:r>
          </w:p>
        </w:tc>
        <w:tc>
          <w:tcPr>
            <w:tcW w:w="4574" w:type="dxa"/>
            <w:vAlign w:val="center"/>
          </w:tcPr>
          <w:p w:rsidR="004F34D9" w:rsidRPr="00123108" w:rsidRDefault="004F34D9">
            <w:pPr>
              <w:autoSpaceDE w:val="0"/>
              <w:autoSpaceDN w:val="0"/>
              <w:adjustRightInd w:val="0"/>
              <w:snapToGrid w:val="0"/>
              <w:jc w:val="left"/>
              <w:rPr>
                <w:rFonts w:ascii="宋体" w:hAnsi="宋体" w:cs="宋体" w:hint="eastAsia"/>
                <w:szCs w:val="21"/>
              </w:rPr>
            </w:pPr>
            <w:r w:rsidRPr="00123108">
              <w:rPr>
                <w:rFonts w:ascii="宋体" w:hAnsi="宋体" w:cs="宋体" w:hint="eastAsia"/>
                <w:szCs w:val="21"/>
              </w:rPr>
              <w:t>安全阀一般每年至少校验一次，符合本规程7.2.3.1.3.2、7.2.3.1.3.3 校验周期延长的特殊要求，经过使用单位安全管理负责人批准可以按照其要求适当延长校验周期</w:t>
            </w:r>
          </w:p>
        </w:tc>
        <w:tc>
          <w:tcPr>
            <w:tcW w:w="166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TSG 21-2016/XG1-2020</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第7.2.3.1条</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hint="eastAsia"/>
                <w:szCs w:val="21"/>
              </w:rPr>
              <w:t>符合</w:t>
            </w:r>
          </w:p>
        </w:tc>
        <w:tc>
          <w:tcPr>
            <w:tcW w:w="1779"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安全阀定期校验并在有效期内</w:t>
            </w: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t>四</w:t>
            </w:r>
          </w:p>
        </w:tc>
        <w:tc>
          <w:tcPr>
            <w:tcW w:w="4574" w:type="dxa"/>
            <w:vAlign w:val="center"/>
          </w:tcPr>
          <w:p w:rsidR="004F34D9" w:rsidRPr="00123108" w:rsidRDefault="004F34D9">
            <w:pPr>
              <w:autoSpaceDE w:val="0"/>
              <w:autoSpaceDN w:val="0"/>
              <w:adjustRightInd w:val="0"/>
              <w:snapToGrid w:val="0"/>
              <w:jc w:val="left"/>
              <w:rPr>
                <w:rFonts w:ascii="宋体" w:hAnsi="宋体" w:cs="宋体" w:hint="eastAsia"/>
                <w:szCs w:val="21"/>
              </w:rPr>
            </w:pPr>
            <w:r w:rsidRPr="00123108">
              <w:rPr>
                <w:rFonts w:ascii="宋体" w:hAnsi="宋体" w:cs="宋体" w:hint="eastAsia"/>
                <w:szCs w:val="21"/>
              </w:rPr>
              <w:t>其他</w:t>
            </w:r>
          </w:p>
        </w:tc>
        <w:tc>
          <w:tcPr>
            <w:tcW w:w="1660" w:type="dxa"/>
            <w:vAlign w:val="center"/>
          </w:tcPr>
          <w:p w:rsidR="004F34D9" w:rsidRPr="00123108" w:rsidRDefault="004F34D9">
            <w:pPr>
              <w:spacing w:line="340" w:lineRule="exact"/>
              <w:jc w:val="center"/>
              <w:rPr>
                <w:rFonts w:ascii="宋体" w:hAnsi="宋体" w:cs="宋体" w:hint="eastAsia"/>
              </w:rPr>
            </w:pPr>
          </w:p>
        </w:tc>
        <w:tc>
          <w:tcPr>
            <w:tcW w:w="709" w:type="dxa"/>
            <w:vAlign w:val="center"/>
          </w:tcPr>
          <w:p w:rsidR="004F34D9" w:rsidRPr="00123108" w:rsidRDefault="004F34D9">
            <w:pPr>
              <w:jc w:val="center"/>
              <w:rPr>
                <w:rFonts w:ascii="宋体" w:hAnsi="宋体" w:hint="eastAsia"/>
                <w:szCs w:val="21"/>
              </w:rPr>
            </w:pPr>
          </w:p>
        </w:tc>
        <w:tc>
          <w:tcPr>
            <w:tcW w:w="1779" w:type="dxa"/>
            <w:vAlign w:val="center"/>
          </w:tcPr>
          <w:p w:rsidR="004F34D9" w:rsidRPr="00123108" w:rsidRDefault="004F34D9">
            <w:pPr>
              <w:jc w:val="center"/>
              <w:rPr>
                <w:rFonts w:ascii="宋体" w:hAnsi="宋体" w:hint="eastAsia"/>
                <w:szCs w:val="21"/>
              </w:rPr>
            </w:pP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t>38</w:t>
            </w:r>
          </w:p>
        </w:tc>
        <w:tc>
          <w:tcPr>
            <w:tcW w:w="4574" w:type="dxa"/>
            <w:vAlign w:val="center"/>
          </w:tcPr>
          <w:p w:rsidR="004F34D9" w:rsidRPr="00123108" w:rsidRDefault="004F34D9">
            <w:pPr>
              <w:autoSpaceDE w:val="0"/>
              <w:autoSpaceDN w:val="0"/>
              <w:adjustRightInd w:val="0"/>
              <w:snapToGrid w:val="0"/>
              <w:jc w:val="left"/>
              <w:rPr>
                <w:rFonts w:ascii="宋体" w:hAnsi="宋体" w:cs="宋体" w:hint="eastAsia"/>
                <w:szCs w:val="21"/>
              </w:rPr>
            </w:pPr>
            <w:r w:rsidRPr="00123108">
              <w:rPr>
                <w:rFonts w:ascii="宋体" w:hAnsi="宋体" w:cs="宋体" w:hint="eastAsia"/>
                <w:szCs w:val="21"/>
              </w:rPr>
              <w:t>涉及“两重点一重大”的在役化工装置，是否开展HAZOP分析，HAZOP分析报告提出的建议是否得到有效落实。</w:t>
            </w:r>
          </w:p>
        </w:tc>
        <w:tc>
          <w:tcPr>
            <w:tcW w:w="166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浙安委〔2019〕8号</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hint="eastAsia"/>
                <w:szCs w:val="21"/>
              </w:rPr>
              <w:t>符合</w:t>
            </w:r>
          </w:p>
        </w:tc>
        <w:tc>
          <w:tcPr>
            <w:tcW w:w="1779" w:type="dxa"/>
            <w:vAlign w:val="center"/>
          </w:tcPr>
          <w:p w:rsidR="004F34D9" w:rsidRPr="00123108" w:rsidRDefault="004F34D9">
            <w:pPr>
              <w:autoSpaceDE w:val="0"/>
              <w:autoSpaceDN w:val="0"/>
              <w:adjustRightInd w:val="0"/>
              <w:snapToGrid w:val="0"/>
              <w:jc w:val="left"/>
              <w:rPr>
                <w:rFonts w:ascii="宋体" w:hAnsi="宋体" w:hint="eastAsia"/>
                <w:szCs w:val="21"/>
              </w:rPr>
            </w:pPr>
            <w:r w:rsidRPr="00123108">
              <w:rPr>
                <w:rFonts w:ascii="宋体" w:hAnsi="宋体" w:cs="宋体" w:hint="eastAsia"/>
                <w:kern w:val="0"/>
                <w:szCs w:val="21"/>
              </w:rPr>
              <w:t>已定期进行HAZOP分析</w:t>
            </w: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t>39</w:t>
            </w:r>
          </w:p>
        </w:tc>
        <w:tc>
          <w:tcPr>
            <w:tcW w:w="4574"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企业是否制订工艺安全信息文件，包括：危险品危害信息；工艺技术信息；工艺设备信息。</w:t>
            </w:r>
          </w:p>
        </w:tc>
        <w:tc>
          <w:tcPr>
            <w:tcW w:w="166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浙安委〔2019〕8号</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hint="eastAsia"/>
                <w:szCs w:val="21"/>
              </w:rPr>
              <w:t>符合</w:t>
            </w:r>
          </w:p>
        </w:tc>
        <w:tc>
          <w:tcPr>
            <w:tcW w:w="1779"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已制订工艺安全信息文件</w:t>
            </w: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t>40</w:t>
            </w:r>
          </w:p>
        </w:tc>
        <w:tc>
          <w:tcPr>
            <w:tcW w:w="4574" w:type="dxa"/>
            <w:vAlign w:val="center"/>
          </w:tcPr>
          <w:p w:rsidR="004F34D9" w:rsidRPr="00123108" w:rsidRDefault="004F34D9">
            <w:pPr>
              <w:autoSpaceDE w:val="0"/>
              <w:autoSpaceDN w:val="0"/>
              <w:adjustRightInd w:val="0"/>
              <w:snapToGrid w:val="0"/>
              <w:jc w:val="left"/>
              <w:rPr>
                <w:rFonts w:ascii="宋体" w:hAnsi="宋体" w:cs="宋体" w:hint="eastAsia"/>
                <w:szCs w:val="21"/>
              </w:rPr>
            </w:pPr>
            <w:r w:rsidRPr="00123108">
              <w:rPr>
                <w:rFonts w:ascii="宋体" w:hAnsi="宋体" w:cs="宋体" w:hint="eastAsia"/>
                <w:kern w:val="0"/>
                <w:szCs w:val="21"/>
              </w:rPr>
              <w:t>企业是否制定操作规程，应至少包括工艺控制指标，并明确正常控制范围、高低报警值、高高低低报警值、联锁值，开车、临时操作、应急操作、正常停车、和紧急停车操作步骤等。</w:t>
            </w:r>
          </w:p>
        </w:tc>
        <w:tc>
          <w:tcPr>
            <w:tcW w:w="166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浙安委〔2019〕8号</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hint="eastAsia"/>
                <w:szCs w:val="21"/>
              </w:rPr>
              <w:t>不符合</w:t>
            </w:r>
          </w:p>
        </w:tc>
        <w:tc>
          <w:tcPr>
            <w:tcW w:w="1779"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已制定操作规程；未制定操作规程管理制度</w:t>
            </w: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t>41</w:t>
            </w:r>
          </w:p>
        </w:tc>
        <w:tc>
          <w:tcPr>
            <w:tcW w:w="4574" w:type="dxa"/>
            <w:vAlign w:val="center"/>
          </w:tcPr>
          <w:p w:rsidR="004F34D9" w:rsidRPr="00123108" w:rsidRDefault="004F34D9">
            <w:pPr>
              <w:autoSpaceDE w:val="0"/>
              <w:autoSpaceDN w:val="0"/>
              <w:adjustRightInd w:val="0"/>
              <w:snapToGrid w:val="0"/>
              <w:jc w:val="left"/>
              <w:rPr>
                <w:rFonts w:ascii="宋体" w:hAnsi="宋体" w:cs="宋体" w:hint="eastAsia"/>
                <w:kern w:val="0"/>
                <w:sz w:val="22"/>
                <w:szCs w:val="22"/>
              </w:rPr>
            </w:pPr>
            <w:r w:rsidRPr="00123108">
              <w:rPr>
                <w:rFonts w:ascii="宋体" w:hAnsi="宋体" w:cs="宋体" w:hint="eastAsia"/>
                <w:kern w:val="0"/>
                <w:sz w:val="22"/>
                <w:szCs w:val="22"/>
              </w:rPr>
              <w:t>企业是否建立操作记录，定时进行巡回检查</w:t>
            </w:r>
          </w:p>
        </w:tc>
        <w:tc>
          <w:tcPr>
            <w:tcW w:w="166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浙安委〔2019〕8号</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hint="eastAsia"/>
                <w:szCs w:val="21"/>
              </w:rPr>
              <w:t>符合</w:t>
            </w:r>
          </w:p>
        </w:tc>
        <w:tc>
          <w:tcPr>
            <w:tcW w:w="1779"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已建立操作记录、定时巡检</w:t>
            </w: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t>42</w:t>
            </w:r>
          </w:p>
        </w:tc>
        <w:tc>
          <w:tcPr>
            <w:tcW w:w="4574"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是否建立工艺报警处置程序，及时处置工艺报警并记录。</w:t>
            </w:r>
          </w:p>
        </w:tc>
        <w:tc>
          <w:tcPr>
            <w:tcW w:w="166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浙安委〔2019〕8号</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hint="eastAsia"/>
                <w:szCs w:val="21"/>
              </w:rPr>
              <w:t>符合</w:t>
            </w:r>
          </w:p>
        </w:tc>
        <w:tc>
          <w:tcPr>
            <w:tcW w:w="1779"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已建立工艺报警处置程序，及时处置工艺报警并记录。</w:t>
            </w: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t>43</w:t>
            </w:r>
          </w:p>
        </w:tc>
        <w:tc>
          <w:tcPr>
            <w:tcW w:w="4574"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有氮气保护设施的储罐氮封系统是否完好在用</w:t>
            </w:r>
          </w:p>
        </w:tc>
        <w:tc>
          <w:tcPr>
            <w:tcW w:w="166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浙安委〔2019〕8号</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hint="eastAsia"/>
                <w:szCs w:val="21"/>
              </w:rPr>
              <w:t>符合</w:t>
            </w:r>
          </w:p>
        </w:tc>
        <w:tc>
          <w:tcPr>
            <w:tcW w:w="1779"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现场勘察时，氮封储罐系统正常</w:t>
            </w: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t>44</w:t>
            </w:r>
          </w:p>
        </w:tc>
        <w:tc>
          <w:tcPr>
            <w:tcW w:w="4574"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汽车是否安装阻火器，是否定位并熄火，汽车罐车和装卸场所，是否设置防静电专用接地线</w:t>
            </w:r>
          </w:p>
        </w:tc>
        <w:tc>
          <w:tcPr>
            <w:tcW w:w="166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浙安委〔2019〕8号</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hint="eastAsia"/>
                <w:szCs w:val="21"/>
              </w:rPr>
              <w:t>符合</w:t>
            </w:r>
          </w:p>
        </w:tc>
        <w:tc>
          <w:tcPr>
            <w:tcW w:w="1779"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现场勘察时，苯乙烯卸车车辆定</w:t>
            </w:r>
            <w:r w:rsidRPr="00123108">
              <w:rPr>
                <w:rFonts w:ascii="宋体" w:hAnsi="宋体" w:cs="宋体" w:hint="eastAsia"/>
                <w:kern w:val="0"/>
                <w:szCs w:val="21"/>
              </w:rPr>
              <w:lastRenderedPageBreak/>
              <w:t>位并熄火，防静电接地</w:t>
            </w: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lastRenderedPageBreak/>
              <w:t>45</w:t>
            </w:r>
          </w:p>
        </w:tc>
        <w:tc>
          <w:tcPr>
            <w:tcW w:w="4574"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压力表的选取应符合相关要求，压力范围及检定标记明显。</w:t>
            </w:r>
          </w:p>
        </w:tc>
        <w:tc>
          <w:tcPr>
            <w:tcW w:w="166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浙安委〔2019〕8号</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hint="eastAsia"/>
                <w:szCs w:val="21"/>
              </w:rPr>
              <w:t>符合</w:t>
            </w:r>
          </w:p>
        </w:tc>
        <w:tc>
          <w:tcPr>
            <w:tcW w:w="1779"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现场勘察时压力表有压力范围</w:t>
            </w: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t>46</w:t>
            </w:r>
          </w:p>
        </w:tc>
        <w:tc>
          <w:tcPr>
            <w:tcW w:w="4574" w:type="dxa"/>
            <w:vAlign w:val="center"/>
          </w:tcPr>
          <w:p w:rsidR="004F34D9" w:rsidRPr="00123108" w:rsidRDefault="004F34D9">
            <w:pPr>
              <w:autoSpaceDE w:val="0"/>
              <w:autoSpaceDN w:val="0"/>
              <w:adjustRightInd w:val="0"/>
              <w:snapToGrid w:val="0"/>
              <w:jc w:val="left"/>
              <w:rPr>
                <w:rFonts w:ascii="宋体" w:hAnsi="宋体" w:cs="宋体" w:hint="eastAsia"/>
                <w:szCs w:val="21"/>
              </w:rPr>
            </w:pPr>
            <w:r w:rsidRPr="00123108">
              <w:rPr>
                <w:rFonts w:ascii="宋体" w:hAnsi="宋体" w:cs="宋体" w:hint="eastAsia"/>
                <w:kern w:val="0"/>
                <w:szCs w:val="21"/>
              </w:rPr>
              <w:t>企业是否建立设备防腐蚀管理制度，并依据制度定期对易腐蚀、易磨损的容器及管道，应定期测厚，有监测记录。</w:t>
            </w:r>
          </w:p>
        </w:tc>
        <w:tc>
          <w:tcPr>
            <w:tcW w:w="166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浙安委〔2019〕8号</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hint="eastAsia"/>
                <w:szCs w:val="21"/>
              </w:rPr>
              <w:t>符合</w:t>
            </w:r>
          </w:p>
        </w:tc>
        <w:tc>
          <w:tcPr>
            <w:tcW w:w="1779"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制度里已包含，定期进行防腐</w:t>
            </w: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t>47</w:t>
            </w:r>
          </w:p>
        </w:tc>
        <w:tc>
          <w:tcPr>
            <w:tcW w:w="4574" w:type="dxa"/>
            <w:vAlign w:val="center"/>
          </w:tcPr>
          <w:p w:rsidR="004F34D9" w:rsidRPr="00123108" w:rsidRDefault="004F34D9">
            <w:pPr>
              <w:autoSpaceDE w:val="0"/>
              <w:autoSpaceDN w:val="0"/>
              <w:adjustRightInd w:val="0"/>
              <w:snapToGrid w:val="0"/>
              <w:jc w:val="left"/>
              <w:rPr>
                <w:rFonts w:ascii="宋体" w:hAnsi="宋体" w:cs="宋体" w:hint="eastAsia"/>
                <w:szCs w:val="21"/>
              </w:rPr>
            </w:pPr>
            <w:r w:rsidRPr="00123108">
              <w:rPr>
                <w:rFonts w:ascii="宋体" w:hAnsi="宋体" w:cs="宋体" w:hint="eastAsia"/>
                <w:kern w:val="0"/>
                <w:szCs w:val="21"/>
              </w:rPr>
              <w:t>企业是否建立安全附件管理制度，或在有关制度中明确安全附件的管理内容</w:t>
            </w:r>
          </w:p>
        </w:tc>
        <w:tc>
          <w:tcPr>
            <w:tcW w:w="166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浙安委〔2019〕8号</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hint="eastAsia"/>
                <w:szCs w:val="21"/>
              </w:rPr>
              <w:t>符合</w:t>
            </w:r>
          </w:p>
        </w:tc>
        <w:tc>
          <w:tcPr>
            <w:tcW w:w="1779"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已建立安全附件管理制度并定期检查</w:t>
            </w: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t>48</w:t>
            </w:r>
          </w:p>
        </w:tc>
        <w:tc>
          <w:tcPr>
            <w:tcW w:w="4574" w:type="dxa"/>
            <w:vAlign w:val="center"/>
          </w:tcPr>
          <w:p w:rsidR="004F34D9" w:rsidRPr="00123108" w:rsidRDefault="004F34D9">
            <w:pPr>
              <w:autoSpaceDE w:val="0"/>
              <w:autoSpaceDN w:val="0"/>
              <w:adjustRightInd w:val="0"/>
              <w:snapToGrid w:val="0"/>
              <w:jc w:val="left"/>
              <w:rPr>
                <w:rFonts w:ascii="宋体" w:hAnsi="宋体" w:cs="宋体" w:hint="eastAsia"/>
                <w:szCs w:val="21"/>
              </w:rPr>
            </w:pPr>
            <w:r w:rsidRPr="00123108">
              <w:rPr>
                <w:rFonts w:ascii="宋体" w:hAnsi="宋体" w:cs="宋体" w:hint="eastAsia"/>
                <w:kern w:val="0"/>
                <w:szCs w:val="21"/>
              </w:rPr>
              <w:t>安全阀、爆破片等安全附件是否正常投用</w:t>
            </w:r>
          </w:p>
        </w:tc>
        <w:tc>
          <w:tcPr>
            <w:tcW w:w="166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浙安委〔2019〕8号</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hint="eastAsia"/>
                <w:szCs w:val="21"/>
              </w:rPr>
              <w:t>符合</w:t>
            </w:r>
          </w:p>
        </w:tc>
        <w:tc>
          <w:tcPr>
            <w:tcW w:w="1779"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现场勘察时，安全阀、爆破片等投用</w:t>
            </w: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t>49</w:t>
            </w:r>
          </w:p>
        </w:tc>
        <w:tc>
          <w:tcPr>
            <w:tcW w:w="4574"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连接件螺栓配备是否齐全</w:t>
            </w:r>
          </w:p>
        </w:tc>
        <w:tc>
          <w:tcPr>
            <w:tcW w:w="166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浙安委〔2019〕8号</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hint="eastAsia"/>
                <w:szCs w:val="21"/>
              </w:rPr>
              <w:t>符合</w:t>
            </w:r>
          </w:p>
        </w:tc>
        <w:tc>
          <w:tcPr>
            <w:tcW w:w="1779"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现场勘察时，连接件螺栓齐全</w:t>
            </w:r>
          </w:p>
        </w:tc>
      </w:tr>
      <w:tr w:rsidR="004F34D9" w:rsidRPr="00123108">
        <w:trPr>
          <w:trHeight w:val="340"/>
          <w:jc w:val="center"/>
        </w:trPr>
        <w:tc>
          <w:tcPr>
            <w:tcW w:w="679" w:type="dxa"/>
            <w:vAlign w:val="center"/>
          </w:tcPr>
          <w:p w:rsidR="004F34D9" w:rsidRPr="00123108" w:rsidRDefault="004F34D9">
            <w:pPr>
              <w:rPr>
                <w:rFonts w:hint="eastAsia"/>
                <w:szCs w:val="21"/>
              </w:rPr>
            </w:pPr>
            <w:r w:rsidRPr="00123108">
              <w:rPr>
                <w:rFonts w:hint="eastAsia"/>
                <w:szCs w:val="21"/>
              </w:rPr>
              <w:t>50</w:t>
            </w:r>
          </w:p>
        </w:tc>
        <w:tc>
          <w:tcPr>
            <w:tcW w:w="4574"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企业应建立安全附件台账、爆破片更换记录。</w:t>
            </w:r>
          </w:p>
        </w:tc>
        <w:tc>
          <w:tcPr>
            <w:tcW w:w="166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浙安委〔2019〕8号</w:t>
            </w:r>
          </w:p>
        </w:tc>
        <w:tc>
          <w:tcPr>
            <w:tcW w:w="709" w:type="dxa"/>
            <w:vAlign w:val="center"/>
          </w:tcPr>
          <w:p w:rsidR="004F34D9" w:rsidRPr="00123108" w:rsidRDefault="004F34D9">
            <w:pPr>
              <w:jc w:val="center"/>
              <w:rPr>
                <w:rFonts w:ascii="宋体" w:hAnsi="宋体" w:hint="eastAsia"/>
                <w:szCs w:val="21"/>
              </w:rPr>
            </w:pPr>
            <w:r w:rsidRPr="00123108">
              <w:rPr>
                <w:rFonts w:ascii="宋体" w:hAnsi="宋体" w:hint="eastAsia"/>
                <w:szCs w:val="21"/>
              </w:rPr>
              <w:t>符合</w:t>
            </w:r>
          </w:p>
        </w:tc>
        <w:tc>
          <w:tcPr>
            <w:tcW w:w="1779"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已建立安全附件台账</w:t>
            </w:r>
          </w:p>
        </w:tc>
      </w:tr>
    </w:tbl>
    <w:bookmarkEnd w:id="1727"/>
    <w:p w:rsidR="004F34D9" w:rsidRPr="00123108" w:rsidRDefault="004F34D9">
      <w:pPr>
        <w:spacing w:line="360" w:lineRule="auto"/>
        <w:ind w:firstLine="560"/>
        <w:rPr>
          <w:rFonts w:ascii="宋体" w:hAnsi="宋体" w:cs="宋体" w:hint="eastAsia"/>
          <w:sz w:val="28"/>
        </w:rPr>
      </w:pPr>
      <w:r w:rsidRPr="00123108">
        <w:rPr>
          <w:rFonts w:ascii="宋体" w:hAnsi="宋体" w:cs="宋体" w:hint="eastAsia"/>
          <w:sz w:val="28"/>
        </w:rPr>
        <w:t>（2）依据《应急管理部关于印发危险化学品企业安全分类整治目录（2020年）的通知》应急〔2020〕84号、</w:t>
      </w:r>
      <w:r w:rsidR="0026546B" w:rsidRPr="00123108">
        <w:rPr>
          <w:rFonts w:ascii="宋体" w:hAnsi="宋体" w:cs="宋体" w:hint="eastAsia"/>
          <w:sz w:val="28"/>
          <w:szCs w:val="28"/>
        </w:rPr>
        <w:t>《应急管理部办公厅关于印发&lt;淘汰落后危险化学品安全生产工艺技术设备目录（第一批）&gt;的通知》应急厅〔2020〕38号、</w:t>
      </w:r>
      <w:r w:rsidR="0026546B" w:rsidRPr="00123108">
        <w:rPr>
          <w:rFonts w:ascii="宋体" w:hAnsi="宋体" w:hint="eastAsia"/>
          <w:sz w:val="28"/>
          <w:szCs w:val="28"/>
        </w:rPr>
        <w:t>《应急管理部办公厅关于印发&lt;淘汰落后危险化学品安全生产工艺技术设备目录（第二批）&gt;的通知》应急厅〔2024〕86号等</w:t>
      </w:r>
      <w:r w:rsidRPr="00123108">
        <w:rPr>
          <w:rFonts w:ascii="宋体" w:hAnsi="宋体" w:cs="宋体" w:hint="eastAsia"/>
          <w:sz w:val="28"/>
        </w:rPr>
        <w:t>对本项目进行检查，检查结果见附表2.4-3-2。</w:t>
      </w:r>
    </w:p>
    <w:p w:rsidR="004F34D9" w:rsidRPr="00123108" w:rsidRDefault="004F34D9">
      <w:pPr>
        <w:spacing w:line="360" w:lineRule="auto"/>
        <w:jc w:val="center"/>
        <w:rPr>
          <w:rFonts w:ascii="宋体" w:hAnsi="宋体" w:cs="宋体" w:hint="eastAsia"/>
          <w:b/>
          <w:sz w:val="28"/>
          <w:szCs w:val="28"/>
        </w:rPr>
      </w:pPr>
      <w:r w:rsidRPr="00123108">
        <w:rPr>
          <w:rFonts w:ascii="宋体" w:hAnsi="宋体" w:cs="宋体" w:hint="eastAsia"/>
          <w:b/>
          <w:sz w:val="28"/>
          <w:szCs w:val="28"/>
        </w:rPr>
        <w:t>附表2.4-3-2  危险化学品企业安全分类整治目录（2020年）等检查表</w:t>
      </w:r>
    </w:p>
    <w:tbl>
      <w:tblPr>
        <w:tblW w:w="0" w:type="auto"/>
        <w:jc w:val="center"/>
        <w:tblInd w:w="0" w:type="dxa"/>
        <w:tblCellMar>
          <w:left w:w="0" w:type="dxa"/>
          <w:right w:w="0" w:type="dxa"/>
        </w:tblCellMar>
        <w:tblLook w:val="0000" w:firstRow="0" w:lastRow="0" w:firstColumn="0" w:lastColumn="0" w:noHBand="0" w:noVBand="0"/>
      </w:tblPr>
      <w:tblGrid>
        <w:gridCol w:w="567"/>
        <w:gridCol w:w="5491"/>
        <w:gridCol w:w="2142"/>
        <w:gridCol w:w="969"/>
      </w:tblGrid>
      <w:tr w:rsidR="004F34D9" w:rsidRPr="00123108">
        <w:trPr>
          <w:trHeight w:val="385"/>
          <w:jc w:val="center"/>
        </w:trPr>
        <w:tc>
          <w:tcPr>
            <w:tcW w:w="9201" w:type="dxa"/>
            <w:gridSpan w:val="4"/>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危险化学品企业安全分类整治目录（2020年）</w:t>
            </w:r>
          </w:p>
        </w:tc>
      </w:tr>
      <w:tr w:rsidR="004F34D9" w:rsidRPr="00123108">
        <w:trPr>
          <w:trHeight w:val="385"/>
          <w:jc w:val="center"/>
        </w:trPr>
        <w:tc>
          <w:tcPr>
            <w:tcW w:w="9201" w:type="dxa"/>
            <w:gridSpan w:val="4"/>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一、暂扣或吊销安全生产许可证类</w:t>
            </w:r>
          </w:p>
        </w:tc>
      </w:tr>
      <w:tr w:rsidR="004F34D9" w:rsidRPr="00123108">
        <w:trPr>
          <w:trHeight w:val="390"/>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序号</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分类内容</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jc w:val="center"/>
              <w:rPr>
                <w:rFonts w:ascii="宋体" w:hAnsi="宋体" w:cs="宋体" w:hint="eastAsia"/>
                <w:kern w:val="0"/>
                <w:szCs w:val="21"/>
              </w:rPr>
            </w:pPr>
            <w:r w:rsidRPr="00123108">
              <w:rPr>
                <w:rFonts w:ascii="宋体" w:hAnsi="宋体" w:cs="宋体" w:hint="eastAsia"/>
                <w:kern w:val="0"/>
                <w:szCs w:val="21"/>
              </w:rPr>
              <w:t>实际情况说明</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ind w:leftChars="-15" w:left="-31" w:rightChars="-37" w:right="-78"/>
              <w:jc w:val="center"/>
              <w:rPr>
                <w:rFonts w:ascii="宋体" w:hAnsi="宋体" w:cs="宋体" w:hint="eastAsia"/>
                <w:kern w:val="0"/>
                <w:szCs w:val="21"/>
              </w:rPr>
            </w:pPr>
            <w:r w:rsidRPr="00123108">
              <w:rPr>
                <w:rFonts w:ascii="宋体" w:hAnsi="宋体" w:cs="宋体" w:hint="eastAsia"/>
                <w:kern w:val="0"/>
                <w:szCs w:val="21"/>
              </w:rPr>
              <w:t>判定结果</w:t>
            </w:r>
          </w:p>
        </w:tc>
      </w:tr>
      <w:tr w:rsidR="004F34D9" w:rsidRPr="00123108">
        <w:trPr>
          <w:trHeight w:val="1500"/>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1</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新建、改建、扩建生产危险化学品的建设项目未经具备国家规定资质的单位设计、制造和施工建设；涉及危险化工工艺、重点监管危险化学品的危险化学品生产装置，未经具有综合甲级资质或者化工石化专业甲级设计资质的化工石化设计单位设计。</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szCs w:val="21"/>
              </w:rPr>
            </w:pPr>
            <w:r w:rsidRPr="00123108">
              <w:rPr>
                <w:rFonts w:ascii="宋体" w:hAnsi="宋体" w:hint="eastAsia"/>
                <w:szCs w:val="21"/>
              </w:rPr>
              <w:t>不涉及新建、改建、扩建、涉及危险化工工艺、重点监管危险化学品的危险化学品生产装置已经化工石化专业甲级设计资质设计院设计</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否</w:t>
            </w:r>
          </w:p>
        </w:tc>
      </w:tr>
      <w:tr w:rsidR="004F34D9" w:rsidRPr="00123108">
        <w:trPr>
          <w:trHeight w:val="90"/>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2</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both"/>
              <w:rPr>
                <w:rFonts w:cs="宋体" w:hint="eastAsia"/>
                <w:sz w:val="21"/>
                <w:szCs w:val="21"/>
                <w:lang w:val="en-US" w:eastAsia="zh-CN"/>
              </w:rPr>
            </w:pPr>
            <w:r w:rsidRPr="00123108">
              <w:rPr>
                <w:rFonts w:cs="宋体" w:hint="eastAsia"/>
                <w:sz w:val="21"/>
                <w:szCs w:val="21"/>
                <w:lang w:val="en-US" w:eastAsia="zh-CN"/>
              </w:rPr>
              <w:t>使用国家明令淘汰落后安全技术工艺、设备目录列出的工艺、设备。</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不涉及淘汰落后安全技术工艺、设备</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否</w:t>
            </w:r>
          </w:p>
        </w:tc>
      </w:tr>
      <w:tr w:rsidR="004F34D9" w:rsidRPr="00123108">
        <w:trPr>
          <w:trHeight w:val="90"/>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3</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cs="宋体" w:hint="eastAsia"/>
                <w:szCs w:val="21"/>
              </w:rPr>
            </w:pPr>
            <w:r w:rsidRPr="00123108">
              <w:rPr>
                <w:rFonts w:ascii="宋体" w:hAnsi="宋体" w:hint="eastAsia"/>
                <w:szCs w:val="21"/>
              </w:rPr>
              <w:t>涉及“两重点一重大”的生产装置、储存设施外部安全防护距离不符合国家标准要求，且无法整改的。</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外部安全防护距离符合国家标准要求</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否</w:t>
            </w:r>
          </w:p>
        </w:tc>
      </w:tr>
      <w:tr w:rsidR="004F34D9" w:rsidRPr="00123108">
        <w:trPr>
          <w:trHeight w:val="90"/>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4</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both"/>
              <w:rPr>
                <w:rFonts w:cs="宋体" w:hint="eastAsia"/>
                <w:sz w:val="21"/>
                <w:szCs w:val="21"/>
                <w:lang w:val="en-US" w:eastAsia="zh-CN"/>
              </w:rPr>
            </w:pPr>
            <w:r w:rsidRPr="00123108">
              <w:rPr>
                <w:rFonts w:cs="宋体" w:hint="eastAsia"/>
                <w:sz w:val="21"/>
                <w:szCs w:val="21"/>
                <w:lang w:val="en-US" w:eastAsia="zh-CN"/>
              </w:rPr>
              <w:t>涉及重点监管危险化工工艺的装置未装设自动化控制系统。</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危险化工工艺的装置已装设自动化控制系统</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否</w:t>
            </w:r>
          </w:p>
        </w:tc>
      </w:tr>
      <w:tr w:rsidR="004F34D9" w:rsidRPr="00123108">
        <w:trPr>
          <w:trHeight w:val="365"/>
          <w:jc w:val="center"/>
        </w:trPr>
        <w:tc>
          <w:tcPr>
            <w:tcW w:w="9201" w:type="dxa"/>
            <w:gridSpan w:val="4"/>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二、停产停业整顿或暂时停产停业、停止使用相关设施设备类</w:t>
            </w:r>
          </w:p>
        </w:tc>
      </w:tr>
      <w:tr w:rsidR="004F34D9" w:rsidRPr="00123108">
        <w:trPr>
          <w:trHeight w:val="385"/>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lastRenderedPageBreak/>
              <w:t>序号</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分类内容</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jc w:val="center"/>
              <w:rPr>
                <w:rFonts w:ascii="宋体" w:hAnsi="宋体" w:cs="宋体" w:hint="eastAsia"/>
                <w:szCs w:val="21"/>
              </w:rPr>
            </w:pPr>
            <w:r w:rsidRPr="00123108">
              <w:rPr>
                <w:rFonts w:ascii="宋体" w:hAnsi="宋体" w:cs="宋体" w:hint="eastAsia"/>
                <w:kern w:val="0"/>
                <w:szCs w:val="21"/>
              </w:rPr>
              <w:t>实际情况说明</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ind w:leftChars="-15" w:left="-31" w:rightChars="-37" w:right="-78"/>
              <w:jc w:val="center"/>
              <w:rPr>
                <w:rFonts w:ascii="宋体" w:hAnsi="宋体" w:cs="宋体" w:hint="eastAsia"/>
                <w:szCs w:val="21"/>
              </w:rPr>
            </w:pPr>
            <w:r w:rsidRPr="00123108">
              <w:rPr>
                <w:rFonts w:ascii="宋体" w:hAnsi="宋体" w:cs="宋体" w:hint="eastAsia"/>
                <w:kern w:val="0"/>
                <w:szCs w:val="21"/>
              </w:rPr>
              <w:t>判定结果</w:t>
            </w:r>
          </w:p>
        </w:tc>
      </w:tr>
      <w:tr w:rsidR="004F34D9" w:rsidRPr="00123108">
        <w:trPr>
          <w:trHeight w:val="949"/>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1</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未取得安全生产许可证、安全使用许可证（试生产期间除外）、危险化学品经营许可证或超许可范围从事危险化学品生产经营活动。</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szCs w:val="21"/>
              </w:rPr>
            </w:pPr>
            <w:r w:rsidRPr="00123108">
              <w:rPr>
                <w:rFonts w:ascii="宋体" w:hAnsi="宋体" w:hint="eastAsia"/>
                <w:szCs w:val="21"/>
              </w:rPr>
              <w:t>已取得安全生产许可证，未超许可范围</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否</w:t>
            </w:r>
          </w:p>
        </w:tc>
      </w:tr>
      <w:tr w:rsidR="004F34D9" w:rsidRPr="00123108">
        <w:trPr>
          <w:trHeight w:val="978"/>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2</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新开发的危险化学品生产工艺未经小试、中试、工业化试验直接进行工业化生产，且重大事故隐患排除前或者排除过程中无法保证安全的；国内首次使用的化工工艺，未经过省级人民政府有关部门组织的安全可靠性论证，且重大事故隐患排除前或者排除过程中无法保证安全的。</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不涉及新开发的危险化学品生产工艺、国内首次使用的化工工艺</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否</w:t>
            </w:r>
          </w:p>
        </w:tc>
      </w:tr>
      <w:tr w:rsidR="004F34D9" w:rsidRPr="00123108">
        <w:trPr>
          <w:trHeight w:val="337"/>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3</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一级或者二级重大危险源不具备紧急停车功能，对重大危险源中的毒性气体、剧毒液体和易燃气体等重点设施未设置紧急切断装置，涉及毒性气体、液化气体、剧毒液体的一级、二级重大危险源未配备独立的安全仪表系统，且重大事故隐患排除前或者排除过程中无法保证安全的。</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szCs w:val="21"/>
              </w:rPr>
            </w:pPr>
            <w:r w:rsidRPr="00123108">
              <w:rPr>
                <w:rFonts w:ascii="宋体" w:hAnsi="宋体" w:hint="eastAsia"/>
                <w:szCs w:val="21"/>
              </w:rPr>
              <w:t xml:space="preserve"> 不涉及一级或者二级重大危险源，具备紧急停车功能</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否</w:t>
            </w:r>
          </w:p>
        </w:tc>
      </w:tr>
      <w:tr w:rsidR="004F34D9" w:rsidRPr="00123108">
        <w:trPr>
          <w:trHeight w:val="369"/>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4</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涉及重点监管危险化工工艺的装置未实现自动化控制，系统未实现紧急停车功能，且重大事故隐患排除前或者排除过程中无法保证安全的；装备的自动化控制系统、紧急停车系统未投入使用，且重大事故隐患排除前或者排除过程中无法保证安全的。</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危险化工工艺的装置已实现自动化控制、有紧急停车功能</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否</w:t>
            </w:r>
          </w:p>
        </w:tc>
      </w:tr>
      <w:tr w:rsidR="004F34D9" w:rsidRPr="00123108">
        <w:trPr>
          <w:trHeight w:val="376"/>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5</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装置的控制室、机柜间、变配电所、化验室、办公室等不得与设有甲、乙A类设备的房间布置在同一建筑物内。</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未布置在同一建筑物内</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否</w:t>
            </w:r>
          </w:p>
        </w:tc>
      </w:tr>
      <w:tr w:rsidR="004F34D9" w:rsidRPr="00123108">
        <w:trPr>
          <w:trHeight w:val="955"/>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6</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爆炸危险场所未按照国家标准安装使用防爆电气设备，且重大事故隐患排除前或者排除过程中无法保证安全的。</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现场勘察时，爆炸危险场所未使用非防爆电气设备</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否</w:t>
            </w:r>
          </w:p>
        </w:tc>
      </w:tr>
      <w:tr w:rsidR="004F34D9" w:rsidRPr="00123108">
        <w:trPr>
          <w:trHeight w:val="625"/>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7</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涉及光气、氯气、硫化氢等剧毒气体管道穿越除厂区外的公共区域（包括化工园区、工业园区），且重大事故隐患排除前或者排除过程中无法保证安全的。</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不涉及光气、氯气、硫化氢等剧毒气体管道穿越除厂区外的公共区域</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w:t>
            </w:r>
          </w:p>
        </w:tc>
      </w:tr>
      <w:tr w:rsidR="004F34D9" w:rsidRPr="00123108">
        <w:trPr>
          <w:trHeight w:val="890"/>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8</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全压力式液化烃球形储罐未按国家标准设置注水措施（半冷冻压力式液化烃储罐或遇水发生反应的液化烃储罐除外），且重大事故隐患排除前或者排除过程中无法保证安全的。</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不涉及全压力式液化烃球形储罐</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w:t>
            </w:r>
          </w:p>
        </w:tc>
      </w:tr>
      <w:tr w:rsidR="004F34D9" w:rsidRPr="00123108">
        <w:trPr>
          <w:trHeight w:val="903"/>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9</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液化烃、液氨、液氯等易燃易爆、有毒有害液化气体的充装未使用万向管道充装系统，且重大事故隐患排除前或者排除过程中无法保证安全的。（液氯钢瓶充装、电子级产品充装除外）</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不涉及液化烃、液氨、液氯</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w:t>
            </w:r>
          </w:p>
        </w:tc>
      </w:tr>
      <w:tr w:rsidR="004F34D9" w:rsidRPr="00123108">
        <w:trPr>
          <w:trHeight w:val="373"/>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10</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氯乙烯气柜的进出口管道未设远程紧急切断阀；氯乙烯气柜的压力（钟罩内）、柜位高度不能实现在线连续监测；未设置气柜压力、柜位等联锁。存在以上三种情形之一，经责令限期改正，逾期未改正且情节严重的。</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不涉及氯乙烯气柜</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w:t>
            </w:r>
          </w:p>
        </w:tc>
      </w:tr>
      <w:tr w:rsidR="004F34D9" w:rsidRPr="00123108">
        <w:trPr>
          <w:trHeight w:val="551"/>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11</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危险化学品生产、经营、使用企业主要负责人和安全生产管理人员未依法经考核合格。</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主要负责人和安全生产管理人员依法经考核合格</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否</w:t>
            </w:r>
          </w:p>
        </w:tc>
      </w:tr>
      <w:tr w:rsidR="004F34D9" w:rsidRPr="00123108">
        <w:trPr>
          <w:trHeight w:val="411"/>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12</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涉及危险化工工艺的特种作业人员未取得特种作业操作证而上岗操作的。</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特种作业人员已取得特种作业操作证</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否</w:t>
            </w:r>
          </w:p>
        </w:tc>
      </w:tr>
      <w:tr w:rsidR="004F34D9" w:rsidRPr="00123108">
        <w:trPr>
          <w:trHeight w:val="90"/>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13</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未建立安全生产责任制。</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已建立安全生产责任制</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否</w:t>
            </w:r>
          </w:p>
        </w:tc>
      </w:tr>
      <w:tr w:rsidR="004F34D9" w:rsidRPr="00123108">
        <w:trPr>
          <w:trHeight w:val="90"/>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14</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未编制岗位操作规程，未明确关键工艺控制指标。</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已编制岗位操作规程，并明确关键工艺控制指标</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否</w:t>
            </w:r>
          </w:p>
        </w:tc>
      </w:tr>
      <w:tr w:rsidR="004F34D9" w:rsidRPr="00123108">
        <w:trPr>
          <w:trHeight w:val="346"/>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15</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动火、进入受限空间等特殊作业管理制度不符合国家标准，实施特殊作业前未办理审批手续或风险控制措施未落实，且重大事故隐患排除前或者排除过程中无法保证安全的。</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特殊作业管理制度符合国家标准</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否</w:t>
            </w:r>
          </w:p>
        </w:tc>
      </w:tr>
      <w:tr w:rsidR="004F34D9" w:rsidRPr="00123108">
        <w:trPr>
          <w:trHeight w:val="90"/>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16</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列入精细化工反应安全风险评估范围的精细化工生产装置未开展评估，且重大事故隐患排除前或者排除过程中无法保证</w:t>
            </w:r>
            <w:r w:rsidRPr="00123108">
              <w:rPr>
                <w:rFonts w:ascii="宋体" w:hAnsi="宋体" w:hint="eastAsia"/>
                <w:szCs w:val="21"/>
              </w:rPr>
              <w:lastRenderedPageBreak/>
              <w:t>安全的。</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szCs w:val="21"/>
              </w:rPr>
            </w:pPr>
            <w:r w:rsidRPr="00123108">
              <w:rPr>
                <w:rFonts w:ascii="宋体" w:hAnsi="宋体" w:hint="eastAsia"/>
                <w:szCs w:val="21"/>
              </w:rPr>
              <w:lastRenderedPageBreak/>
              <w:t>不涉及精细化工反应，已进行反应安全风险评</w:t>
            </w:r>
            <w:r w:rsidRPr="00123108">
              <w:rPr>
                <w:rFonts w:ascii="宋体" w:hAnsi="宋体" w:hint="eastAsia"/>
                <w:szCs w:val="21"/>
              </w:rPr>
              <w:lastRenderedPageBreak/>
              <w:t>估</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lastRenderedPageBreak/>
              <w:t>否</w:t>
            </w:r>
          </w:p>
        </w:tc>
      </w:tr>
      <w:tr w:rsidR="004F34D9" w:rsidRPr="00123108">
        <w:trPr>
          <w:trHeight w:val="685"/>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17</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未按国家标准分区分类储存危险化学品，超量、超品种储存危险化学品，相互禁配物质混放混存，且重大事故隐患排除前或者排除过程中无法保证安全的。</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危险化学品分区分类储存,现场勘察时无禁忌性物料混放</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否</w:t>
            </w:r>
          </w:p>
        </w:tc>
      </w:tr>
      <w:tr w:rsidR="004F34D9" w:rsidRPr="00123108">
        <w:trPr>
          <w:trHeight w:val="456"/>
          <w:jc w:val="center"/>
        </w:trPr>
        <w:tc>
          <w:tcPr>
            <w:tcW w:w="9201" w:type="dxa"/>
            <w:gridSpan w:val="4"/>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三、限期改正类</w:t>
            </w:r>
          </w:p>
        </w:tc>
      </w:tr>
      <w:tr w:rsidR="004F34D9" w:rsidRPr="00123108">
        <w:trPr>
          <w:trHeight w:val="407"/>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序号</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分类内容</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jc w:val="center"/>
              <w:rPr>
                <w:rFonts w:ascii="宋体" w:hAnsi="宋体" w:cs="宋体" w:hint="eastAsia"/>
                <w:szCs w:val="21"/>
              </w:rPr>
            </w:pPr>
            <w:r w:rsidRPr="00123108">
              <w:rPr>
                <w:rFonts w:ascii="宋体" w:hAnsi="宋体" w:cs="宋体" w:hint="eastAsia"/>
                <w:kern w:val="0"/>
                <w:szCs w:val="21"/>
              </w:rPr>
              <w:t>实际情况说明</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ind w:leftChars="-15" w:left="-31" w:rightChars="-37" w:right="-78"/>
              <w:jc w:val="center"/>
              <w:rPr>
                <w:rFonts w:ascii="宋体" w:hAnsi="宋体" w:cs="宋体" w:hint="eastAsia"/>
                <w:szCs w:val="21"/>
              </w:rPr>
            </w:pPr>
            <w:r w:rsidRPr="00123108">
              <w:rPr>
                <w:rFonts w:ascii="宋体" w:hAnsi="宋体" w:cs="宋体" w:hint="eastAsia"/>
                <w:kern w:val="0"/>
                <w:szCs w:val="21"/>
              </w:rPr>
              <w:t>判定结果</w:t>
            </w:r>
          </w:p>
        </w:tc>
      </w:tr>
      <w:tr w:rsidR="004F34D9" w:rsidRPr="00123108">
        <w:trPr>
          <w:trHeight w:val="808"/>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1</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涉及“两重点一重大”建设项目未按要求组织开展危险与可操作性分析（HAZOP）。</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szCs w:val="21"/>
              </w:rPr>
            </w:pPr>
            <w:r w:rsidRPr="00123108">
              <w:rPr>
                <w:rFonts w:ascii="宋体" w:hAnsi="宋体" w:hint="eastAsia"/>
                <w:szCs w:val="21"/>
              </w:rPr>
              <w:t>不涉及建设项目</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w:t>
            </w:r>
          </w:p>
        </w:tc>
      </w:tr>
      <w:tr w:rsidR="004F34D9" w:rsidRPr="00123108">
        <w:trPr>
          <w:trHeight w:val="1193"/>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2</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重大危险源未按国家标准配备温度、压力、液位、流量、组分等信息的不间断采集和监测系统以及可燃气体和有毒有害气体泄漏检测报警装置，并具备信息远传、连续记录、事故预警、信息储存（不少于30天）等功能。</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已配备温度、压力、液位、流量、组分等信息的不间断采集和监测系统以及可燃气体检测报警装置，并具备信息远传、连续记录、事故预警、信息储存（不少于30天）等功能</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否</w:t>
            </w:r>
          </w:p>
        </w:tc>
      </w:tr>
      <w:tr w:rsidR="004F34D9" w:rsidRPr="00123108">
        <w:trPr>
          <w:trHeight w:val="259"/>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3</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现有涉及硝化、氯化、氟化、重氮化、过氧化工艺的精细化工生产装置未完成有关产品生产工艺全流程的反应安全风险评估，同时未按照《关于加强精细化工反应安全风险评估工作的指导意见》（安监总管三〔2017〕1号）的有关方法对相关原料、中间产品、产品及副产物进行热稳定性测试和蒸馏、干燥、储存等单元操作的风险评估；已开展反应安全风险评估的企业未根据反应危险度等级和评估建议设置相应的安全设施，补充完善安全管控措施的。</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不涉及精细化工反应，已进行安全风险评估</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w:t>
            </w:r>
          </w:p>
        </w:tc>
      </w:tr>
      <w:tr w:rsidR="004F34D9" w:rsidRPr="00123108">
        <w:trPr>
          <w:trHeight w:val="1573"/>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4</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涉及爆炸危险性化学品的生产装置控制室、交接班室布置在装置区内，且未完成搬迁的；涉及甲乙类火灾危险性的生产装置控制室、交接班室布置在装置区内，但未按照《石油化工控制室抗爆设计规范》（GB50779）完成抗爆设计、建设和加固的。</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不涉及爆炸危险性化学品；生产装置控制室、交接班室未布置在装置区内</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否</w:t>
            </w:r>
          </w:p>
        </w:tc>
      </w:tr>
      <w:tr w:rsidR="004F34D9" w:rsidRPr="00123108">
        <w:trPr>
          <w:trHeight w:val="216"/>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5</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涉及硝化、氯化、氟化、重氮化、过氧化工艺装置的上下游配套装置未实现自动化控制。</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不硝化、氯化、氟化、重氮化、过氧化工艺</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w:t>
            </w:r>
          </w:p>
        </w:tc>
      </w:tr>
      <w:tr w:rsidR="004F34D9" w:rsidRPr="00123108">
        <w:trPr>
          <w:trHeight w:val="847"/>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6</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控制室或机柜间面向具有火灾、爆炸危险性装置一侧不满足国家标准关于防火防爆的要求。</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控制室或机柜间面向具有火灾、爆炸危险性装置一侧满足国家标准</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否</w:t>
            </w:r>
          </w:p>
        </w:tc>
      </w:tr>
      <w:tr w:rsidR="004F34D9" w:rsidRPr="00123108">
        <w:trPr>
          <w:trHeight w:val="90"/>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7</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未按照标准设置、使用有毒有害、可燃气体泄漏检测报警系统；可燃气体和有毒气体检测报警信号未发送至有人值守的现场控制室、中心控制室等进行显示报警。</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szCs w:val="21"/>
              </w:rPr>
            </w:pPr>
            <w:r w:rsidRPr="00123108">
              <w:rPr>
                <w:rFonts w:ascii="宋体" w:hAnsi="宋体" w:hint="eastAsia"/>
                <w:szCs w:val="21"/>
              </w:rPr>
              <w:t>设有可燃气体检测报警系统且发送至24小时人员值守室；戊烷罐区可燃气体报警仪布置图与现场不一致</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是</w:t>
            </w:r>
          </w:p>
        </w:tc>
      </w:tr>
      <w:tr w:rsidR="004F34D9" w:rsidRPr="00123108">
        <w:trPr>
          <w:trHeight w:val="371"/>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8</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地区架空电力线路穿越生产区且不符合国家标准要求。</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地区架空电力线路未穿越生产区</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否</w:t>
            </w:r>
          </w:p>
        </w:tc>
      </w:tr>
      <w:tr w:rsidR="004F34D9" w:rsidRPr="00123108">
        <w:trPr>
          <w:trHeight w:val="370"/>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9</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化工生产装置未按国家标准要求设置双重电源供电。</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已设置双重电源供电</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否</w:t>
            </w:r>
          </w:p>
        </w:tc>
      </w:tr>
      <w:tr w:rsidR="004F34D9" w:rsidRPr="00123108">
        <w:trPr>
          <w:trHeight w:val="238"/>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10</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涉及“两重点一重大”生产装置和储存设施的企业，新入职的主要负责人和主管生产、设备、技术、安全的负责人及安全生产管理人员不具备化学、化工、安全等相关专业大专及以上学历或化工类中级及以上职称；新入职的涉及重大危险源、重点监管化工工艺的生产装置、储存设施操作人员不具备高中及以上学历或化工类中等及以上职业教育水平；新入职的涉及爆炸危险性化学品的生产装置和储存设施的操作人员不具备化工类大专及以上学历。</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szCs w:val="21"/>
              </w:rPr>
            </w:pPr>
            <w:r w:rsidRPr="00123108">
              <w:rPr>
                <w:rFonts w:ascii="宋体" w:hAnsi="宋体" w:hint="eastAsia"/>
                <w:szCs w:val="21"/>
              </w:rPr>
              <w:t>相关人员专业、学历等符合要求</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否</w:t>
            </w:r>
          </w:p>
        </w:tc>
      </w:tr>
      <w:tr w:rsidR="004F34D9" w:rsidRPr="00123108">
        <w:trPr>
          <w:trHeight w:val="613"/>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lastRenderedPageBreak/>
              <w:t>11</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未建立安全风险研判与承诺公告制度，董事长或总经理等主要负责人未每天作出安全承诺并向社会公告。</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已建立安全风险研判与承诺公告制度，主要负责人每天作出安全承诺并向社会公告</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否</w:t>
            </w:r>
          </w:p>
        </w:tc>
      </w:tr>
      <w:tr w:rsidR="004F34D9" w:rsidRPr="00123108">
        <w:trPr>
          <w:trHeight w:val="625"/>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12</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危险化学品生产企业未提供化学品安全技术说明书，未在包装（包括外包装件）上粘贴、拴挂化学品安全标签。</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已提供化学品安全技术说明书，在包装（包括外包装件）上粘贴、拴挂化学品安全标签</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否</w:t>
            </w:r>
          </w:p>
        </w:tc>
      </w:tr>
      <w:tr w:rsidR="004F34D9" w:rsidRPr="00123108">
        <w:trPr>
          <w:trHeight w:val="575"/>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13</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未将工艺、设备、生产组织方式等方面发生的变化纳入变更管理，或在变更时未进行安全风险分析。</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有变更管理制度，在变更时进行安全风险分析</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否</w:t>
            </w:r>
          </w:p>
        </w:tc>
      </w:tr>
      <w:tr w:rsidR="004F34D9" w:rsidRPr="00123108">
        <w:trPr>
          <w:trHeight w:val="660"/>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14</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未按照《危险化学品单位应急救援物资配备要求》配备应急救援物资。</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按照《危险化学品单位应急救援物资配备要求》配备应急救援物资</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szCs w:val="21"/>
              </w:rPr>
            </w:pPr>
            <w:r w:rsidRPr="00123108">
              <w:rPr>
                <w:rFonts w:cs="宋体" w:hint="eastAsia"/>
                <w:szCs w:val="21"/>
              </w:rPr>
              <w:t>否</w:t>
            </w:r>
          </w:p>
        </w:tc>
      </w:tr>
      <w:tr w:rsidR="004F34D9" w:rsidRPr="00123108">
        <w:trPr>
          <w:trHeight w:val="90"/>
          <w:jc w:val="center"/>
        </w:trPr>
        <w:tc>
          <w:tcPr>
            <w:tcW w:w="9201" w:type="dxa"/>
            <w:gridSpan w:val="4"/>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cs="宋体" w:hint="eastAsia"/>
                <w:szCs w:val="21"/>
              </w:rPr>
            </w:pPr>
            <w:r w:rsidRPr="00123108">
              <w:rPr>
                <w:rFonts w:ascii="宋体" w:hAnsi="宋体" w:cs="宋体" w:hint="eastAsia"/>
                <w:kern w:val="0"/>
                <w:szCs w:val="21"/>
              </w:rPr>
              <w:t>淘汰落后危险化学品安全生产工艺技术设备目录（第一批）</w:t>
            </w:r>
          </w:p>
        </w:tc>
      </w:tr>
      <w:tr w:rsidR="004F34D9" w:rsidRPr="00123108">
        <w:trPr>
          <w:trHeight w:val="90"/>
          <w:jc w:val="center"/>
        </w:trPr>
        <w:tc>
          <w:tcPr>
            <w:tcW w:w="9201" w:type="dxa"/>
            <w:gridSpan w:val="4"/>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kern w:val="0"/>
                <w:szCs w:val="21"/>
              </w:rPr>
            </w:pPr>
            <w:r w:rsidRPr="00123108">
              <w:rPr>
                <w:rFonts w:ascii="宋体" w:hAnsi="宋体" w:cs="宋体" w:hint="eastAsia"/>
                <w:kern w:val="0"/>
                <w:szCs w:val="21"/>
              </w:rPr>
              <w:t>一、淘汰落后的工艺技术</w:t>
            </w:r>
          </w:p>
        </w:tc>
      </w:tr>
      <w:tr w:rsidR="004F34D9" w:rsidRPr="00123108">
        <w:trPr>
          <w:trHeight w:val="90"/>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序号</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淘汰落后工艺技术装备名称</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jc w:val="center"/>
              <w:rPr>
                <w:rFonts w:ascii="宋体" w:hAnsi="宋体" w:cs="宋体" w:hint="eastAsia"/>
                <w:szCs w:val="21"/>
              </w:rPr>
            </w:pPr>
            <w:r w:rsidRPr="00123108">
              <w:rPr>
                <w:rFonts w:ascii="宋体" w:hAnsi="宋体" w:cs="宋体" w:hint="eastAsia"/>
                <w:kern w:val="0"/>
                <w:szCs w:val="21"/>
              </w:rPr>
              <w:t>实际情况说明</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ind w:leftChars="-15" w:left="-31" w:rightChars="-37" w:right="-78"/>
              <w:jc w:val="center"/>
              <w:rPr>
                <w:rFonts w:cs="宋体" w:hint="eastAsia"/>
                <w:szCs w:val="21"/>
              </w:rPr>
            </w:pPr>
            <w:r w:rsidRPr="00123108">
              <w:rPr>
                <w:rFonts w:ascii="宋体" w:hAnsi="宋体" w:cs="宋体" w:hint="eastAsia"/>
                <w:kern w:val="0"/>
                <w:szCs w:val="21"/>
              </w:rPr>
              <w:t>判定结果</w:t>
            </w:r>
          </w:p>
        </w:tc>
      </w:tr>
      <w:tr w:rsidR="004F34D9" w:rsidRPr="00123108">
        <w:trPr>
          <w:trHeight w:val="90"/>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1</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采用氨冷冻盐水的氯气液化工艺</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不涉及采用氨冷冻盐水的氯气液化工艺</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kern w:val="0"/>
                <w:szCs w:val="21"/>
              </w:rPr>
            </w:pPr>
            <w:r w:rsidRPr="00123108">
              <w:rPr>
                <w:rFonts w:cs="宋体" w:hint="eastAsia"/>
                <w:szCs w:val="21"/>
              </w:rPr>
              <w:t>/</w:t>
            </w:r>
          </w:p>
        </w:tc>
      </w:tr>
      <w:tr w:rsidR="004F34D9" w:rsidRPr="00123108">
        <w:trPr>
          <w:trHeight w:val="90"/>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2</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用火直接加热的涂料用树脂生产工艺</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不涉及用火直接加热的涂料用树脂生产工艺</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kern w:val="0"/>
                <w:szCs w:val="21"/>
              </w:rPr>
            </w:pPr>
            <w:r w:rsidRPr="00123108">
              <w:rPr>
                <w:rFonts w:cs="宋体" w:hint="eastAsia"/>
                <w:szCs w:val="21"/>
              </w:rPr>
              <w:t>/</w:t>
            </w:r>
          </w:p>
        </w:tc>
      </w:tr>
      <w:tr w:rsidR="004F34D9" w:rsidRPr="00123108">
        <w:trPr>
          <w:trHeight w:val="90"/>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3</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常压固定床间歇煤气化工艺</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不涉及常压固定床间歇煤气化工艺</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kern w:val="0"/>
                <w:szCs w:val="21"/>
              </w:rPr>
            </w:pPr>
            <w:r w:rsidRPr="00123108">
              <w:rPr>
                <w:rFonts w:cs="宋体" w:hint="eastAsia"/>
                <w:szCs w:val="21"/>
              </w:rPr>
              <w:t>/</w:t>
            </w:r>
          </w:p>
        </w:tc>
      </w:tr>
      <w:tr w:rsidR="004F34D9" w:rsidRPr="00123108">
        <w:trPr>
          <w:trHeight w:val="90"/>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4</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常压中和法硝酸铵生产工艺</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不涉及常压中和法硝酸铵生产工艺</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kern w:val="0"/>
                <w:szCs w:val="21"/>
              </w:rPr>
            </w:pPr>
            <w:r w:rsidRPr="00123108">
              <w:rPr>
                <w:rFonts w:cs="宋体" w:hint="eastAsia"/>
                <w:szCs w:val="21"/>
              </w:rPr>
              <w:t>/</w:t>
            </w:r>
          </w:p>
        </w:tc>
      </w:tr>
      <w:tr w:rsidR="004F34D9" w:rsidRPr="00123108">
        <w:trPr>
          <w:trHeight w:val="90"/>
          <w:jc w:val="center"/>
        </w:trPr>
        <w:tc>
          <w:tcPr>
            <w:tcW w:w="9201" w:type="dxa"/>
            <w:gridSpan w:val="4"/>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ind w:leftChars="-15" w:left="-31" w:rightChars="-37" w:right="-78"/>
              <w:jc w:val="center"/>
              <w:rPr>
                <w:rFonts w:ascii="宋体" w:hAnsi="宋体" w:cs="宋体" w:hint="eastAsia"/>
                <w:kern w:val="0"/>
                <w:szCs w:val="21"/>
              </w:rPr>
            </w:pPr>
            <w:r w:rsidRPr="00123108">
              <w:rPr>
                <w:rFonts w:ascii="宋体" w:hAnsi="宋体" w:cs="宋体" w:hint="eastAsia"/>
                <w:kern w:val="0"/>
                <w:szCs w:val="21"/>
              </w:rPr>
              <w:t>二、淘汰落后的设备</w:t>
            </w:r>
          </w:p>
        </w:tc>
      </w:tr>
      <w:tr w:rsidR="004F34D9" w:rsidRPr="00123108">
        <w:trPr>
          <w:trHeight w:val="111"/>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1</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敞开式离心机</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未使用敞开式离心机</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kern w:val="0"/>
                <w:szCs w:val="21"/>
              </w:rPr>
            </w:pPr>
            <w:r w:rsidRPr="00123108">
              <w:rPr>
                <w:rFonts w:cs="宋体" w:hint="eastAsia"/>
                <w:szCs w:val="21"/>
              </w:rPr>
              <w:t>否</w:t>
            </w:r>
          </w:p>
        </w:tc>
      </w:tr>
      <w:tr w:rsidR="004F34D9" w:rsidRPr="00123108">
        <w:trPr>
          <w:trHeight w:val="90"/>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2</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多节钟罩的氯乙烯气柜</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不涉及氯乙烯气柜</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kern w:val="0"/>
                <w:szCs w:val="21"/>
              </w:rPr>
            </w:pPr>
            <w:r w:rsidRPr="00123108">
              <w:rPr>
                <w:rFonts w:cs="宋体" w:hint="eastAsia"/>
                <w:szCs w:val="21"/>
              </w:rPr>
              <w:t>/</w:t>
            </w:r>
          </w:p>
        </w:tc>
      </w:tr>
      <w:tr w:rsidR="004F34D9" w:rsidRPr="00123108">
        <w:trPr>
          <w:trHeight w:val="90"/>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3</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煤制甲醇装置气体净化工序三元换热器</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不涉及煤制甲醇装置</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kern w:val="0"/>
                <w:szCs w:val="21"/>
              </w:rPr>
            </w:pPr>
            <w:r w:rsidRPr="00123108">
              <w:rPr>
                <w:rFonts w:cs="宋体" w:hint="eastAsia"/>
                <w:szCs w:val="21"/>
              </w:rPr>
              <w:t>/</w:t>
            </w:r>
          </w:p>
        </w:tc>
      </w:tr>
      <w:tr w:rsidR="004F34D9" w:rsidRPr="00123108">
        <w:trPr>
          <w:trHeight w:val="90"/>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4</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未设置密闭及自动吸收系统的液氯储存仓库</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不涉及液氯储存仓库</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kern w:val="0"/>
                <w:szCs w:val="21"/>
              </w:rPr>
            </w:pPr>
            <w:r w:rsidRPr="00123108">
              <w:rPr>
                <w:rFonts w:cs="宋体" w:hint="eastAsia"/>
                <w:szCs w:val="21"/>
              </w:rPr>
              <w:t>/</w:t>
            </w:r>
          </w:p>
        </w:tc>
      </w:tr>
      <w:tr w:rsidR="004F34D9" w:rsidRPr="00123108">
        <w:trPr>
          <w:trHeight w:val="90"/>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5</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采用明火高温加热方式生产石油制品的釜式蒸馏装置</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不涉及釜式蒸馏装置</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kern w:val="0"/>
                <w:szCs w:val="21"/>
              </w:rPr>
            </w:pPr>
            <w:r w:rsidRPr="00123108">
              <w:rPr>
                <w:rFonts w:cs="宋体" w:hint="eastAsia"/>
                <w:szCs w:val="21"/>
              </w:rPr>
              <w:t>/</w:t>
            </w:r>
          </w:p>
        </w:tc>
      </w:tr>
      <w:tr w:rsidR="004F34D9" w:rsidRPr="00123108">
        <w:trPr>
          <w:trHeight w:val="90"/>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6</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开放式（又称敞开式）、内燃式（又称半密闭式或半开放式）电石炉</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不涉及电石炉</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kern w:val="0"/>
                <w:szCs w:val="21"/>
              </w:rPr>
            </w:pPr>
            <w:r w:rsidRPr="00123108">
              <w:rPr>
                <w:rFonts w:cs="宋体" w:hint="eastAsia"/>
                <w:szCs w:val="21"/>
              </w:rPr>
              <w:t>/</w:t>
            </w:r>
          </w:p>
        </w:tc>
      </w:tr>
      <w:tr w:rsidR="004F34D9" w:rsidRPr="00123108">
        <w:trPr>
          <w:trHeight w:val="90"/>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7</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无火焰监测和熄火保护系统的燃气加热炉、导热油炉</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不涉及燃气加热炉、导热油炉</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kern w:val="0"/>
                <w:szCs w:val="21"/>
              </w:rPr>
            </w:pPr>
            <w:r w:rsidRPr="00123108">
              <w:rPr>
                <w:rFonts w:cs="宋体" w:hint="eastAsia"/>
                <w:szCs w:val="21"/>
              </w:rPr>
              <w:t>/</w:t>
            </w:r>
          </w:p>
        </w:tc>
      </w:tr>
      <w:tr w:rsidR="004F34D9" w:rsidRPr="00123108">
        <w:trPr>
          <w:trHeight w:val="90"/>
          <w:jc w:val="center"/>
        </w:trPr>
        <w:tc>
          <w:tcPr>
            <w:tcW w:w="569"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pStyle w:val="aff4"/>
              <w:spacing w:before="0" w:beforeAutospacing="0" w:after="0" w:afterAutospacing="0" w:line="320" w:lineRule="atLeast"/>
              <w:jc w:val="center"/>
              <w:rPr>
                <w:rFonts w:cs="宋体" w:hint="eastAsia"/>
                <w:sz w:val="21"/>
                <w:szCs w:val="21"/>
                <w:lang w:val="en-US" w:eastAsia="zh-CN"/>
              </w:rPr>
            </w:pPr>
            <w:r w:rsidRPr="00123108">
              <w:rPr>
                <w:rFonts w:cs="宋体" w:hint="eastAsia"/>
                <w:sz w:val="21"/>
                <w:szCs w:val="21"/>
                <w:lang w:val="en-US" w:eastAsia="zh-CN"/>
              </w:rPr>
              <w:t>8</w:t>
            </w:r>
          </w:p>
        </w:tc>
        <w:tc>
          <w:tcPr>
            <w:tcW w:w="551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液化烃、液氯、液氨管道用软管</w:t>
            </w:r>
          </w:p>
        </w:tc>
        <w:tc>
          <w:tcPr>
            <w:tcW w:w="215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spacing w:line="240" w:lineRule="exact"/>
              <w:rPr>
                <w:rFonts w:ascii="宋体" w:hAnsi="宋体" w:hint="eastAsia"/>
                <w:szCs w:val="21"/>
              </w:rPr>
            </w:pPr>
            <w:r w:rsidRPr="00123108">
              <w:rPr>
                <w:rFonts w:ascii="宋体" w:hAnsi="宋体" w:hint="eastAsia"/>
                <w:szCs w:val="21"/>
              </w:rPr>
              <w:t>不涉及液化烃、液氯、液氨</w:t>
            </w:r>
          </w:p>
        </w:tc>
        <w:tc>
          <w:tcPr>
            <w:tcW w:w="972"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rsidR="004F34D9" w:rsidRPr="00123108" w:rsidRDefault="004F34D9">
            <w:pPr>
              <w:widowControl/>
              <w:spacing w:line="320" w:lineRule="atLeast"/>
              <w:jc w:val="center"/>
              <w:rPr>
                <w:rFonts w:ascii="宋体" w:hAnsi="宋体" w:cs="宋体" w:hint="eastAsia"/>
                <w:kern w:val="0"/>
                <w:szCs w:val="21"/>
              </w:rPr>
            </w:pPr>
            <w:r w:rsidRPr="00123108">
              <w:rPr>
                <w:rFonts w:cs="宋体" w:hint="eastAsia"/>
                <w:szCs w:val="21"/>
              </w:rPr>
              <w:t>/</w:t>
            </w:r>
          </w:p>
        </w:tc>
      </w:tr>
    </w:tbl>
    <w:p w:rsidR="004F34D9" w:rsidRPr="00123108" w:rsidRDefault="004F34D9">
      <w:pPr>
        <w:spacing w:line="560" w:lineRule="exact"/>
        <w:jc w:val="center"/>
        <w:rPr>
          <w:rFonts w:ascii="方正小标宋简体" w:eastAsia="方正小标宋简体" w:hAnsi="方正小标宋简体" w:cs="方正小标宋简体"/>
          <w:sz w:val="44"/>
          <w:szCs w:val="44"/>
        </w:rPr>
      </w:pPr>
      <w:r w:rsidRPr="00123108">
        <w:rPr>
          <w:rFonts w:ascii="宋体" w:hAnsi="宋体" w:cs="宋体" w:hint="eastAsia"/>
          <w:sz w:val="28"/>
        </w:rPr>
        <w:t>（3）根据《危险化学品生产使用企业老旧装置安全风险评估指南</w:t>
      </w:r>
      <w:r w:rsidRPr="00123108">
        <w:rPr>
          <w:rFonts w:cs="宋体" w:hint="eastAsia"/>
          <w:sz w:val="28"/>
          <w:szCs w:val="28"/>
          <w:shd w:val="clear" w:color="auto" w:fill="FFFFFF"/>
        </w:rPr>
        <w:t>》</w:t>
      </w:r>
    </w:p>
    <w:p w:rsidR="004F34D9" w:rsidRPr="00123108" w:rsidRDefault="004F34D9">
      <w:pPr>
        <w:pStyle w:val="aff4"/>
        <w:shd w:val="clear" w:color="auto" w:fill="FFFFFF"/>
        <w:spacing w:before="0" w:beforeAutospacing="0" w:after="0" w:afterAutospacing="0" w:line="500" w:lineRule="exact"/>
        <w:ind w:firstLineChars="200" w:firstLine="560"/>
        <w:jc w:val="both"/>
        <w:rPr>
          <w:rFonts w:cs="宋体" w:hint="eastAsia"/>
          <w:sz w:val="28"/>
          <w:szCs w:val="28"/>
          <w:shd w:val="clear" w:color="auto" w:fill="FFFFFF"/>
        </w:rPr>
      </w:pPr>
      <w:r w:rsidRPr="00123108">
        <w:rPr>
          <w:rFonts w:cs="宋体" w:hint="eastAsia"/>
          <w:sz w:val="28"/>
          <w:szCs w:val="28"/>
          <w:shd w:val="clear" w:color="auto" w:fill="FFFFFF"/>
        </w:rPr>
        <w:t>新桥化工一期于</w:t>
      </w:r>
      <w:r w:rsidRPr="00123108">
        <w:rPr>
          <w:rFonts w:hint="eastAsia"/>
          <w:sz w:val="28"/>
          <w:szCs w:val="28"/>
        </w:rPr>
        <w:t>1</w:t>
      </w:r>
      <w:r w:rsidRPr="00123108">
        <w:rPr>
          <w:sz w:val="28"/>
          <w:szCs w:val="28"/>
        </w:rPr>
        <w:t>990</w:t>
      </w:r>
      <w:r w:rsidRPr="00123108">
        <w:rPr>
          <w:rFonts w:hint="eastAsia"/>
          <w:sz w:val="28"/>
          <w:szCs w:val="28"/>
        </w:rPr>
        <w:t>年投入使用，二期于1998年建设，运行时间均已超过20年，为Ⅲ</w:t>
      </w:r>
      <w:r w:rsidRPr="00123108">
        <w:rPr>
          <w:sz w:val="28"/>
          <w:szCs w:val="28"/>
        </w:rPr>
        <w:t>类老旧装置</w:t>
      </w:r>
      <w:r w:rsidRPr="00123108">
        <w:rPr>
          <w:rFonts w:hint="eastAsia"/>
          <w:sz w:val="28"/>
          <w:szCs w:val="28"/>
        </w:rPr>
        <w:t>，已于2022年8月由浙江省应急厅组织的专家  进行检查，并出具</w:t>
      </w:r>
      <w:r w:rsidRPr="00123108">
        <w:rPr>
          <w:rFonts w:cs="宋体" w:hint="eastAsia"/>
          <w:sz w:val="28"/>
          <w:szCs w:val="28"/>
          <w:shd w:val="clear" w:color="auto" w:fill="FFFFFF"/>
        </w:rPr>
        <w:t>老旧装置（一装置一策）评估报告，企业已对该评估报告提出的问题全部完成整改。</w:t>
      </w:r>
    </w:p>
    <w:p w:rsidR="004F34D9" w:rsidRPr="00123108" w:rsidRDefault="004F34D9">
      <w:pPr>
        <w:adjustRightInd w:val="0"/>
        <w:snapToGrid w:val="0"/>
        <w:spacing w:line="500" w:lineRule="exact"/>
        <w:ind w:firstLineChars="200" w:firstLine="560"/>
        <w:rPr>
          <w:rFonts w:ascii="宋体" w:hAnsi="宋体" w:cs="宋体"/>
          <w:kern w:val="0"/>
          <w:sz w:val="28"/>
          <w:szCs w:val="28"/>
          <w:shd w:val="clear" w:color="auto" w:fill="FFFFFF"/>
        </w:rPr>
      </w:pPr>
      <w:r w:rsidRPr="00123108">
        <w:rPr>
          <w:rFonts w:ascii="宋体" w:hAnsi="宋体" w:cs="宋体" w:hint="eastAsia"/>
          <w:kern w:val="0"/>
          <w:sz w:val="28"/>
          <w:szCs w:val="28"/>
          <w:shd w:val="clear" w:color="auto" w:fill="FFFFFF"/>
        </w:rPr>
        <w:t>（4）根据苯乙烯安全风险隐患排查指南（试行）</w:t>
      </w:r>
    </w:p>
    <w:p w:rsidR="004F34D9" w:rsidRPr="00123108" w:rsidRDefault="004F34D9">
      <w:pPr>
        <w:pStyle w:val="aff4"/>
        <w:shd w:val="clear" w:color="auto" w:fill="FFFFFF"/>
        <w:spacing w:before="0" w:beforeAutospacing="0" w:after="0" w:afterAutospacing="0" w:line="500" w:lineRule="exact"/>
        <w:ind w:firstLineChars="200" w:firstLine="560"/>
        <w:jc w:val="both"/>
        <w:rPr>
          <w:rFonts w:cs="宋体" w:hint="eastAsia"/>
          <w:sz w:val="28"/>
          <w:szCs w:val="28"/>
          <w:shd w:val="clear" w:color="auto" w:fill="FFFFFF"/>
        </w:rPr>
      </w:pPr>
      <w:r w:rsidRPr="00123108">
        <w:rPr>
          <w:rFonts w:cs="宋体" w:hint="eastAsia"/>
          <w:sz w:val="28"/>
          <w:szCs w:val="28"/>
          <w:shd w:val="clear" w:color="auto" w:fill="FFFFFF"/>
        </w:rPr>
        <w:lastRenderedPageBreak/>
        <w:t>2022年6月16日，应急部组织化学品协会专家，对企业进行苯乙烯专项检查，企业已对检查提出的问题已全部完成整改。</w:t>
      </w:r>
    </w:p>
    <w:p w:rsidR="004F34D9" w:rsidRPr="00123108" w:rsidRDefault="004F34D9">
      <w:pPr>
        <w:spacing w:line="500" w:lineRule="exact"/>
        <w:ind w:firstLineChars="200" w:firstLine="560"/>
        <w:rPr>
          <w:rFonts w:ascii="宋体" w:hAnsi="宋体" w:hint="eastAsia"/>
          <w:sz w:val="28"/>
          <w:szCs w:val="28"/>
        </w:rPr>
      </w:pPr>
      <w:r w:rsidRPr="00123108">
        <w:rPr>
          <w:rFonts w:ascii="宋体" w:hAnsi="宋体" w:cs="宋体" w:hint="eastAsia"/>
          <w:sz w:val="28"/>
          <w:szCs w:val="28"/>
        </w:rPr>
        <w:t>小结：</w:t>
      </w:r>
      <w:bookmarkStart w:id="1728" w:name="_Hlk522204511"/>
      <w:r w:rsidRPr="00123108">
        <w:rPr>
          <w:rFonts w:ascii="宋体" w:hAnsi="宋体" w:hint="eastAsia"/>
          <w:sz w:val="28"/>
          <w:szCs w:val="28"/>
        </w:rPr>
        <w:t>未采用淘汰、禁止使用工艺；</w:t>
      </w:r>
      <w:r w:rsidRPr="00123108">
        <w:rPr>
          <w:rFonts w:ascii="宋体" w:hint="eastAsia"/>
          <w:sz w:val="28"/>
          <w:szCs w:val="28"/>
        </w:rPr>
        <w:t>生产过程设有自控系统</w:t>
      </w:r>
      <w:r w:rsidRPr="00123108">
        <w:rPr>
          <w:rFonts w:ascii="宋体" w:hAnsi="宋体" w:hint="eastAsia"/>
          <w:sz w:val="28"/>
          <w:szCs w:val="28"/>
        </w:rPr>
        <w:t>；设有安全通道、应急照明及疏散标志；</w:t>
      </w:r>
      <w:r w:rsidRPr="00123108">
        <w:rPr>
          <w:rFonts w:ascii="宋体" w:hint="eastAsia"/>
          <w:sz w:val="28"/>
          <w:szCs w:val="28"/>
        </w:rPr>
        <w:t>制订有工艺安全文件；</w:t>
      </w:r>
      <w:r w:rsidRPr="00123108">
        <w:rPr>
          <w:rFonts w:ascii="宋体" w:hAnsi="宋体" w:hint="eastAsia"/>
          <w:sz w:val="28"/>
          <w:szCs w:val="28"/>
        </w:rPr>
        <w:t>有操作规程，包含</w:t>
      </w:r>
      <w:r w:rsidRPr="00123108">
        <w:rPr>
          <w:rFonts w:ascii="宋体" w:hAnsi="宋体" w:cs="宋体" w:hint="eastAsia"/>
          <w:kern w:val="0"/>
          <w:sz w:val="28"/>
          <w:szCs w:val="28"/>
        </w:rPr>
        <w:t>工艺控制指标</w:t>
      </w:r>
      <w:r w:rsidRPr="00123108">
        <w:rPr>
          <w:rFonts w:ascii="宋体" w:hint="eastAsia"/>
          <w:sz w:val="28"/>
          <w:szCs w:val="28"/>
        </w:rPr>
        <w:t>；</w:t>
      </w:r>
      <w:r w:rsidRPr="00123108">
        <w:rPr>
          <w:rFonts w:ascii="宋体" w:hAnsi="宋体" w:hint="eastAsia"/>
          <w:sz w:val="28"/>
          <w:szCs w:val="28"/>
        </w:rPr>
        <w:t>有特种设备管理人员、压力容器定期检测</w:t>
      </w:r>
      <w:r w:rsidRPr="00123108">
        <w:rPr>
          <w:rFonts w:ascii="宋体" w:hAnsi="宋体" w:cs="宋体" w:hint="eastAsia"/>
          <w:kern w:val="0"/>
          <w:sz w:val="28"/>
          <w:szCs w:val="28"/>
        </w:rPr>
        <w:t>已建立工艺报警处置程序，及时处置工艺报警并记录；</w:t>
      </w:r>
      <w:r w:rsidRPr="00123108">
        <w:rPr>
          <w:rFonts w:ascii="宋体" w:hAnsi="宋体" w:cs="宋体" w:hint="eastAsia"/>
          <w:sz w:val="28"/>
          <w:szCs w:val="28"/>
        </w:rPr>
        <w:t>已根据老旧装置安全风险评估、</w:t>
      </w:r>
      <w:r w:rsidRPr="00123108">
        <w:rPr>
          <w:rFonts w:ascii="宋体" w:hAnsi="宋体" w:cs="宋体" w:hint="eastAsia"/>
          <w:kern w:val="0"/>
          <w:sz w:val="28"/>
          <w:szCs w:val="28"/>
          <w:shd w:val="clear" w:color="auto" w:fill="FFFFFF"/>
        </w:rPr>
        <w:t>苯乙烯安全风险隐患排查提出的问题完成整改。</w:t>
      </w:r>
    </w:p>
    <w:bookmarkEnd w:id="1728"/>
    <w:p w:rsidR="004F34D9" w:rsidRPr="00123108" w:rsidRDefault="004F34D9">
      <w:pPr>
        <w:spacing w:line="500" w:lineRule="exact"/>
        <w:ind w:firstLineChars="200" w:firstLine="560"/>
        <w:rPr>
          <w:rFonts w:ascii="宋体" w:hAnsi="宋体" w:cs="宋体" w:hint="eastAsia"/>
          <w:sz w:val="28"/>
        </w:rPr>
      </w:pPr>
      <w:r w:rsidRPr="00123108">
        <w:rPr>
          <w:rFonts w:ascii="宋体" w:hAnsi="宋体" w:cs="宋体" w:hint="eastAsia"/>
          <w:sz w:val="28"/>
        </w:rPr>
        <w:t>存在问题：</w:t>
      </w:r>
    </w:p>
    <w:p w:rsidR="004F34D9" w:rsidRPr="00123108" w:rsidRDefault="004F34D9">
      <w:pPr>
        <w:numPr>
          <w:ilvl w:val="0"/>
          <w:numId w:val="64"/>
        </w:numPr>
        <w:tabs>
          <w:tab w:val="left" w:pos="1155"/>
        </w:tabs>
        <w:spacing w:line="500" w:lineRule="exact"/>
        <w:ind w:left="0" w:firstLineChars="200" w:firstLine="560"/>
        <w:rPr>
          <w:rFonts w:ascii="宋体" w:hAnsi="宋体" w:hint="eastAsia"/>
          <w:sz w:val="28"/>
          <w:szCs w:val="28"/>
        </w:rPr>
      </w:pPr>
      <w:r w:rsidRPr="00123108">
        <w:rPr>
          <w:rFonts w:ascii="宋体" w:hAnsi="宋体" w:hint="eastAsia"/>
          <w:sz w:val="28"/>
          <w:szCs w:val="28"/>
        </w:rPr>
        <w:t>管廊架界面图与实际不一致。</w:t>
      </w:r>
    </w:p>
    <w:p w:rsidR="004F34D9" w:rsidRPr="00123108" w:rsidRDefault="004F34D9">
      <w:pPr>
        <w:numPr>
          <w:ilvl w:val="0"/>
          <w:numId w:val="64"/>
        </w:numPr>
        <w:tabs>
          <w:tab w:val="left" w:pos="1155"/>
        </w:tabs>
        <w:spacing w:line="500" w:lineRule="exact"/>
        <w:ind w:left="0" w:firstLineChars="200" w:firstLine="560"/>
        <w:rPr>
          <w:rFonts w:ascii="宋体" w:hAnsi="宋体" w:hint="eastAsia"/>
          <w:sz w:val="28"/>
          <w:szCs w:val="28"/>
        </w:rPr>
      </w:pPr>
      <w:r w:rsidRPr="00123108">
        <w:rPr>
          <w:rFonts w:ascii="宋体" w:hAnsi="宋体" w:hint="eastAsia"/>
          <w:sz w:val="28"/>
          <w:szCs w:val="28"/>
        </w:rPr>
        <w:t>个别物料管道标识缺失。</w:t>
      </w:r>
    </w:p>
    <w:p w:rsidR="004F34D9" w:rsidRPr="00123108" w:rsidRDefault="004F34D9">
      <w:pPr>
        <w:numPr>
          <w:ilvl w:val="0"/>
          <w:numId w:val="64"/>
        </w:numPr>
        <w:tabs>
          <w:tab w:val="left" w:pos="1155"/>
        </w:tabs>
        <w:spacing w:line="500" w:lineRule="exact"/>
        <w:ind w:left="0" w:firstLineChars="200" w:firstLine="560"/>
        <w:rPr>
          <w:rFonts w:ascii="宋体" w:hAnsi="宋体" w:hint="eastAsia"/>
          <w:sz w:val="28"/>
          <w:szCs w:val="28"/>
        </w:rPr>
      </w:pPr>
      <w:r w:rsidRPr="00123108">
        <w:rPr>
          <w:rFonts w:ascii="宋体" w:hAnsi="宋体" w:hint="eastAsia"/>
          <w:sz w:val="28"/>
          <w:szCs w:val="28"/>
        </w:rPr>
        <w:t>苯乙烯罐泵区、二甲苯罐泵区未设置围堰；A反应部二甲苯、戊烷</w:t>
      </w:r>
      <w:r w:rsidR="00F07894" w:rsidRPr="00123108">
        <w:rPr>
          <w:rFonts w:ascii="宋体" w:hAnsi="宋体" w:cs="宋体" w:hint="eastAsia"/>
          <w:sz w:val="28"/>
          <w:szCs w:val="28"/>
        </w:rPr>
        <w:t>计量槽出口管线上阀组</w:t>
      </w:r>
      <w:r w:rsidRPr="00123108">
        <w:rPr>
          <w:rFonts w:ascii="宋体" w:hAnsi="宋体" w:hint="eastAsia"/>
          <w:sz w:val="28"/>
          <w:szCs w:val="28"/>
        </w:rPr>
        <w:t>缺少接液盘。</w:t>
      </w:r>
    </w:p>
    <w:p w:rsidR="004F34D9" w:rsidRPr="00123108" w:rsidRDefault="004F34D9">
      <w:pPr>
        <w:numPr>
          <w:ilvl w:val="0"/>
          <w:numId w:val="64"/>
        </w:numPr>
        <w:tabs>
          <w:tab w:val="left" w:pos="1155"/>
        </w:tabs>
        <w:spacing w:line="500" w:lineRule="exact"/>
        <w:ind w:left="0" w:firstLineChars="200" w:firstLine="560"/>
        <w:rPr>
          <w:rFonts w:ascii="宋体" w:hAnsi="宋体"/>
          <w:sz w:val="28"/>
          <w:szCs w:val="28"/>
        </w:rPr>
      </w:pPr>
      <w:r w:rsidRPr="00123108">
        <w:rPr>
          <w:rFonts w:ascii="宋体" w:hAnsi="宋体" w:hint="eastAsia"/>
          <w:sz w:val="28"/>
          <w:szCs w:val="28"/>
        </w:rPr>
        <w:t>操作规程中未对清罐后初始入料流速等参数提出明确。</w:t>
      </w:r>
    </w:p>
    <w:p w:rsidR="004F34D9" w:rsidRPr="00123108" w:rsidRDefault="004F34D9">
      <w:pPr>
        <w:numPr>
          <w:ilvl w:val="0"/>
          <w:numId w:val="64"/>
        </w:numPr>
        <w:tabs>
          <w:tab w:val="left" w:pos="1155"/>
        </w:tabs>
        <w:spacing w:line="500" w:lineRule="exact"/>
        <w:ind w:left="0" w:firstLineChars="200" w:firstLine="560"/>
        <w:rPr>
          <w:rFonts w:ascii="宋体" w:hAnsi="宋体" w:hint="eastAsia"/>
          <w:sz w:val="28"/>
          <w:szCs w:val="28"/>
        </w:rPr>
      </w:pPr>
      <w:r w:rsidRPr="00123108">
        <w:rPr>
          <w:rFonts w:ascii="宋体" w:hAnsi="宋体" w:hint="eastAsia"/>
          <w:sz w:val="28"/>
          <w:szCs w:val="28"/>
        </w:rPr>
        <w:t>戊烷罐区可燃气体报警仪布置图与现场不一致。</w:t>
      </w:r>
    </w:p>
    <w:p w:rsidR="004F34D9" w:rsidRPr="00123108" w:rsidRDefault="004F34D9">
      <w:pPr>
        <w:numPr>
          <w:ilvl w:val="0"/>
          <w:numId w:val="64"/>
        </w:numPr>
        <w:tabs>
          <w:tab w:val="left" w:pos="1155"/>
        </w:tabs>
        <w:spacing w:line="500" w:lineRule="exact"/>
        <w:ind w:left="0" w:firstLineChars="200" w:firstLine="560"/>
        <w:rPr>
          <w:rFonts w:ascii="宋体" w:hAnsi="宋体" w:hint="eastAsia"/>
          <w:sz w:val="28"/>
          <w:szCs w:val="28"/>
        </w:rPr>
      </w:pPr>
      <w:r w:rsidRPr="00123108">
        <w:rPr>
          <w:rFonts w:ascii="宋体" w:hAnsi="宋体" w:hint="eastAsia"/>
          <w:sz w:val="28"/>
          <w:szCs w:val="28"/>
        </w:rPr>
        <w:t>未制定操作规程管理制度。</w:t>
      </w:r>
    </w:p>
    <w:p w:rsidR="004F34D9" w:rsidRPr="00123108" w:rsidRDefault="004F34D9">
      <w:pPr>
        <w:pStyle w:val="3"/>
        <w:spacing w:line="500" w:lineRule="exact"/>
        <w:rPr>
          <w:rFonts w:ascii="宋体" w:eastAsia="宋体" w:hAnsi="宋体" w:cs="宋体" w:hint="eastAsia"/>
          <w:sz w:val="28"/>
          <w:lang w:val="zh-CN"/>
        </w:rPr>
      </w:pPr>
      <w:bookmarkStart w:id="1729" w:name="_Toc6616"/>
      <w:bookmarkStart w:id="1730" w:name="_Toc28477"/>
      <w:bookmarkStart w:id="1731" w:name="_Toc3179"/>
      <w:bookmarkStart w:id="1732" w:name="_Toc21520"/>
      <w:bookmarkStart w:id="1733" w:name="_Toc7577"/>
      <w:bookmarkStart w:id="1734" w:name="_Toc21375"/>
      <w:bookmarkStart w:id="1735" w:name="_Toc479667233"/>
      <w:bookmarkStart w:id="1736" w:name="_Toc190935903"/>
      <w:r w:rsidRPr="00123108">
        <w:rPr>
          <w:rFonts w:ascii="宋体" w:eastAsia="宋体" w:hAnsi="宋体" w:cs="宋体" w:hint="eastAsia"/>
          <w:sz w:val="28"/>
          <w:lang w:val="zh-CN"/>
        </w:rPr>
        <w:t>附件2.</w:t>
      </w:r>
      <w:r w:rsidRPr="00123108">
        <w:rPr>
          <w:rFonts w:ascii="宋体" w:eastAsia="宋体" w:hAnsi="宋体" w:cs="宋体" w:hint="eastAsia"/>
          <w:sz w:val="28"/>
        </w:rPr>
        <w:t>4</w:t>
      </w:r>
      <w:r w:rsidRPr="00123108">
        <w:rPr>
          <w:rFonts w:ascii="宋体" w:eastAsia="宋体" w:hAnsi="宋体" w:cs="宋体" w:hint="eastAsia"/>
          <w:sz w:val="28"/>
          <w:lang w:val="zh-CN"/>
        </w:rPr>
        <w:t>.</w:t>
      </w:r>
      <w:r w:rsidRPr="00123108">
        <w:rPr>
          <w:rFonts w:ascii="宋体" w:eastAsia="宋体" w:hAnsi="宋体" w:cs="宋体" w:hint="eastAsia"/>
          <w:sz w:val="28"/>
        </w:rPr>
        <w:t>4</w:t>
      </w:r>
      <w:r w:rsidRPr="00123108">
        <w:rPr>
          <w:rFonts w:ascii="宋体" w:eastAsia="宋体" w:hAnsi="宋体" w:cs="宋体" w:hint="eastAsia"/>
          <w:sz w:val="28"/>
          <w:lang w:val="zh-CN"/>
        </w:rPr>
        <w:t xml:space="preserve">  防火防爆措施评价</w:t>
      </w:r>
      <w:bookmarkEnd w:id="1729"/>
      <w:bookmarkEnd w:id="1730"/>
      <w:bookmarkEnd w:id="1731"/>
      <w:bookmarkEnd w:id="1732"/>
      <w:bookmarkEnd w:id="1733"/>
      <w:bookmarkEnd w:id="1734"/>
      <w:bookmarkEnd w:id="1736"/>
    </w:p>
    <w:p w:rsidR="004F34D9" w:rsidRPr="00123108" w:rsidRDefault="004F34D9">
      <w:pPr>
        <w:spacing w:line="500" w:lineRule="exact"/>
        <w:jc w:val="left"/>
        <w:rPr>
          <w:rFonts w:ascii="宋体" w:hAnsi="宋体" w:cs="宋体" w:hint="eastAsia"/>
          <w:sz w:val="28"/>
          <w:szCs w:val="28"/>
        </w:rPr>
      </w:pPr>
      <w:r w:rsidRPr="00123108">
        <w:rPr>
          <w:rFonts w:ascii="宋体" w:hAnsi="宋体" w:cs="宋体" w:hint="eastAsia"/>
          <w:sz w:val="28"/>
          <w:szCs w:val="28"/>
        </w:rPr>
        <w:t xml:space="preserve">    依据《爆炸危险环境电力装置设计规范》GB 50058-2014、《建筑灭火器配置设计规范》GB 50140-2005、《石油化工可燃气体和有毒气体检测报警设计标准》GB/T 50493-2019的要求，对生产装置区、储罐区等区域电气系统与防火防爆设施进行检查，见附表2.4-4。</w:t>
      </w:r>
    </w:p>
    <w:p w:rsidR="004F34D9" w:rsidRPr="00123108" w:rsidRDefault="004F34D9">
      <w:pPr>
        <w:spacing w:line="500" w:lineRule="exact"/>
        <w:jc w:val="center"/>
        <w:rPr>
          <w:rFonts w:ascii="宋体" w:hAnsi="宋体" w:cs="宋体" w:hint="eastAsia"/>
          <w:b/>
          <w:bCs/>
          <w:sz w:val="28"/>
        </w:rPr>
      </w:pPr>
      <w:r w:rsidRPr="00123108">
        <w:rPr>
          <w:rFonts w:ascii="宋体" w:hAnsi="宋体" w:cs="宋体" w:hint="eastAsia"/>
          <w:b/>
          <w:bCs/>
          <w:sz w:val="28"/>
          <w:szCs w:val="28"/>
        </w:rPr>
        <w:t>附表2.4-4  防火防爆措施检查表</w:t>
      </w:r>
    </w:p>
    <w:tbl>
      <w:tblPr>
        <w:tblW w:w="4995"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
        <w:gridCol w:w="4671"/>
        <w:gridCol w:w="1705"/>
        <w:gridCol w:w="1626"/>
        <w:gridCol w:w="675"/>
      </w:tblGrid>
      <w:tr w:rsidR="004F34D9" w:rsidRPr="00123108">
        <w:trPr>
          <w:trHeight w:val="340"/>
          <w:jc w:val="center"/>
        </w:trPr>
        <w:tc>
          <w:tcPr>
            <w:tcW w:w="267"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序号</w:t>
            </w:r>
          </w:p>
        </w:tc>
        <w:tc>
          <w:tcPr>
            <w:tcW w:w="2548"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检查项目及内容</w:t>
            </w:r>
          </w:p>
        </w:tc>
        <w:tc>
          <w:tcPr>
            <w:tcW w:w="930"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依据标准</w:t>
            </w:r>
          </w:p>
        </w:tc>
        <w:tc>
          <w:tcPr>
            <w:tcW w:w="887"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实际情况说明</w:t>
            </w:r>
          </w:p>
        </w:tc>
        <w:tc>
          <w:tcPr>
            <w:tcW w:w="368"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检查结果</w:t>
            </w:r>
          </w:p>
        </w:tc>
      </w:tr>
      <w:tr w:rsidR="004F34D9" w:rsidRPr="00123108">
        <w:trPr>
          <w:trHeight w:val="340"/>
          <w:jc w:val="center"/>
        </w:trPr>
        <w:tc>
          <w:tcPr>
            <w:tcW w:w="267" w:type="pct"/>
            <w:vAlign w:val="center"/>
          </w:tcPr>
          <w:p w:rsidR="004F34D9" w:rsidRPr="00123108" w:rsidRDefault="004F34D9">
            <w:pPr>
              <w:jc w:val="center"/>
              <w:rPr>
                <w:rFonts w:ascii="宋体" w:hAnsi="宋体" w:cs="宋体" w:hint="eastAsia"/>
                <w:b/>
                <w:szCs w:val="21"/>
              </w:rPr>
            </w:pPr>
            <w:r w:rsidRPr="00123108">
              <w:rPr>
                <w:rFonts w:ascii="宋体" w:hAnsi="宋体" w:cs="宋体" w:hint="eastAsia"/>
                <w:b/>
                <w:szCs w:val="21"/>
              </w:rPr>
              <w:t>一</w:t>
            </w:r>
          </w:p>
        </w:tc>
        <w:tc>
          <w:tcPr>
            <w:tcW w:w="4733" w:type="pct"/>
            <w:gridSpan w:val="4"/>
            <w:vAlign w:val="center"/>
          </w:tcPr>
          <w:p w:rsidR="004F34D9" w:rsidRPr="00123108" w:rsidRDefault="004F34D9">
            <w:pPr>
              <w:jc w:val="center"/>
              <w:rPr>
                <w:rFonts w:ascii="宋体" w:hAnsi="宋体" w:cs="宋体" w:hint="eastAsia"/>
                <w:b/>
                <w:szCs w:val="21"/>
              </w:rPr>
            </w:pPr>
            <w:r w:rsidRPr="00123108">
              <w:rPr>
                <w:rFonts w:ascii="宋体" w:hAnsi="宋体" w:cs="宋体" w:hint="eastAsia"/>
                <w:b/>
                <w:szCs w:val="21"/>
              </w:rPr>
              <w:t>电气防爆系统</w:t>
            </w:r>
          </w:p>
        </w:tc>
      </w:tr>
      <w:tr w:rsidR="004F34D9" w:rsidRPr="00123108">
        <w:trPr>
          <w:trHeight w:val="340"/>
          <w:jc w:val="center"/>
        </w:trPr>
        <w:tc>
          <w:tcPr>
            <w:tcW w:w="26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w:t>
            </w:r>
          </w:p>
        </w:tc>
        <w:tc>
          <w:tcPr>
            <w:tcW w:w="25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电气线路应敷设在爆炸危险性较小的区域或距离释放源较远的位置。应避开易受机械损伤、振动、腐蚀、粉尘积聚以及有危险温度的场所。当不能避开时，应采取预防措施。</w:t>
            </w:r>
          </w:p>
        </w:tc>
        <w:tc>
          <w:tcPr>
            <w:tcW w:w="930"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AQ 3009-2007</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第6.1.1.1.1条</w:t>
            </w:r>
          </w:p>
        </w:tc>
        <w:tc>
          <w:tcPr>
            <w:tcW w:w="88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防爆区电气线路采取了防爆措施</w:t>
            </w:r>
          </w:p>
        </w:tc>
        <w:tc>
          <w:tcPr>
            <w:tcW w:w="36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jc w:val="center"/>
        </w:trPr>
        <w:tc>
          <w:tcPr>
            <w:tcW w:w="26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w:t>
            </w:r>
          </w:p>
        </w:tc>
        <w:tc>
          <w:tcPr>
            <w:tcW w:w="25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敷设电气线路的沟道、电缆桥架或导管，所穿过的不同区域之间墙或楼板处的孔洞应采用非燃性材料严密封堵</w:t>
            </w:r>
          </w:p>
        </w:tc>
        <w:tc>
          <w:tcPr>
            <w:tcW w:w="930"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50058-2014</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第5.4.3条</w:t>
            </w:r>
          </w:p>
        </w:tc>
        <w:tc>
          <w:tcPr>
            <w:tcW w:w="88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电气线路穿越隔墙、楼板的孔洞处有封堵</w:t>
            </w:r>
          </w:p>
        </w:tc>
        <w:tc>
          <w:tcPr>
            <w:tcW w:w="36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jc w:val="center"/>
        </w:trPr>
        <w:tc>
          <w:tcPr>
            <w:tcW w:w="26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lastRenderedPageBreak/>
              <w:t>3</w:t>
            </w:r>
          </w:p>
        </w:tc>
        <w:tc>
          <w:tcPr>
            <w:tcW w:w="2548" w:type="pct"/>
            <w:vAlign w:val="center"/>
          </w:tcPr>
          <w:p w:rsidR="004F34D9" w:rsidRPr="00123108" w:rsidRDefault="004F34D9">
            <w:pPr>
              <w:widowControl/>
              <w:autoSpaceDE w:val="0"/>
              <w:autoSpaceDN w:val="0"/>
              <w:adjustRightInd w:val="0"/>
              <w:snapToGrid w:val="0"/>
              <w:jc w:val="left"/>
              <w:outlineLvl w:val="5"/>
              <w:rPr>
                <w:rFonts w:ascii="宋体" w:hAnsi="宋体" w:cs="宋体" w:hint="eastAsia"/>
                <w:kern w:val="0"/>
                <w:szCs w:val="21"/>
              </w:rPr>
            </w:pPr>
            <w:r w:rsidRPr="00123108">
              <w:rPr>
                <w:rFonts w:ascii="宋体" w:hAnsi="宋体" w:cs="宋体" w:hint="eastAsia"/>
                <w:kern w:val="0"/>
                <w:szCs w:val="21"/>
              </w:rPr>
              <w:t>防爆电气设备的类型、级别、组别、环境条件以及特殊标志等，应符合设计的规定。</w:t>
            </w:r>
          </w:p>
        </w:tc>
        <w:tc>
          <w:tcPr>
            <w:tcW w:w="930"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AQ 3009-2007</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第6.1.2.1.1条</w:t>
            </w:r>
          </w:p>
        </w:tc>
        <w:tc>
          <w:tcPr>
            <w:tcW w:w="88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电气防爆已检测合格</w:t>
            </w:r>
          </w:p>
        </w:tc>
        <w:tc>
          <w:tcPr>
            <w:tcW w:w="36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jc w:val="center"/>
        </w:trPr>
        <w:tc>
          <w:tcPr>
            <w:tcW w:w="26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4</w:t>
            </w:r>
          </w:p>
        </w:tc>
        <w:tc>
          <w:tcPr>
            <w:tcW w:w="25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防爆电气设备的铭牌、防爆标志、警告牌应正确、清晰。</w:t>
            </w:r>
          </w:p>
        </w:tc>
        <w:tc>
          <w:tcPr>
            <w:tcW w:w="930"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AQ 3009-2007</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第6.1.2.1.2条</w:t>
            </w:r>
          </w:p>
        </w:tc>
        <w:tc>
          <w:tcPr>
            <w:tcW w:w="88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铭牌、防爆标志、警告牌应正确、清晰</w:t>
            </w:r>
          </w:p>
        </w:tc>
        <w:tc>
          <w:tcPr>
            <w:tcW w:w="36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jc w:val="center"/>
        </w:trPr>
        <w:tc>
          <w:tcPr>
            <w:tcW w:w="26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5</w:t>
            </w:r>
          </w:p>
        </w:tc>
        <w:tc>
          <w:tcPr>
            <w:tcW w:w="25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防爆电气设备的外壳和透光部分应无裂纹、损伤。</w:t>
            </w:r>
          </w:p>
        </w:tc>
        <w:tc>
          <w:tcPr>
            <w:tcW w:w="930"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AQ 3009-2007</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第6.1.2.1.3条</w:t>
            </w:r>
          </w:p>
        </w:tc>
        <w:tc>
          <w:tcPr>
            <w:tcW w:w="88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现场未见裂纹、损伤部位</w:t>
            </w:r>
          </w:p>
        </w:tc>
        <w:tc>
          <w:tcPr>
            <w:tcW w:w="36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jc w:val="center"/>
        </w:trPr>
        <w:tc>
          <w:tcPr>
            <w:tcW w:w="26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6</w:t>
            </w:r>
          </w:p>
        </w:tc>
        <w:tc>
          <w:tcPr>
            <w:tcW w:w="25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防爆电气设备的紧固螺栓应有放松措施，无松动和锈蚀。</w:t>
            </w:r>
          </w:p>
        </w:tc>
        <w:tc>
          <w:tcPr>
            <w:tcW w:w="930"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AQ 3009-2007</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第6.1.2.1.4条</w:t>
            </w:r>
          </w:p>
        </w:tc>
        <w:tc>
          <w:tcPr>
            <w:tcW w:w="88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未见明显松动及锈蚀</w:t>
            </w:r>
          </w:p>
        </w:tc>
        <w:tc>
          <w:tcPr>
            <w:tcW w:w="36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jc w:val="center"/>
        </w:trPr>
        <w:tc>
          <w:tcPr>
            <w:tcW w:w="26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7</w:t>
            </w:r>
          </w:p>
        </w:tc>
        <w:tc>
          <w:tcPr>
            <w:tcW w:w="25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变电所、配电所（包括配电室，下同）和控制室应布置在爆炸危险区域范围以外，当为正压室时，可布置在1区、2区内。</w:t>
            </w:r>
          </w:p>
        </w:tc>
        <w:tc>
          <w:tcPr>
            <w:tcW w:w="930"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50058-2014</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第5.3.5条</w:t>
            </w:r>
          </w:p>
        </w:tc>
        <w:tc>
          <w:tcPr>
            <w:tcW w:w="88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变电所等均位于防爆区域范围以外</w:t>
            </w:r>
          </w:p>
        </w:tc>
        <w:tc>
          <w:tcPr>
            <w:tcW w:w="36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jc w:val="center"/>
        </w:trPr>
        <w:tc>
          <w:tcPr>
            <w:tcW w:w="26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p>
        </w:tc>
        <w:tc>
          <w:tcPr>
            <w:tcW w:w="2548" w:type="pct"/>
            <w:vAlign w:val="center"/>
          </w:tcPr>
          <w:p w:rsidR="004F34D9" w:rsidRPr="00123108" w:rsidRDefault="004F34D9">
            <w:pPr>
              <w:autoSpaceDE w:val="0"/>
              <w:autoSpaceDN w:val="0"/>
              <w:adjustRightInd w:val="0"/>
              <w:snapToGrid w:val="0"/>
              <w:spacing w:line="260" w:lineRule="exact"/>
              <w:jc w:val="left"/>
              <w:rPr>
                <w:rFonts w:ascii="宋体" w:hAnsi="宋体" w:cs="宋体" w:hint="eastAsia"/>
                <w:kern w:val="0"/>
                <w:szCs w:val="21"/>
              </w:rPr>
            </w:pPr>
            <w:r w:rsidRPr="00123108">
              <w:rPr>
                <w:rFonts w:ascii="宋体" w:hAnsi="宋体" w:cs="宋体" w:hint="eastAsia"/>
                <w:kern w:val="0"/>
                <w:szCs w:val="21"/>
              </w:rPr>
              <w:t>爆炸危险环境电力装置的设计应符合现行国家标准《爆炸危险环境电力装置设计规范》GB50058的规定。</w:t>
            </w:r>
          </w:p>
        </w:tc>
        <w:tc>
          <w:tcPr>
            <w:tcW w:w="930" w:type="pct"/>
            <w:vAlign w:val="center"/>
          </w:tcPr>
          <w:p w:rsidR="004F34D9" w:rsidRPr="00123108" w:rsidRDefault="004F34D9">
            <w:pPr>
              <w:autoSpaceDE w:val="0"/>
              <w:autoSpaceDN w:val="0"/>
              <w:adjustRightInd w:val="0"/>
              <w:snapToGrid w:val="0"/>
              <w:spacing w:line="260" w:lineRule="exact"/>
              <w:jc w:val="left"/>
              <w:rPr>
                <w:rFonts w:ascii="宋体" w:hAnsi="宋体" w:cs="宋体" w:hint="eastAsia"/>
                <w:kern w:val="0"/>
                <w:szCs w:val="21"/>
              </w:rPr>
            </w:pPr>
            <w:r w:rsidRPr="00123108">
              <w:rPr>
                <w:rFonts w:ascii="宋体" w:hAnsi="宋体" w:cs="宋体" w:hint="eastAsia"/>
                <w:kern w:val="0"/>
                <w:szCs w:val="21"/>
              </w:rPr>
              <w:t>GB 50016-2014</w:t>
            </w:r>
          </w:p>
          <w:p w:rsidR="004F34D9" w:rsidRPr="00123108" w:rsidRDefault="004F34D9">
            <w:pPr>
              <w:autoSpaceDE w:val="0"/>
              <w:autoSpaceDN w:val="0"/>
              <w:adjustRightInd w:val="0"/>
              <w:snapToGrid w:val="0"/>
              <w:spacing w:line="260" w:lineRule="exact"/>
              <w:jc w:val="left"/>
              <w:rPr>
                <w:rFonts w:ascii="宋体" w:hAnsi="宋体" w:cs="宋体" w:hint="eastAsia"/>
                <w:kern w:val="0"/>
                <w:szCs w:val="21"/>
              </w:rPr>
            </w:pPr>
            <w:r w:rsidRPr="00123108">
              <w:rPr>
                <w:rFonts w:ascii="宋体" w:hAnsi="宋体" w:cs="宋体" w:hint="eastAsia"/>
                <w:kern w:val="0"/>
                <w:szCs w:val="21"/>
              </w:rPr>
              <w:t>（2018年版）</w:t>
            </w:r>
          </w:p>
          <w:p w:rsidR="004F34D9" w:rsidRPr="00123108" w:rsidRDefault="004F34D9">
            <w:pPr>
              <w:autoSpaceDE w:val="0"/>
              <w:autoSpaceDN w:val="0"/>
              <w:adjustRightInd w:val="0"/>
              <w:snapToGrid w:val="0"/>
              <w:spacing w:line="260" w:lineRule="exact"/>
              <w:jc w:val="left"/>
              <w:rPr>
                <w:rFonts w:ascii="宋体" w:hAnsi="宋体" w:cs="宋体" w:hint="eastAsia"/>
                <w:kern w:val="0"/>
                <w:szCs w:val="21"/>
              </w:rPr>
            </w:pPr>
            <w:r w:rsidRPr="00123108">
              <w:rPr>
                <w:rFonts w:ascii="宋体" w:hAnsi="宋体" w:cs="宋体" w:hint="eastAsia"/>
                <w:kern w:val="0"/>
                <w:szCs w:val="21"/>
              </w:rPr>
              <w:t>第10.2.6条</w:t>
            </w:r>
          </w:p>
        </w:tc>
        <w:tc>
          <w:tcPr>
            <w:tcW w:w="887" w:type="pct"/>
            <w:vAlign w:val="center"/>
          </w:tcPr>
          <w:p w:rsidR="004F34D9" w:rsidRPr="00123108" w:rsidRDefault="004F34D9">
            <w:pPr>
              <w:autoSpaceDE w:val="0"/>
              <w:autoSpaceDN w:val="0"/>
              <w:adjustRightInd w:val="0"/>
              <w:snapToGrid w:val="0"/>
              <w:spacing w:line="260" w:lineRule="exact"/>
              <w:jc w:val="left"/>
              <w:rPr>
                <w:rFonts w:ascii="宋体" w:hAnsi="宋体" w:cs="宋体" w:hint="eastAsia"/>
                <w:kern w:val="0"/>
                <w:szCs w:val="21"/>
              </w:rPr>
            </w:pPr>
            <w:r w:rsidRPr="00123108">
              <w:rPr>
                <w:rFonts w:ascii="宋体" w:hAnsi="宋体" w:cs="宋体" w:hint="eastAsia"/>
                <w:kern w:val="0"/>
                <w:szCs w:val="21"/>
              </w:rPr>
              <w:t>爆炸危险区域的电气设备均为防爆型</w:t>
            </w:r>
          </w:p>
        </w:tc>
        <w:tc>
          <w:tcPr>
            <w:tcW w:w="368" w:type="pct"/>
            <w:vAlign w:val="center"/>
          </w:tcPr>
          <w:p w:rsidR="004F34D9" w:rsidRPr="00123108" w:rsidRDefault="004F34D9">
            <w:pPr>
              <w:autoSpaceDE w:val="0"/>
              <w:autoSpaceDN w:val="0"/>
              <w:adjustRightInd w:val="0"/>
              <w:snapToGrid w:val="0"/>
              <w:spacing w:line="260" w:lineRule="exact"/>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jc w:val="center"/>
        </w:trPr>
        <w:tc>
          <w:tcPr>
            <w:tcW w:w="26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二</w:t>
            </w:r>
          </w:p>
        </w:tc>
        <w:tc>
          <w:tcPr>
            <w:tcW w:w="4733" w:type="pct"/>
            <w:gridSpan w:val="4"/>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可燃气体检测报警仪的布防</w:t>
            </w:r>
          </w:p>
        </w:tc>
      </w:tr>
      <w:tr w:rsidR="004F34D9" w:rsidRPr="00123108">
        <w:trPr>
          <w:trHeight w:val="340"/>
          <w:jc w:val="center"/>
        </w:trPr>
        <w:tc>
          <w:tcPr>
            <w:tcW w:w="26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w:t>
            </w:r>
          </w:p>
        </w:tc>
        <w:tc>
          <w:tcPr>
            <w:tcW w:w="25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建筑内可能散发可燃气体、可燃蒸气的场所应设置可燃气体报警装置。</w:t>
            </w:r>
          </w:p>
        </w:tc>
        <w:tc>
          <w:tcPr>
            <w:tcW w:w="930"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GB50016-2014</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第8.4.3条</w:t>
            </w:r>
          </w:p>
        </w:tc>
        <w:tc>
          <w:tcPr>
            <w:tcW w:w="88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相关场所已设置可燃气体报警装置</w:t>
            </w:r>
          </w:p>
        </w:tc>
        <w:tc>
          <w:tcPr>
            <w:tcW w:w="36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jc w:val="center"/>
        </w:trPr>
        <w:tc>
          <w:tcPr>
            <w:tcW w:w="26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w:t>
            </w:r>
          </w:p>
        </w:tc>
        <w:tc>
          <w:tcPr>
            <w:tcW w:w="25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在生产或使用可燃气体及有毒气体的生产设施及储运设施的区域内，泄漏气体中可燃气体浓度可能达到报警设定值时，应设置可燃气体探测器；泄漏气体中有毒气体浓度可能达到报警设定值时，应设置有毒气体探测器；既属于可燃气体又属于有毒气体的单组分气体介质，应设有毒气体探测器；可燃气体与有毒气体同时存在的多组分混合气体，泄漏时可燃气体浓度和有毒气体浓度有可能同时达到报警设定值，应分别设置可燃气体探测器和有毒气体探测器</w:t>
            </w:r>
          </w:p>
        </w:tc>
        <w:tc>
          <w:tcPr>
            <w:tcW w:w="930"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GB/T 50493-2019</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第3.0.1条</w:t>
            </w:r>
          </w:p>
        </w:tc>
        <w:tc>
          <w:tcPr>
            <w:tcW w:w="88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相关场所按要求设置了可燃、有毒气体报警器</w:t>
            </w:r>
          </w:p>
        </w:tc>
        <w:tc>
          <w:tcPr>
            <w:tcW w:w="36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jc w:val="center"/>
        </w:trPr>
        <w:tc>
          <w:tcPr>
            <w:tcW w:w="26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3</w:t>
            </w:r>
          </w:p>
        </w:tc>
        <w:tc>
          <w:tcPr>
            <w:tcW w:w="25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可燃气体和有毒气体检测报警信号应送至有人值守的现场控制室、中心控制室等进行显示报警；可燃气体二级报警信号、可燃气体和有毒气体检测报警系统报警控制单元的故障信号应送至消防控制室。</w:t>
            </w:r>
          </w:p>
        </w:tc>
        <w:tc>
          <w:tcPr>
            <w:tcW w:w="930"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GB/T 50493-2019</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第3.0.3条</w:t>
            </w:r>
          </w:p>
        </w:tc>
        <w:tc>
          <w:tcPr>
            <w:tcW w:w="887" w:type="pct"/>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可燃、有毒气体报警器信号送入消控室及控制室</w:t>
            </w:r>
          </w:p>
        </w:tc>
        <w:tc>
          <w:tcPr>
            <w:tcW w:w="368" w:type="pct"/>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符合</w:t>
            </w:r>
          </w:p>
        </w:tc>
      </w:tr>
      <w:tr w:rsidR="004F34D9" w:rsidRPr="00123108">
        <w:trPr>
          <w:trHeight w:val="340"/>
          <w:jc w:val="center"/>
        </w:trPr>
        <w:tc>
          <w:tcPr>
            <w:tcW w:w="26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4</w:t>
            </w:r>
          </w:p>
        </w:tc>
        <w:tc>
          <w:tcPr>
            <w:tcW w:w="25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控制室操作区应设置可燃气体和有毒气体声、光报警；现场区域警报器宜根据装置占地的面积、设备及建构筑物的布置、释放源的理化性质和现场空气流动特点进行设置。现场区域警报器应有声、光报警功能。</w:t>
            </w:r>
          </w:p>
        </w:tc>
        <w:tc>
          <w:tcPr>
            <w:tcW w:w="930"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GB/T 50493-2019</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第3.0.4条</w:t>
            </w:r>
          </w:p>
        </w:tc>
        <w:tc>
          <w:tcPr>
            <w:tcW w:w="88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可燃气体报警人员值守室有声光报警；</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区域警报器有声、光报警功能</w:t>
            </w:r>
          </w:p>
        </w:tc>
        <w:tc>
          <w:tcPr>
            <w:tcW w:w="36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90"/>
          <w:jc w:val="center"/>
        </w:trPr>
        <w:tc>
          <w:tcPr>
            <w:tcW w:w="26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5</w:t>
            </w:r>
          </w:p>
        </w:tc>
        <w:tc>
          <w:tcPr>
            <w:tcW w:w="25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可燃气体探测器必须取得国家指定机构或其授权检验单位的计量器具型式批准证书、防爆合格证和消防产品型式检验报告。</w:t>
            </w:r>
          </w:p>
        </w:tc>
        <w:tc>
          <w:tcPr>
            <w:tcW w:w="930"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GB/T 50493-2019</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第3.0.5条</w:t>
            </w:r>
          </w:p>
        </w:tc>
        <w:tc>
          <w:tcPr>
            <w:tcW w:w="88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有相关报告</w:t>
            </w:r>
          </w:p>
        </w:tc>
        <w:tc>
          <w:tcPr>
            <w:tcW w:w="36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jc w:val="center"/>
        </w:trPr>
        <w:tc>
          <w:tcPr>
            <w:tcW w:w="26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6</w:t>
            </w:r>
          </w:p>
        </w:tc>
        <w:tc>
          <w:tcPr>
            <w:tcW w:w="25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需要设置可燃气体、有毒气体探测器的场所，宜采用固定式探测器；需要临时检测可燃气体、有毒气体的场所，宜配备移动式气体探测器。</w:t>
            </w:r>
          </w:p>
        </w:tc>
        <w:tc>
          <w:tcPr>
            <w:tcW w:w="930"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GB/T 50493-2019</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第3.0.6条</w:t>
            </w:r>
          </w:p>
        </w:tc>
        <w:tc>
          <w:tcPr>
            <w:tcW w:w="88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相关场所已采用固定式并配便携式气体探测器并配备便携式报警仪</w:t>
            </w:r>
          </w:p>
        </w:tc>
        <w:tc>
          <w:tcPr>
            <w:tcW w:w="36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jc w:val="center"/>
        </w:trPr>
        <w:tc>
          <w:tcPr>
            <w:tcW w:w="26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7</w:t>
            </w:r>
          </w:p>
        </w:tc>
        <w:tc>
          <w:tcPr>
            <w:tcW w:w="25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可燃气体和有毒气体检测报警系统应独立于其他系统单独设置。</w:t>
            </w:r>
          </w:p>
        </w:tc>
        <w:tc>
          <w:tcPr>
            <w:tcW w:w="930"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GB/T 50493-2019</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lastRenderedPageBreak/>
              <w:t>第3.0.8条</w:t>
            </w:r>
          </w:p>
        </w:tc>
        <w:tc>
          <w:tcPr>
            <w:tcW w:w="88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lastRenderedPageBreak/>
              <w:t>可燃气体气体检测报警系统</w:t>
            </w:r>
            <w:r w:rsidRPr="00123108">
              <w:rPr>
                <w:rFonts w:ascii="宋体" w:hAnsi="宋体" w:cs="宋体" w:hint="eastAsia"/>
                <w:kern w:val="0"/>
                <w:szCs w:val="21"/>
              </w:rPr>
              <w:lastRenderedPageBreak/>
              <w:t>独立设置</w:t>
            </w:r>
          </w:p>
        </w:tc>
        <w:tc>
          <w:tcPr>
            <w:tcW w:w="36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lastRenderedPageBreak/>
              <w:t>符合</w:t>
            </w:r>
          </w:p>
        </w:tc>
      </w:tr>
      <w:tr w:rsidR="004F34D9" w:rsidRPr="00123108">
        <w:trPr>
          <w:trHeight w:val="340"/>
          <w:jc w:val="center"/>
        </w:trPr>
        <w:tc>
          <w:tcPr>
            <w:tcW w:w="26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p>
        </w:tc>
        <w:tc>
          <w:tcPr>
            <w:tcW w:w="25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释放源处于露天或敞开式厂房布置的设备区域内，可燃气体探测器距其所覆盖范围内的任一释放源的水平距离不宜大于10m。有毒气体探测器距其所覆盖范围内的任一释放源的水平距离不宜大于4m。</w:t>
            </w:r>
          </w:p>
        </w:tc>
        <w:tc>
          <w:tcPr>
            <w:tcW w:w="930"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GB/T 50493-2019</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第4.2.1条</w:t>
            </w:r>
          </w:p>
        </w:tc>
        <w:tc>
          <w:tcPr>
            <w:tcW w:w="88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可燃气体报警器布置符合规范要求</w:t>
            </w:r>
          </w:p>
        </w:tc>
        <w:tc>
          <w:tcPr>
            <w:tcW w:w="36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jc w:val="center"/>
        </w:trPr>
        <w:tc>
          <w:tcPr>
            <w:tcW w:w="26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8</w:t>
            </w:r>
          </w:p>
        </w:tc>
        <w:tc>
          <w:tcPr>
            <w:tcW w:w="25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液化烃、甲B、乙A、类液体等产生可燃气体的液体储罐的防火堤内，应设探测器。可燃气体探测器距其所覆盖范围内的任一释放源的水平距离不宜大于10m。有毒气体探测器距其所覆盖范围内的任一释放源的水平距离不宜大于4m。</w:t>
            </w:r>
          </w:p>
        </w:tc>
        <w:tc>
          <w:tcPr>
            <w:tcW w:w="930"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GB/T 50493-2019第4.3.1条</w:t>
            </w:r>
          </w:p>
        </w:tc>
        <w:tc>
          <w:tcPr>
            <w:tcW w:w="88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可燃气体报警器布置符合规范要求</w:t>
            </w:r>
          </w:p>
        </w:tc>
        <w:tc>
          <w:tcPr>
            <w:tcW w:w="36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90"/>
          <w:jc w:val="center"/>
        </w:trPr>
        <w:tc>
          <w:tcPr>
            <w:tcW w:w="26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9</w:t>
            </w:r>
          </w:p>
        </w:tc>
        <w:tc>
          <w:tcPr>
            <w:tcW w:w="25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液化烃、甲B、乙A、类液体的装卸设施.探测器的设置应符合下列规定：</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 铁路装卸栈台，在地面上每一个车位宜设一台探测器，且探测器与装卸车口的水平距离不应大于10m；</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 xml:space="preserve"> 2 汽车装卸站的装卸车鹤位与探测器的水平距离不应大于10m。</w:t>
            </w:r>
          </w:p>
        </w:tc>
        <w:tc>
          <w:tcPr>
            <w:tcW w:w="930"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GB/T 50493-2019第4.3.2条</w:t>
            </w:r>
          </w:p>
        </w:tc>
        <w:tc>
          <w:tcPr>
            <w:tcW w:w="88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不涉及铁路装卸栈台，卸车处设有可燃气体探测器</w:t>
            </w:r>
          </w:p>
        </w:tc>
        <w:tc>
          <w:tcPr>
            <w:tcW w:w="36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jc w:val="center"/>
        </w:trPr>
        <w:tc>
          <w:tcPr>
            <w:tcW w:w="26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10</w:t>
            </w:r>
          </w:p>
        </w:tc>
        <w:tc>
          <w:tcPr>
            <w:tcW w:w="2548" w:type="pct"/>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可燃气体和有毒气体检测报警系统的气体探测器、报警控制单元、现场警报器等的供电负荷，应按一级用电负荷中特别重要的负荷考虑，宜采用UPS电源装置供电。</w:t>
            </w:r>
          </w:p>
        </w:tc>
        <w:tc>
          <w:tcPr>
            <w:tcW w:w="930"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GB/T 50493-2019第3.0.9条</w:t>
            </w:r>
          </w:p>
        </w:tc>
        <w:tc>
          <w:tcPr>
            <w:tcW w:w="88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按一级用电负荷中特别重要的负荷考虑，采用UPS供电</w:t>
            </w:r>
          </w:p>
        </w:tc>
        <w:tc>
          <w:tcPr>
            <w:tcW w:w="36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jc w:val="center"/>
        </w:trPr>
        <w:tc>
          <w:tcPr>
            <w:tcW w:w="26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三</w:t>
            </w:r>
          </w:p>
        </w:tc>
        <w:tc>
          <w:tcPr>
            <w:tcW w:w="4733" w:type="pct"/>
            <w:gridSpan w:val="4"/>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安委〔2020〕3号要求</w:t>
            </w:r>
          </w:p>
        </w:tc>
      </w:tr>
      <w:tr w:rsidR="004F34D9" w:rsidRPr="00123108">
        <w:trPr>
          <w:trHeight w:val="340"/>
          <w:jc w:val="center"/>
        </w:trPr>
        <w:tc>
          <w:tcPr>
            <w:tcW w:w="26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w:t>
            </w:r>
          </w:p>
        </w:tc>
        <w:tc>
          <w:tcPr>
            <w:tcW w:w="25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2022年底前所有涉及硝化、氯化、氧化、重氮化、过氧化工艺装置的上下游配套装置必须实现自动化控制，最大限度减少作业场所人数。</w:t>
            </w:r>
          </w:p>
        </w:tc>
        <w:tc>
          <w:tcPr>
            <w:tcW w:w="930"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《危险化学品安全专项整治三年行动实施方案》安委〔2020〕3号</w:t>
            </w:r>
          </w:p>
        </w:tc>
        <w:tc>
          <w:tcPr>
            <w:tcW w:w="887" w:type="pct"/>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不涉及硝化、氯化、氧化、重氮化、过氧化工艺</w:t>
            </w:r>
          </w:p>
        </w:tc>
        <w:tc>
          <w:tcPr>
            <w:tcW w:w="36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w:t>
            </w:r>
          </w:p>
        </w:tc>
      </w:tr>
      <w:tr w:rsidR="004F34D9" w:rsidRPr="00123108">
        <w:trPr>
          <w:trHeight w:val="340"/>
          <w:jc w:val="center"/>
        </w:trPr>
        <w:tc>
          <w:tcPr>
            <w:tcW w:w="267" w:type="pct"/>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2</w:t>
            </w:r>
          </w:p>
        </w:tc>
        <w:tc>
          <w:tcPr>
            <w:tcW w:w="25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涉及爆炸危险性化学品的生产装置控制室、交接班室不得布置在装置区内，已建成投用的必须于2020年底前完成整改;涉及甲乙类火灾危险性的生产装置控制室、交接班室原则上不得布置在装置区内，确需布置的，应按照《石油化工控制室抗爆设计规范》（GB 50779-2012），在2020年底前完成抗爆设计、建设和加固。</w:t>
            </w:r>
          </w:p>
        </w:tc>
        <w:tc>
          <w:tcPr>
            <w:tcW w:w="930"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《危险化学品安全专项整治三年行动实施方案》安委〔2020〕3号</w:t>
            </w:r>
          </w:p>
        </w:tc>
        <w:tc>
          <w:tcPr>
            <w:tcW w:w="88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 xml:space="preserve">控制室、交接班室未布置在装置区内 </w:t>
            </w:r>
          </w:p>
        </w:tc>
        <w:tc>
          <w:tcPr>
            <w:tcW w:w="36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jc w:val="center"/>
        </w:trPr>
        <w:tc>
          <w:tcPr>
            <w:tcW w:w="267" w:type="pct"/>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3</w:t>
            </w:r>
          </w:p>
        </w:tc>
        <w:tc>
          <w:tcPr>
            <w:tcW w:w="254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具有甲乙类火灾危险性、粉尘爆炸危险性、中毒危险性的厂房（含装置或车间）和仓库内的办公室、休息室、外操室、巡检室，2020年8月前必须予以拆除。</w:t>
            </w:r>
          </w:p>
        </w:tc>
        <w:tc>
          <w:tcPr>
            <w:tcW w:w="930"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《危险化学品安全专项整治三年行动实施方案》安委〔2020〕3号</w:t>
            </w:r>
          </w:p>
        </w:tc>
        <w:tc>
          <w:tcPr>
            <w:tcW w:w="887"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相关场所未设置办公室、休息室、外操室、巡检室</w:t>
            </w:r>
          </w:p>
        </w:tc>
        <w:tc>
          <w:tcPr>
            <w:tcW w:w="368" w:type="pct"/>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bl>
    <w:p w:rsidR="004F34D9" w:rsidRPr="00123108" w:rsidRDefault="004F34D9">
      <w:pPr>
        <w:snapToGrid w:val="0"/>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小结：新桥化工现有的防火防爆设施均由有资质单位进行设计和安装，并能定期对电气防爆、可燃气体检测报警装置进行检测。</w:t>
      </w:r>
    </w:p>
    <w:p w:rsidR="004F34D9" w:rsidRPr="00123108" w:rsidRDefault="004F34D9">
      <w:pPr>
        <w:pStyle w:val="3"/>
        <w:rPr>
          <w:rFonts w:ascii="宋体" w:eastAsia="宋体" w:hAnsi="宋体" w:cs="宋体" w:hint="eastAsia"/>
          <w:sz w:val="28"/>
          <w:lang w:val="zh-CN"/>
        </w:rPr>
      </w:pPr>
      <w:bookmarkStart w:id="1737" w:name="_Toc13925"/>
      <w:bookmarkStart w:id="1738" w:name="_Toc3452"/>
      <w:bookmarkStart w:id="1739" w:name="_Toc30339"/>
      <w:bookmarkStart w:id="1740" w:name="_Toc301"/>
      <w:bookmarkStart w:id="1741" w:name="_Toc8544"/>
      <w:bookmarkStart w:id="1742" w:name="_Toc24076"/>
      <w:bookmarkStart w:id="1743" w:name="_Toc190935904"/>
      <w:r w:rsidRPr="00123108">
        <w:rPr>
          <w:rFonts w:ascii="宋体" w:eastAsia="宋体" w:hAnsi="宋体" w:cs="宋体" w:hint="eastAsia"/>
          <w:sz w:val="28"/>
          <w:lang w:val="zh-CN"/>
        </w:rPr>
        <w:t>附件2.</w:t>
      </w:r>
      <w:r w:rsidRPr="00123108">
        <w:rPr>
          <w:rFonts w:ascii="宋体" w:eastAsia="宋体" w:hAnsi="宋体" w:cs="宋体" w:hint="eastAsia"/>
          <w:sz w:val="28"/>
        </w:rPr>
        <w:t>4</w:t>
      </w:r>
      <w:r w:rsidRPr="00123108">
        <w:rPr>
          <w:rFonts w:ascii="宋体" w:eastAsia="宋体" w:hAnsi="宋体" w:cs="宋体" w:hint="eastAsia"/>
          <w:sz w:val="28"/>
          <w:lang w:val="zh-CN"/>
        </w:rPr>
        <w:t>.</w:t>
      </w:r>
      <w:r w:rsidRPr="00123108">
        <w:rPr>
          <w:rFonts w:ascii="宋体" w:eastAsia="宋体" w:hAnsi="宋体" w:cs="宋体" w:hint="eastAsia"/>
          <w:sz w:val="28"/>
        </w:rPr>
        <w:t xml:space="preserve">5  </w:t>
      </w:r>
      <w:r w:rsidRPr="00123108">
        <w:rPr>
          <w:rFonts w:ascii="宋体" w:eastAsia="宋体" w:hAnsi="宋体" w:cs="宋体" w:hint="eastAsia"/>
          <w:sz w:val="28"/>
          <w:lang w:val="zh-CN"/>
        </w:rPr>
        <w:t>防雷防静电评价</w:t>
      </w:r>
      <w:bookmarkEnd w:id="1737"/>
      <w:bookmarkEnd w:id="1738"/>
      <w:bookmarkEnd w:id="1739"/>
      <w:bookmarkEnd w:id="1740"/>
      <w:bookmarkEnd w:id="1741"/>
      <w:bookmarkEnd w:id="1742"/>
      <w:bookmarkEnd w:id="1743"/>
    </w:p>
    <w:p w:rsidR="004F34D9" w:rsidRPr="00123108" w:rsidRDefault="004F34D9">
      <w:pPr>
        <w:snapToGrid w:val="0"/>
        <w:spacing w:line="360" w:lineRule="auto"/>
        <w:ind w:firstLineChars="200" w:firstLine="560"/>
        <w:rPr>
          <w:rFonts w:ascii="宋体" w:hAnsi="宋体" w:cs="宋体" w:hint="eastAsia"/>
          <w:sz w:val="28"/>
          <w:szCs w:val="28"/>
        </w:rPr>
      </w:pPr>
      <w:r w:rsidRPr="00123108">
        <w:rPr>
          <w:rFonts w:ascii="宋体" w:hAnsi="宋体" w:cs="宋体" w:hint="eastAsia"/>
          <w:sz w:val="28"/>
          <w:szCs w:val="28"/>
        </w:rPr>
        <w:t>依据《建筑物防雷设计规范》GB 50057-2010、《</w:t>
      </w:r>
      <w:r w:rsidRPr="00123108">
        <w:rPr>
          <w:rFonts w:ascii="宋体" w:hAnsi="宋体" w:cs="宋体"/>
          <w:sz w:val="28"/>
          <w:szCs w:val="28"/>
        </w:rPr>
        <w:t>石油化工装置防雷设计规范</w:t>
      </w:r>
      <w:r w:rsidRPr="00123108">
        <w:rPr>
          <w:rFonts w:ascii="宋体" w:hAnsi="宋体" w:cs="宋体" w:hint="eastAsia"/>
          <w:sz w:val="28"/>
          <w:szCs w:val="28"/>
        </w:rPr>
        <w:t>》GB 50650-2011</w:t>
      </w:r>
      <w:r w:rsidRPr="00123108">
        <w:rPr>
          <w:rFonts w:ascii="宋体" w:hAnsi="宋体" w:cs="宋体"/>
          <w:sz w:val="28"/>
          <w:szCs w:val="28"/>
        </w:rPr>
        <w:t>（2022</w:t>
      </w:r>
      <w:r w:rsidRPr="00123108">
        <w:rPr>
          <w:rFonts w:ascii="宋体" w:hAnsi="宋体" w:cs="宋体" w:hint="eastAsia"/>
          <w:sz w:val="28"/>
          <w:szCs w:val="28"/>
        </w:rPr>
        <w:t>年</w:t>
      </w:r>
      <w:r w:rsidRPr="00123108">
        <w:rPr>
          <w:rFonts w:ascii="宋体" w:hAnsi="宋体" w:cs="宋体"/>
          <w:sz w:val="28"/>
          <w:szCs w:val="28"/>
        </w:rPr>
        <w:t>版）</w:t>
      </w:r>
      <w:r w:rsidRPr="00123108">
        <w:rPr>
          <w:rFonts w:ascii="宋体" w:hAnsi="宋体" w:cs="宋体" w:hint="eastAsia"/>
          <w:sz w:val="28"/>
          <w:szCs w:val="28"/>
        </w:rPr>
        <w:t xml:space="preserve">、《石油化工静电接地设计规范》SH/T </w:t>
      </w:r>
      <w:r w:rsidRPr="00123108">
        <w:rPr>
          <w:rFonts w:ascii="宋体" w:hAnsi="宋体" w:cs="宋体" w:hint="eastAsia"/>
          <w:sz w:val="28"/>
          <w:szCs w:val="28"/>
        </w:rPr>
        <w:lastRenderedPageBreak/>
        <w:t>3097-2017等的要求，对生产装置区、罐区等区域进行防雷、防静电安全设施检查，见附表2.4-5。</w:t>
      </w:r>
    </w:p>
    <w:p w:rsidR="004F34D9" w:rsidRPr="00123108" w:rsidRDefault="004F34D9">
      <w:pPr>
        <w:snapToGrid w:val="0"/>
        <w:spacing w:line="360" w:lineRule="auto"/>
        <w:jc w:val="center"/>
        <w:rPr>
          <w:rFonts w:ascii="宋体" w:hAnsi="宋体" w:cs="宋体" w:hint="eastAsia"/>
          <w:b/>
          <w:bCs/>
          <w:sz w:val="28"/>
          <w:szCs w:val="28"/>
          <w:lang w:val="zh-CN"/>
        </w:rPr>
      </w:pPr>
      <w:r w:rsidRPr="00123108">
        <w:rPr>
          <w:rFonts w:ascii="宋体" w:hAnsi="宋体" w:cs="宋体" w:hint="eastAsia"/>
          <w:b/>
          <w:bCs/>
          <w:sz w:val="28"/>
          <w:szCs w:val="28"/>
        </w:rPr>
        <w:t>附表2.4-5 防雷防静设施检查表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4943"/>
        <w:gridCol w:w="1535"/>
        <w:gridCol w:w="695"/>
        <w:gridCol w:w="1533"/>
      </w:tblGrid>
      <w:tr w:rsidR="004F34D9" w:rsidRPr="00123108">
        <w:trPr>
          <w:cantSplit/>
          <w:trHeight w:val="340"/>
          <w:jc w:val="center"/>
        </w:trPr>
        <w:tc>
          <w:tcPr>
            <w:tcW w:w="695"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序号</w:t>
            </w:r>
          </w:p>
        </w:tc>
        <w:tc>
          <w:tcPr>
            <w:tcW w:w="4943" w:type="dxa"/>
            <w:vAlign w:val="center"/>
          </w:tcPr>
          <w:p w:rsidR="004F34D9" w:rsidRPr="00123108" w:rsidRDefault="004F34D9">
            <w:pPr>
              <w:ind w:firstLine="480"/>
              <w:jc w:val="center"/>
              <w:rPr>
                <w:rFonts w:ascii="宋体" w:hAnsi="宋体" w:cs="宋体" w:hint="eastAsia"/>
                <w:szCs w:val="21"/>
              </w:rPr>
            </w:pPr>
            <w:r w:rsidRPr="00123108">
              <w:rPr>
                <w:rFonts w:ascii="宋体" w:hAnsi="宋体" w:cs="宋体" w:hint="eastAsia"/>
                <w:szCs w:val="21"/>
              </w:rPr>
              <w:t>检查项目及内容</w:t>
            </w:r>
          </w:p>
        </w:tc>
        <w:tc>
          <w:tcPr>
            <w:tcW w:w="1535"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评价依据</w:t>
            </w:r>
          </w:p>
        </w:tc>
        <w:tc>
          <w:tcPr>
            <w:tcW w:w="695"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检查结果</w:t>
            </w:r>
          </w:p>
        </w:tc>
        <w:tc>
          <w:tcPr>
            <w:tcW w:w="1533"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实际情况说明</w:t>
            </w:r>
          </w:p>
        </w:tc>
      </w:tr>
      <w:tr w:rsidR="004F34D9" w:rsidRPr="00123108">
        <w:trPr>
          <w:cantSplit/>
          <w:trHeight w:val="340"/>
          <w:jc w:val="center"/>
        </w:trPr>
        <w:tc>
          <w:tcPr>
            <w:tcW w:w="69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w:t>
            </w:r>
          </w:p>
        </w:tc>
        <w:tc>
          <w:tcPr>
            <w:tcW w:w="494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投入使用后的防雷装置实行定期检测制度。</w:t>
            </w:r>
          </w:p>
        </w:tc>
        <w:tc>
          <w:tcPr>
            <w:tcW w:w="153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《防雷减灾管理办法》</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第十九条</w:t>
            </w:r>
          </w:p>
        </w:tc>
        <w:tc>
          <w:tcPr>
            <w:tcW w:w="69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c>
          <w:tcPr>
            <w:tcW w:w="153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防雷设施定期进行检测</w:t>
            </w:r>
          </w:p>
        </w:tc>
      </w:tr>
      <w:tr w:rsidR="004F34D9" w:rsidRPr="00123108">
        <w:trPr>
          <w:cantSplit/>
          <w:trHeight w:val="340"/>
          <w:jc w:val="center"/>
        </w:trPr>
        <w:tc>
          <w:tcPr>
            <w:tcW w:w="69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w:t>
            </w:r>
          </w:p>
        </w:tc>
        <w:tc>
          <w:tcPr>
            <w:tcW w:w="494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kern w:val="0"/>
                <w:szCs w:val="21"/>
              </w:rPr>
              <w:t>对爆炸和火灾危险环境内可能产生静电危害的物体，应采取工业静电接地措施（以下简称静电接地）。</w:t>
            </w:r>
          </w:p>
        </w:tc>
        <w:tc>
          <w:tcPr>
            <w:tcW w:w="153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HG/T 20675-1990</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第2.1.1条</w:t>
            </w:r>
          </w:p>
        </w:tc>
        <w:tc>
          <w:tcPr>
            <w:tcW w:w="69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不符合</w:t>
            </w:r>
          </w:p>
        </w:tc>
        <w:tc>
          <w:tcPr>
            <w:tcW w:w="153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生产装置已采取防静电措施；苯乙烯罐泵区一处静电接地共用一个接地点、二甲苯罐区可燃气体声光报警仪未接地</w:t>
            </w:r>
          </w:p>
        </w:tc>
      </w:tr>
      <w:tr w:rsidR="004F34D9" w:rsidRPr="00123108">
        <w:trPr>
          <w:cantSplit/>
          <w:trHeight w:val="340"/>
          <w:jc w:val="center"/>
        </w:trPr>
        <w:tc>
          <w:tcPr>
            <w:tcW w:w="69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3</w:t>
            </w:r>
          </w:p>
        </w:tc>
        <w:tc>
          <w:tcPr>
            <w:tcW w:w="494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kern w:val="0"/>
                <w:szCs w:val="21"/>
              </w:rPr>
              <w:t>在可能产生静电危害的爆炸危险环境的入口处外侧，应设置按地的裸路金属体，如栏杆、金属门、金属支架等。</w:t>
            </w:r>
          </w:p>
        </w:tc>
        <w:tc>
          <w:tcPr>
            <w:tcW w:w="153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HG/T 20675-1990</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第2.9.4条</w:t>
            </w:r>
          </w:p>
        </w:tc>
        <w:tc>
          <w:tcPr>
            <w:tcW w:w="69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c>
          <w:tcPr>
            <w:tcW w:w="153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已</w:t>
            </w:r>
            <w:r w:rsidRPr="00123108">
              <w:rPr>
                <w:rFonts w:ascii="宋体" w:hAnsi="宋体" w:cs="宋体"/>
                <w:kern w:val="0"/>
                <w:szCs w:val="21"/>
              </w:rPr>
              <w:t>设置</w:t>
            </w:r>
            <w:r w:rsidRPr="00123108">
              <w:rPr>
                <w:rFonts w:ascii="宋体" w:hAnsi="宋体" w:cs="宋体" w:hint="eastAsia"/>
                <w:kern w:val="0"/>
                <w:szCs w:val="21"/>
              </w:rPr>
              <w:t>人体静电导除仪</w:t>
            </w:r>
          </w:p>
        </w:tc>
      </w:tr>
      <w:tr w:rsidR="004F34D9" w:rsidRPr="00123108">
        <w:trPr>
          <w:cantSplit/>
          <w:trHeight w:val="340"/>
          <w:jc w:val="center"/>
        </w:trPr>
        <w:tc>
          <w:tcPr>
            <w:tcW w:w="69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4</w:t>
            </w:r>
          </w:p>
        </w:tc>
        <w:tc>
          <w:tcPr>
            <w:tcW w:w="4943" w:type="dxa"/>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在生产加工、储运过程中，设备、管道、操作工具及人体等，有可能产生和积聚静电而造成静电危害时，应采取静电接地措施</w:t>
            </w:r>
          </w:p>
        </w:tc>
        <w:tc>
          <w:tcPr>
            <w:tcW w:w="153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SH/T 3097-2017第4.1.1条</w:t>
            </w:r>
          </w:p>
        </w:tc>
        <w:tc>
          <w:tcPr>
            <w:tcW w:w="69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c>
          <w:tcPr>
            <w:tcW w:w="153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已采取静电接地措施</w:t>
            </w:r>
          </w:p>
        </w:tc>
      </w:tr>
      <w:tr w:rsidR="004F34D9" w:rsidRPr="00123108">
        <w:trPr>
          <w:cantSplit/>
          <w:trHeight w:val="340"/>
          <w:jc w:val="center"/>
        </w:trPr>
        <w:tc>
          <w:tcPr>
            <w:tcW w:w="69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5</w:t>
            </w:r>
          </w:p>
        </w:tc>
        <w:tc>
          <w:tcPr>
            <w:tcW w:w="494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kern w:val="0"/>
                <w:szCs w:val="21"/>
              </w:rPr>
              <w:t>汽车槽车宜携带一端已与车体相连的专用接地电缆，以便汽车到位后，在装卸作业前接地。也可用接地现场准备的连接线，接到汽车槽车的连接端头上。接地的方法可用螺栓紧固或合用的夹头进行夹接。汽车槽车的连接端头应焊接在远离料口的不易受损的车体</w:t>
            </w:r>
            <w:r w:rsidRPr="00123108">
              <w:rPr>
                <w:rFonts w:ascii="宋体" w:hAnsi="宋体" w:cs="宋体" w:hint="eastAsia"/>
                <w:kern w:val="0"/>
                <w:szCs w:val="21"/>
              </w:rPr>
              <w:t>侧面。</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为</w:t>
            </w:r>
            <w:r w:rsidRPr="00123108">
              <w:rPr>
                <w:rFonts w:ascii="宋体" w:hAnsi="宋体" w:cs="宋体"/>
                <w:kern w:val="0"/>
                <w:szCs w:val="21"/>
              </w:rPr>
              <w:t>及时导走汽车行驶时产生的静电，可采用导电橡胶范地带，不宜采用拖地链条。</w:t>
            </w:r>
          </w:p>
        </w:tc>
        <w:tc>
          <w:tcPr>
            <w:tcW w:w="153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HG/T 20675-1990</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第3.4.1条</w:t>
            </w:r>
          </w:p>
        </w:tc>
        <w:tc>
          <w:tcPr>
            <w:tcW w:w="69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c>
          <w:tcPr>
            <w:tcW w:w="153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卸车位已设置静电接地夹</w:t>
            </w:r>
          </w:p>
        </w:tc>
      </w:tr>
      <w:tr w:rsidR="004F34D9" w:rsidRPr="00123108">
        <w:trPr>
          <w:cantSplit/>
          <w:trHeight w:val="340"/>
          <w:jc w:val="center"/>
        </w:trPr>
        <w:tc>
          <w:tcPr>
            <w:tcW w:w="69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6</w:t>
            </w:r>
          </w:p>
        </w:tc>
        <w:tc>
          <w:tcPr>
            <w:tcW w:w="4943" w:type="dxa"/>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kern w:val="0"/>
                <w:szCs w:val="21"/>
              </w:rPr>
              <w:t>石油化工装置的户外装置区，遇下列情况之一时，应进行防雷设计：</w:t>
            </w:r>
          </w:p>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kern w:val="0"/>
                <w:szCs w:val="21"/>
              </w:rPr>
              <w:t>1安置在地面上高大、耸立的生产设备；</w:t>
            </w:r>
          </w:p>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kern w:val="0"/>
                <w:szCs w:val="21"/>
              </w:rPr>
              <w:t>2通过框架或支架安置在高处的生产设备和引向火炬的主管道等；</w:t>
            </w:r>
          </w:p>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kern w:val="0"/>
                <w:szCs w:val="21"/>
              </w:rPr>
              <w:t>3安置在地面上的大型压缩机、成群布置的机泵等转动设备；</w:t>
            </w:r>
          </w:p>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kern w:val="0"/>
                <w:szCs w:val="21"/>
              </w:rPr>
              <w:t>4在空旷地区的火炬、烟囱和排气筒；</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kern w:val="0"/>
                <w:szCs w:val="21"/>
              </w:rPr>
              <w:t>5安置在高处易遭受直击雷的照明设施。</w:t>
            </w:r>
          </w:p>
        </w:tc>
        <w:tc>
          <w:tcPr>
            <w:tcW w:w="1535" w:type="dxa"/>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GB 50650-2011</w:t>
            </w:r>
            <w:r w:rsidRPr="00123108">
              <w:rPr>
                <w:rFonts w:ascii="宋体" w:hAnsi="宋体" w:cs="宋体"/>
                <w:kern w:val="0"/>
                <w:szCs w:val="21"/>
              </w:rPr>
              <w:t>（2022</w:t>
            </w:r>
            <w:r w:rsidRPr="00123108">
              <w:rPr>
                <w:rFonts w:ascii="宋体" w:hAnsi="宋体" w:cs="宋体" w:hint="eastAsia"/>
                <w:kern w:val="0"/>
                <w:szCs w:val="21"/>
              </w:rPr>
              <w:t>年</w:t>
            </w:r>
            <w:r w:rsidRPr="00123108">
              <w:rPr>
                <w:rFonts w:ascii="宋体" w:hAnsi="宋体" w:cs="宋体"/>
                <w:kern w:val="0"/>
                <w:szCs w:val="21"/>
              </w:rPr>
              <w:t>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第4.2.1条</w:t>
            </w:r>
          </w:p>
        </w:tc>
        <w:tc>
          <w:tcPr>
            <w:tcW w:w="69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c>
          <w:tcPr>
            <w:tcW w:w="153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kern w:val="0"/>
                <w:szCs w:val="21"/>
              </w:rPr>
              <w:t>安置在地面上高大、耸立的生产设备</w:t>
            </w:r>
            <w:r w:rsidRPr="00123108">
              <w:rPr>
                <w:rFonts w:ascii="宋体" w:hAnsi="宋体" w:cs="宋体" w:hint="eastAsia"/>
                <w:kern w:val="0"/>
                <w:szCs w:val="21"/>
              </w:rPr>
              <w:t>等已</w:t>
            </w:r>
            <w:r w:rsidRPr="00123108">
              <w:rPr>
                <w:rFonts w:ascii="宋体" w:hAnsi="宋体" w:cs="宋体"/>
                <w:kern w:val="0"/>
                <w:szCs w:val="21"/>
              </w:rPr>
              <w:t>进行防雷设计</w:t>
            </w:r>
          </w:p>
        </w:tc>
      </w:tr>
      <w:tr w:rsidR="004F34D9" w:rsidRPr="00123108">
        <w:trPr>
          <w:cantSplit/>
          <w:trHeight w:val="340"/>
          <w:jc w:val="center"/>
        </w:trPr>
        <w:tc>
          <w:tcPr>
            <w:tcW w:w="69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7</w:t>
            </w:r>
          </w:p>
        </w:tc>
        <w:tc>
          <w:tcPr>
            <w:tcW w:w="494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kern w:val="0"/>
                <w:szCs w:val="21"/>
              </w:rPr>
              <w:t>金属罐体应做防直击雷接地，接地点不应少于2处，并应沿罐体周边均匀布置，引下线的间距不应大于18m。每根引下线的冲击接地电阻不应大于10Ω。</w:t>
            </w:r>
          </w:p>
        </w:tc>
        <w:tc>
          <w:tcPr>
            <w:tcW w:w="1535" w:type="dxa"/>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GB 50650-2011</w:t>
            </w:r>
            <w:r w:rsidRPr="00123108">
              <w:rPr>
                <w:rFonts w:ascii="宋体" w:hAnsi="宋体" w:cs="宋体"/>
                <w:kern w:val="0"/>
                <w:szCs w:val="21"/>
              </w:rPr>
              <w:t>（2022</w:t>
            </w:r>
            <w:r w:rsidRPr="00123108">
              <w:rPr>
                <w:rFonts w:ascii="宋体" w:hAnsi="宋体" w:cs="宋体" w:hint="eastAsia"/>
                <w:kern w:val="0"/>
                <w:szCs w:val="21"/>
              </w:rPr>
              <w:t>年</w:t>
            </w:r>
            <w:r w:rsidRPr="00123108">
              <w:rPr>
                <w:rFonts w:ascii="宋体" w:hAnsi="宋体" w:cs="宋体"/>
                <w:kern w:val="0"/>
                <w:szCs w:val="21"/>
              </w:rPr>
              <w:t>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第5.5.1条</w:t>
            </w:r>
          </w:p>
        </w:tc>
        <w:tc>
          <w:tcPr>
            <w:tcW w:w="69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c>
          <w:tcPr>
            <w:tcW w:w="1533" w:type="dxa"/>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kern w:val="0"/>
                <w:szCs w:val="21"/>
              </w:rPr>
              <w:t>金属罐体</w:t>
            </w:r>
            <w:r w:rsidRPr="00123108">
              <w:rPr>
                <w:rFonts w:ascii="宋体" w:hAnsi="宋体" w:cs="宋体" w:hint="eastAsia"/>
                <w:kern w:val="0"/>
                <w:szCs w:val="21"/>
              </w:rPr>
              <w:t>已</w:t>
            </w:r>
            <w:r w:rsidRPr="00123108">
              <w:rPr>
                <w:rFonts w:ascii="宋体" w:hAnsi="宋体" w:cs="宋体"/>
                <w:kern w:val="0"/>
                <w:szCs w:val="21"/>
              </w:rPr>
              <w:t>做防直击雷接地</w:t>
            </w:r>
            <w:r w:rsidRPr="00123108">
              <w:rPr>
                <w:rFonts w:ascii="宋体" w:hAnsi="宋体" w:cs="宋体" w:hint="eastAsia"/>
                <w:kern w:val="0"/>
                <w:szCs w:val="21"/>
              </w:rPr>
              <w:t>，防雷检测合格</w:t>
            </w:r>
          </w:p>
        </w:tc>
      </w:tr>
      <w:tr w:rsidR="007A1DBC" w:rsidRPr="00123108">
        <w:trPr>
          <w:cantSplit/>
          <w:trHeight w:val="340"/>
          <w:jc w:val="center"/>
        </w:trPr>
        <w:tc>
          <w:tcPr>
            <w:tcW w:w="695" w:type="dxa"/>
            <w:vAlign w:val="center"/>
          </w:tcPr>
          <w:p w:rsidR="007A1DBC" w:rsidRPr="00123108" w:rsidRDefault="007A1DBC">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lastRenderedPageBreak/>
              <w:t>8</w:t>
            </w:r>
          </w:p>
        </w:tc>
        <w:tc>
          <w:tcPr>
            <w:tcW w:w="4943" w:type="dxa"/>
            <w:vAlign w:val="center"/>
          </w:tcPr>
          <w:p w:rsidR="007A1DBC" w:rsidRPr="00123108" w:rsidRDefault="007A1DBC">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装、卸和输送易燃液体时，防止静电急剧产出。</w:t>
            </w:r>
          </w:p>
        </w:tc>
        <w:tc>
          <w:tcPr>
            <w:tcW w:w="1535" w:type="dxa"/>
            <w:vAlign w:val="center"/>
          </w:tcPr>
          <w:p w:rsidR="007A1DBC" w:rsidRPr="00123108" w:rsidRDefault="007A1DBC" w:rsidP="00212FF5">
            <w:pPr>
              <w:autoSpaceDE w:val="0"/>
              <w:autoSpaceDN w:val="0"/>
              <w:adjustRightInd w:val="0"/>
              <w:snapToGrid w:val="0"/>
              <w:jc w:val="left"/>
              <w:rPr>
                <w:rFonts w:ascii="宋体" w:hAnsi="宋体" w:cs="宋体"/>
                <w:kern w:val="0"/>
                <w:szCs w:val="21"/>
              </w:rPr>
            </w:pPr>
            <w:r w:rsidRPr="00123108">
              <w:rPr>
                <w:rFonts w:ascii="宋体" w:hAnsi="宋体" w:cs="宋体"/>
                <w:kern w:val="0"/>
                <w:szCs w:val="21"/>
              </w:rPr>
              <w:t>HG/T23003-92</w:t>
            </w:r>
          </w:p>
          <w:p w:rsidR="007A1DBC" w:rsidRPr="00123108" w:rsidRDefault="007A1DBC">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第5.2条</w:t>
            </w:r>
          </w:p>
        </w:tc>
        <w:tc>
          <w:tcPr>
            <w:tcW w:w="695" w:type="dxa"/>
            <w:vAlign w:val="center"/>
          </w:tcPr>
          <w:p w:rsidR="007A1DBC" w:rsidRPr="00123108" w:rsidRDefault="007A1DBC">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不符合</w:t>
            </w:r>
          </w:p>
        </w:tc>
        <w:tc>
          <w:tcPr>
            <w:tcW w:w="1533" w:type="dxa"/>
            <w:vAlign w:val="center"/>
          </w:tcPr>
          <w:p w:rsidR="007A1DBC" w:rsidRPr="00123108" w:rsidRDefault="007A1DBC">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操作规程中未对清罐后初始入料流速等参数提出明确</w:t>
            </w:r>
          </w:p>
        </w:tc>
      </w:tr>
      <w:tr w:rsidR="007A1DBC" w:rsidRPr="00123108">
        <w:trPr>
          <w:cantSplit/>
          <w:trHeight w:val="340"/>
          <w:jc w:val="center"/>
        </w:trPr>
        <w:tc>
          <w:tcPr>
            <w:tcW w:w="695" w:type="dxa"/>
            <w:vAlign w:val="center"/>
          </w:tcPr>
          <w:p w:rsidR="007A1DBC" w:rsidRPr="00123108" w:rsidRDefault="007A1DBC">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9</w:t>
            </w:r>
          </w:p>
        </w:tc>
        <w:tc>
          <w:tcPr>
            <w:tcW w:w="4943" w:type="dxa"/>
            <w:vAlign w:val="center"/>
          </w:tcPr>
          <w:p w:rsidR="007A1DBC" w:rsidRPr="00123108" w:rsidRDefault="007A1DBC">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当用软管输送易燃液体时，应使用导电软管或内附金属丝、网的橡胶管，且在相接时注意静电的导通性。</w:t>
            </w:r>
          </w:p>
        </w:tc>
        <w:tc>
          <w:tcPr>
            <w:tcW w:w="1535" w:type="dxa"/>
            <w:vAlign w:val="center"/>
          </w:tcPr>
          <w:p w:rsidR="007A1DBC" w:rsidRPr="00123108" w:rsidRDefault="007A1DBC">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GB12158-2006第6.3.11 条</w:t>
            </w:r>
          </w:p>
        </w:tc>
        <w:tc>
          <w:tcPr>
            <w:tcW w:w="695" w:type="dxa"/>
            <w:vAlign w:val="center"/>
          </w:tcPr>
          <w:p w:rsidR="007A1DBC" w:rsidRPr="00123108" w:rsidRDefault="007A1DBC">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c>
          <w:tcPr>
            <w:tcW w:w="1533" w:type="dxa"/>
            <w:vAlign w:val="center"/>
          </w:tcPr>
          <w:p w:rsidR="007A1DBC" w:rsidRPr="00123108" w:rsidRDefault="007A1DBC">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软管为防静电型</w:t>
            </w:r>
          </w:p>
        </w:tc>
      </w:tr>
      <w:tr w:rsidR="007A1DBC" w:rsidRPr="00123108">
        <w:trPr>
          <w:cantSplit/>
          <w:trHeight w:val="340"/>
          <w:jc w:val="center"/>
        </w:trPr>
        <w:tc>
          <w:tcPr>
            <w:tcW w:w="695" w:type="dxa"/>
            <w:vAlign w:val="center"/>
          </w:tcPr>
          <w:p w:rsidR="007A1DBC" w:rsidRPr="00123108" w:rsidRDefault="007A1DBC">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10</w:t>
            </w:r>
          </w:p>
        </w:tc>
        <w:tc>
          <w:tcPr>
            <w:tcW w:w="4943" w:type="dxa"/>
            <w:vAlign w:val="center"/>
          </w:tcPr>
          <w:p w:rsidR="007A1DBC" w:rsidRPr="00123108" w:rsidRDefault="007A1DBC">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所有金属装置、设备、管道、贮罐等都必须接地。不允许有与地相绝缘的金属设备或金属零部件。亚导体或非导体应作间接接地，或采用静电屏蔽方法，屏蔽体必须可靠接地。</w:t>
            </w:r>
          </w:p>
        </w:tc>
        <w:tc>
          <w:tcPr>
            <w:tcW w:w="1535" w:type="dxa"/>
            <w:vAlign w:val="center"/>
          </w:tcPr>
          <w:p w:rsidR="007A1DBC" w:rsidRPr="00123108" w:rsidRDefault="007A1DBC" w:rsidP="00212FF5">
            <w:pPr>
              <w:autoSpaceDE w:val="0"/>
              <w:autoSpaceDN w:val="0"/>
              <w:adjustRightInd w:val="0"/>
              <w:snapToGrid w:val="0"/>
              <w:jc w:val="left"/>
              <w:rPr>
                <w:rFonts w:ascii="宋体" w:hAnsi="宋体" w:cs="宋体"/>
                <w:kern w:val="0"/>
                <w:szCs w:val="21"/>
              </w:rPr>
            </w:pPr>
            <w:r w:rsidRPr="00123108">
              <w:rPr>
                <w:rFonts w:ascii="宋体" w:hAnsi="宋体" w:cs="宋体"/>
                <w:kern w:val="0"/>
                <w:szCs w:val="21"/>
              </w:rPr>
              <w:t>HG/T23003-92</w:t>
            </w:r>
          </w:p>
          <w:p w:rsidR="007A1DBC" w:rsidRPr="00123108" w:rsidRDefault="007A1DBC">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第5.1条</w:t>
            </w:r>
          </w:p>
        </w:tc>
        <w:tc>
          <w:tcPr>
            <w:tcW w:w="695" w:type="dxa"/>
            <w:vAlign w:val="center"/>
          </w:tcPr>
          <w:p w:rsidR="007A1DBC" w:rsidRPr="00123108" w:rsidRDefault="007A1DBC">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c>
          <w:tcPr>
            <w:tcW w:w="1533" w:type="dxa"/>
            <w:vAlign w:val="center"/>
          </w:tcPr>
          <w:p w:rsidR="007A1DBC" w:rsidRPr="00123108" w:rsidRDefault="007A1DBC">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已经防静电检测合格</w:t>
            </w:r>
          </w:p>
        </w:tc>
      </w:tr>
      <w:tr w:rsidR="007A1DBC" w:rsidRPr="00123108">
        <w:trPr>
          <w:cantSplit/>
          <w:trHeight w:val="340"/>
          <w:jc w:val="center"/>
        </w:trPr>
        <w:tc>
          <w:tcPr>
            <w:tcW w:w="695" w:type="dxa"/>
            <w:vAlign w:val="center"/>
          </w:tcPr>
          <w:p w:rsidR="007A1DBC" w:rsidRPr="00123108" w:rsidRDefault="007A1DBC">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11</w:t>
            </w:r>
          </w:p>
        </w:tc>
        <w:tc>
          <w:tcPr>
            <w:tcW w:w="4943" w:type="dxa"/>
            <w:vAlign w:val="center"/>
          </w:tcPr>
          <w:p w:rsidR="007A1DBC" w:rsidRPr="00123108" w:rsidRDefault="007A1DBC">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任何技术措施都有可能随时间的推移而失效，在工作中应按照静电危害控制方案对采取的防静电措施进行定期检查。检查的频率取决于控制对象的用途、耐久性及失效的风险。</w:t>
            </w:r>
          </w:p>
        </w:tc>
        <w:tc>
          <w:tcPr>
            <w:tcW w:w="1535" w:type="dxa"/>
            <w:vAlign w:val="center"/>
          </w:tcPr>
          <w:p w:rsidR="007A1DBC" w:rsidRPr="00123108" w:rsidRDefault="007A1DBC" w:rsidP="00212FF5">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GB12158-2006</w:t>
            </w:r>
          </w:p>
          <w:p w:rsidR="007A1DBC" w:rsidRPr="00123108" w:rsidRDefault="007A1DBC">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第5.3条</w:t>
            </w:r>
          </w:p>
        </w:tc>
        <w:tc>
          <w:tcPr>
            <w:tcW w:w="695" w:type="dxa"/>
            <w:vAlign w:val="center"/>
          </w:tcPr>
          <w:p w:rsidR="007A1DBC" w:rsidRPr="00123108" w:rsidRDefault="007A1DBC">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c>
          <w:tcPr>
            <w:tcW w:w="1533" w:type="dxa"/>
            <w:vAlign w:val="center"/>
          </w:tcPr>
          <w:p w:rsidR="007A1DBC" w:rsidRPr="00123108" w:rsidRDefault="007A1DBC">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定期检查，巡检内容包含静电有效跨接检查</w:t>
            </w:r>
          </w:p>
        </w:tc>
      </w:tr>
    </w:tbl>
    <w:p w:rsidR="004F34D9" w:rsidRPr="00123108" w:rsidRDefault="004F34D9">
      <w:pPr>
        <w:snapToGrid w:val="0"/>
        <w:spacing w:line="500" w:lineRule="exact"/>
        <w:ind w:firstLineChars="200" w:firstLine="560"/>
        <w:rPr>
          <w:rFonts w:ascii="宋体" w:hAnsi="宋体" w:cs="宋体" w:hint="eastAsia"/>
          <w:szCs w:val="21"/>
        </w:rPr>
      </w:pPr>
      <w:r w:rsidRPr="00123108">
        <w:rPr>
          <w:rFonts w:ascii="宋体" w:hAnsi="宋体" w:cs="宋体" w:hint="eastAsia"/>
          <w:sz w:val="28"/>
          <w:szCs w:val="28"/>
        </w:rPr>
        <w:t>小结：新桥化工防雷、防静电定期检测合格并在有效期内；卸车场所设有静电接地夹，巡检内容包含静电有效跨接检查等内容。</w:t>
      </w:r>
    </w:p>
    <w:p w:rsidR="004F34D9" w:rsidRPr="00123108" w:rsidRDefault="004F34D9">
      <w:pPr>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存在问题：</w:t>
      </w:r>
    </w:p>
    <w:p w:rsidR="004F34D9" w:rsidRPr="00123108" w:rsidRDefault="004F34D9">
      <w:pPr>
        <w:numPr>
          <w:ilvl w:val="0"/>
          <w:numId w:val="65"/>
        </w:numPr>
        <w:spacing w:line="500" w:lineRule="exact"/>
        <w:ind w:left="0" w:firstLineChars="200" w:firstLine="560"/>
        <w:rPr>
          <w:rFonts w:ascii="宋体" w:hAnsi="宋体" w:hint="eastAsia"/>
          <w:sz w:val="28"/>
          <w:szCs w:val="28"/>
        </w:rPr>
      </w:pPr>
      <w:r w:rsidRPr="00123108">
        <w:rPr>
          <w:rFonts w:ascii="宋体" w:hAnsi="宋体" w:hint="eastAsia"/>
          <w:sz w:val="28"/>
          <w:szCs w:val="28"/>
        </w:rPr>
        <w:t>操作规程中未对清罐后初始入料流速等参数提出明确.</w:t>
      </w:r>
    </w:p>
    <w:p w:rsidR="004F34D9" w:rsidRPr="00123108" w:rsidRDefault="004F34D9">
      <w:pPr>
        <w:numPr>
          <w:ilvl w:val="0"/>
          <w:numId w:val="65"/>
        </w:numPr>
        <w:snapToGrid w:val="0"/>
        <w:spacing w:line="500" w:lineRule="exact"/>
        <w:ind w:left="0" w:firstLineChars="200" w:firstLine="560"/>
        <w:rPr>
          <w:rFonts w:ascii="宋体" w:hAnsi="宋体" w:cs="宋体" w:hint="eastAsia"/>
          <w:sz w:val="28"/>
          <w:szCs w:val="28"/>
          <w:lang w:val="zh-CN"/>
        </w:rPr>
      </w:pPr>
      <w:r w:rsidRPr="00123108">
        <w:rPr>
          <w:rFonts w:ascii="宋体" w:hAnsi="宋体" w:cs="宋体" w:hint="eastAsia"/>
          <w:kern w:val="0"/>
          <w:sz w:val="28"/>
          <w:szCs w:val="28"/>
        </w:rPr>
        <w:t>苯乙烯罐泵区一处静电接地共用一个接地点、二甲苯罐区可燃气体声光报警仪未接地。</w:t>
      </w:r>
    </w:p>
    <w:p w:rsidR="004F34D9" w:rsidRPr="00123108" w:rsidRDefault="004F34D9">
      <w:pPr>
        <w:pStyle w:val="3"/>
        <w:snapToGrid w:val="0"/>
        <w:jc w:val="both"/>
        <w:rPr>
          <w:rFonts w:ascii="宋体" w:eastAsia="宋体" w:hAnsi="宋体" w:cs="宋体" w:hint="eastAsia"/>
          <w:sz w:val="28"/>
          <w:lang w:val="zh-CN"/>
        </w:rPr>
      </w:pPr>
      <w:bookmarkStart w:id="1744" w:name="_Toc30853"/>
      <w:bookmarkStart w:id="1745" w:name="_Toc10899"/>
      <w:bookmarkStart w:id="1746" w:name="_Toc10371"/>
      <w:bookmarkStart w:id="1747" w:name="_Toc11693"/>
      <w:bookmarkStart w:id="1748" w:name="_Toc15170"/>
      <w:bookmarkStart w:id="1749" w:name="_Toc7842"/>
      <w:bookmarkStart w:id="1750" w:name="_Toc190935905"/>
      <w:r w:rsidRPr="00123108">
        <w:rPr>
          <w:rFonts w:ascii="宋体" w:eastAsia="宋体" w:hAnsi="宋体" w:cs="宋体" w:hint="eastAsia"/>
          <w:sz w:val="28"/>
          <w:lang w:val="zh-CN"/>
        </w:rPr>
        <w:t>附件2.</w:t>
      </w:r>
      <w:r w:rsidRPr="00123108">
        <w:rPr>
          <w:rFonts w:ascii="宋体" w:eastAsia="宋体" w:hAnsi="宋体" w:cs="宋体" w:hint="eastAsia"/>
          <w:sz w:val="28"/>
        </w:rPr>
        <w:t>4</w:t>
      </w:r>
      <w:r w:rsidRPr="00123108">
        <w:rPr>
          <w:rFonts w:ascii="宋体" w:eastAsia="宋体" w:hAnsi="宋体" w:cs="宋体" w:hint="eastAsia"/>
          <w:sz w:val="28"/>
          <w:lang w:val="zh-CN"/>
        </w:rPr>
        <w:t>.</w:t>
      </w:r>
      <w:r w:rsidRPr="00123108">
        <w:rPr>
          <w:rFonts w:ascii="宋体" w:eastAsia="宋体" w:hAnsi="宋体" w:cs="宋体" w:hint="eastAsia"/>
          <w:sz w:val="28"/>
        </w:rPr>
        <w:t xml:space="preserve">6 </w:t>
      </w:r>
      <w:r w:rsidRPr="00123108">
        <w:rPr>
          <w:rFonts w:ascii="宋体" w:eastAsia="宋体" w:hAnsi="宋体" w:cs="宋体" w:hint="eastAsia"/>
          <w:sz w:val="28"/>
          <w:lang w:val="zh-CN"/>
        </w:rPr>
        <w:t xml:space="preserve"> 消防设施评价</w:t>
      </w:r>
      <w:bookmarkEnd w:id="1744"/>
      <w:bookmarkEnd w:id="1745"/>
      <w:bookmarkEnd w:id="1746"/>
      <w:bookmarkEnd w:id="1747"/>
      <w:bookmarkEnd w:id="1748"/>
      <w:bookmarkEnd w:id="1749"/>
      <w:bookmarkEnd w:id="1750"/>
    </w:p>
    <w:p w:rsidR="004F34D9" w:rsidRPr="00123108" w:rsidRDefault="004F34D9">
      <w:pPr>
        <w:snapToGrid w:val="0"/>
        <w:spacing w:line="360" w:lineRule="auto"/>
        <w:ind w:firstLineChars="200" w:firstLine="560"/>
        <w:rPr>
          <w:rFonts w:ascii="宋体" w:hAnsi="宋体" w:cs="宋体" w:hint="eastAsia"/>
          <w:sz w:val="28"/>
          <w:szCs w:val="28"/>
        </w:rPr>
      </w:pPr>
      <w:r w:rsidRPr="00123108">
        <w:rPr>
          <w:rFonts w:ascii="宋体" w:hAnsi="宋体" w:cs="宋体" w:hint="eastAsia"/>
          <w:sz w:val="28"/>
          <w:szCs w:val="28"/>
        </w:rPr>
        <w:t>依据《中华人民共和国消防法》、《建筑灭火器配置设计规范》GB 50140-2005、《建筑灭火器配置验收及检查规范》GB 50444-2008等规范，对消防设施进行检查，见附表2.4-6。</w:t>
      </w:r>
    </w:p>
    <w:p w:rsidR="004F34D9" w:rsidRPr="00123108" w:rsidRDefault="004F34D9">
      <w:pPr>
        <w:snapToGrid w:val="0"/>
        <w:spacing w:line="360" w:lineRule="auto"/>
        <w:jc w:val="center"/>
        <w:rPr>
          <w:rFonts w:ascii="宋体" w:hAnsi="宋体" w:cs="宋体" w:hint="eastAsia"/>
          <w:b/>
          <w:sz w:val="28"/>
          <w:szCs w:val="28"/>
        </w:rPr>
      </w:pPr>
      <w:r w:rsidRPr="00123108">
        <w:rPr>
          <w:rFonts w:ascii="宋体" w:hAnsi="宋体" w:cs="宋体" w:hint="eastAsia"/>
          <w:b/>
          <w:sz w:val="28"/>
          <w:szCs w:val="28"/>
        </w:rPr>
        <w:t>附表2.4-6  消防设施检查表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
        <w:gridCol w:w="4828"/>
        <w:gridCol w:w="1543"/>
        <w:gridCol w:w="1531"/>
        <w:gridCol w:w="774"/>
      </w:tblGrid>
      <w:tr w:rsidR="004F34D9" w:rsidRPr="00123108">
        <w:trPr>
          <w:trHeight w:val="454"/>
          <w:jc w:val="center"/>
        </w:trPr>
        <w:tc>
          <w:tcPr>
            <w:tcW w:w="502"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rPr>
              <w:t>序号</w:t>
            </w:r>
          </w:p>
        </w:tc>
        <w:tc>
          <w:tcPr>
            <w:tcW w:w="4989"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rPr>
              <w:t>检查项目及内容</w:t>
            </w:r>
          </w:p>
        </w:tc>
        <w:tc>
          <w:tcPr>
            <w:tcW w:w="1563"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rPr>
              <w:t>依据标准</w:t>
            </w:r>
          </w:p>
        </w:tc>
        <w:tc>
          <w:tcPr>
            <w:tcW w:w="1559"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rPr>
              <w:t>实际情况说明</w:t>
            </w:r>
          </w:p>
        </w:tc>
        <w:tc>
          <w:tcPr>
            <w:tcW w:w="788"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jc w:val="center"/>
              <w:rPr>
                <w:rFonts w:ascii="宋体" w:hAnsi="宋体" w:cs="宋体" w:hint="eastAsia"/>
                <w:szCs w:val="21"/>
              </w:rPr>
            </w:pPr>
            <w:r w:rsidRPr="00123108">
              <w:rPr>
                <w:rFonts w:ascii="宋体" w:hAnsi="宋体" w:cs="宋体" w:hint="eastAsia"/>
              </w:rPr>
              <w:t>检查结果</w:t>
            </w:r>
          </w:p>
        </w:tc>
      </w:tr>
      <w:tr w:rsidR="004F34D9" w:rsidRPr="00123108">
        <w:trPr>
          <w:trHeight w:val="454"/>
          <w:jc w:val="center"/>
        </w:trPr>
        <w:tc>
          <w:tcPr>
            <w:tcW w:w="502"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w:t>
            </w:r>
          </w:p>
        </w:tc>
        <w:tc>
          <w:tcPr>
            <w:tcW w:w="4989"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widowControl/>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按照国家工程建设消防技术标准需要进行消防设计的建设工程竣工，依照下列规定进行消防验收、备案：</w:t>
            </w:r>
          </w:p>
          <w:p w:rsidR="004F34D9" w:rsidRPr="00123108" w:rsidRDefault="004F34D9">
            <w:pPr>
              <w:widowControl/>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1）本法第十一条规定的建设工程，建设单位应当向公安机关消防机构申请消防验收；</w:t>
            </w:r>
          </w:p>
          <w:p w:rsidR="004F34D9" w:rsidRPr="00123108" w:rsidRDefault="004F34D9">
            <w:pPr>
              <w:widowControl/>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2）其他建设工程，建设单位在验收后应当报公安机关消防机构备案，公安机关消防机构应当进行抽查。</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依法应当进行消防验收的建设工程，未经消防验收或者消防验收不合格的，禁止投入使用；其他建设工程经依法抽查不合格的，应当停止使用。</w:t>
            </w:r>
          </w:p>
        </w:tc>
        <w:tc>
          <w:tcPr>
            <w:tcW w:w="1563"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《中华人民共和国消防法》第十三条</w:t>
            </w:r>
          </w:p>
        </w:tc>
        <w:tc>
          <w:tcPr>
            <w:tcW w:w="1559"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已进行消防验收</w:t>
            </w:r>
          </w:p>
        </w:tc>
        <w:tc>
          <w:tcPr>
            <w:tcW w:w="788"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454"/>
          <w:jc w:val="center"/>
        </w:trPr>
        <w:tc>
          <w:tcPr>
            <w:tcW w:w="502"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lastRenderedPageBreak/>
              <w:t>2</w:t>
            </w:r>
          </w:p>
        </w:tc>
        <w:tc>
          <w:tcPr>
            <w:tcW w:w="4989"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甲、乙、丙类液体储罐（区）内的储罐应设置移动水枪或固定水冷却设施。高度大于15m或单罐容积大于2000m³的甲、乙、丙类液体地上储罐，宜采用固定水冷却设施。</w:t>
            </w:r>
          </w:p>
        </w:tc>
        <w:tc>
          <w:tcPr>
            <w:tcW w:w="1563"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GB50016-2014</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(2018版)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第8.1.4条</w:t>
            </w:r>
          </w:p>
        </w:tc>
        <w:tc>
          <w:tcPr>
            <w:tcW w:w="1559"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苯乙烯储罐设置固定水冷却设施</w:t>
            </w:r>
          </w:p>
        </w:tc>
        <w:tc>
          <w:tcPr>
            <w:tcW w:w="788"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454"/>
          <w:jc w:val="center"/>
        </w:trPr>
        <w:tc>
          <w:tcPr>
            <w:tcW w:w="502"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3</w:t>
            </w:r>
          </w:p>
        </w:tc>
        <w:tc>
          <w:tcPr>
            <w:tcW w:w="4989"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消防水泵房的设置应符合下列规定：</w:t>
            </w:r>
            <w:r w:rsidRPr="00123108">
              <w:rPr>
                <w:rFonts w:ascii="宋体" w:hAnsi="宋体" w:cs="宋体" w:hint="eastAsia"/>
                <w:kern w:val="0"/>
                <w:szCs w:val="21"/>
              </w:rPr>
              <w:br/>
              <w:t>1 单独建造的消防水泵房，其耐火等级不应低于二级；</w:t>
            </w:r>
            <w:r w:rsidRPr="00123108">
              <w:rPr>
                <w:rFonts w:ascii="宋体" w:hAnsi="宋体" w:cs="宋体" w:hint="eastAsia"/>
                <w:kern w:val="0"/>
                <w:szCs w:val="21"/>
              </w:rPr>
              <w:br/>
              <w:t>2 附设在建筑内的消防水泵房，不应设置在地下三层及以下或室内地面与室外出入口地坪高差大于10m的地下楼层；</w:t>
            </w:r>
            <w:r w:rsidRPr="00123108">
              <w:rPr>
                <w:rFonts w:ascii="宋体" w:hAnsi="宋体" w:cs="宋体" w:hint="eastAsia"/>
                <w:kern w:val="0"/>
                <w:szCs w:val="21"/>
              </w:rPr>
              <w:br/>
              <w:t> 3 疏散门应直通室外或安全出口。</w:t>
            </w:r>
          </w:p>
        </w:tc>
        <w:tc>
          <w:tcPr>
            <w:tcW w:w="1563"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GB50016-2014</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(2018版)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第8.1.6条</w:t>
            </w:r>
          </w:p>
        </w:tc>
        <w:tc>
          <w:tcPr>
            <w:tcW w:w="1559"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消防泵房独立设置；疏散门直通室外</w:t>
            </w:r>
          </w:p>
        </w:tc>
        <w:tc>
          <w:tcPr>
            <w:tcW w:w="788"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454"/>
          <w:jc w:val="center"/>
        </w:trPr>
        <w:tc>
          <w:tcPr>
            <w:tcW w:w="502"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4</w:t>
            </w:r>
          </w:p>
        </w:tc>
        <w:tc>
          <w:tcPr>
            <w:tcW w:w="4989"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设置火灾自动报警系统和需要联动控制消防设备的建筑（群）应设置消防控制室。消防控制室的设置应符合下列规定：</w:t>
            </w:r>
            <w:r w:rsidRPr="00123108">
              <w:rPr>
                <w:rFonts w:ascii="宋体" w:hAnsi="宋体" w:cs="宋体" w:hint="eastAsia"/>
                <w:kern w:val="0"/>
                <w:szCs w:val="21"/>
              </w:rPr>
              <w:br/>
              <w:t>1 单独建造的消防控制室，其耐火等级不应低于二级；</w:t>
            </w:r>
            <w:r w:rsidRPr="00123108">
              <w:rPr>
                <w:rFonts w:ascii="宋体" w:hAnsi="宋体" w:cs="宋体" w:hint="eastAsia"/>
                <w:kern w:val="0"/>
                <w:szCs w:val="21"/>
              </w:rPr>
              <w:br/>
              <w:t>2 附设在建筑内的消防控制室，宜设置在建筑内首层或地下一层，并宜布置在靠外墙部位；</w:t>
            </w:r>
            <w:r w:rsidRPr="00123108">
              <w:rPr>
                <w:rFonts w:ascii="宋体" w:hAnsi="宋体" w:cs="宋体" w:hint="eastAsia"/>
                <w:kern w:val="0"/>
                <w:szCs w:val="21"/>
              </w:rPr>
              <w:br/>
              <w:t>3 不应设置在电磁场干扰较强及其他可能影响消防控制设备正常工作的房间附近；</w:t>
            </w:r>
            <w:r w:rsidRPr="00123108">
              <w:rPr>
                <w:rFonts w:ascii="宋体" w:hAnsi="宋体" w:cs="宋体" w:hint="eastAsia"/>
                <w:kern w:val="0"/>
                <w:szCs w:val="21"/>
              </w:rPr>
              <w:br/>
              <w:t>4 疏散门应直通室外或安全出口。</w:t>
            </w:r>
            <w:r w:rsidRPr="00123108">
              <w:rPr>
                <w:rFonts w:ascii="宋体" w:hAnsi="宋体" w:cs="宋体" w:hint="eastAsia"/>
                <w:kern w:val="0"/>
                <w:szCs w:val="21"/>
              </w:rPr>
              <w:br/>
              <w:t>5 消防控制室内的设备构成及其对建筑消防设施的控制与显示功能以及向远程监控系统传输相关信息的功能，应符合现行国家标准《火灾自动报警系统设计规范》GB 50116和《消防控制室通用技术要求》GB 25506的规定。</w:t>
            </w:r>
          </w:p>
        </w:tc>
        <w:tc>
          <w:tcPr>
            <w:tcW w:w="1563"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GB50016-2014</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(2018版)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第8.1.7条</w:t>
            </w:r>
          </w:p>
        </w:tc>
        <w:tc>
          <w:tcPr>
            <w:tcW w:w="1559"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设有消控室；消控室单独设置，耐火等级二级；远程与消防大队联网</w:t>
            </w:r>
          </w:p>
        </w:tc>
        <w:tc>
          <w:tcPr>
            <w:tcW w:w="788"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454"/>
          <w:jc w:val="center"/>
        </w:trPr>
        <w:tc>
          <w:tcPr>
            <w:tcW w:w="502"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5</w:t>
            </w:r>
          </w:p>
        </w:tc>
        <w:tc>
          <w:tcPr>
            <w:tcW w:w="4989"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消防水泵房和消防控制室应采取防水淹的技术措施。</w:t>
            </w:r>
          </w:p>
        </w:tc>
        <w:tc>
          <w:tcPr>
            <w:tcW w:w="1563"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GB50016-2014</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(2018版)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第8.1.8条</w:t>
            </w:r>
          </w:p>
        </w:tc>
        <w:tc>
          <w:tcPr>
            <w:tcW w:w="1559"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地基高于周边路面</w:t>
            </w:r>
          </w:p>
        </w:tc>
        <w:tc>
          <w:tcPr>
            <w:tcW w:w="788"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454"/>
          <w:jc w:val="center"/>
        </w:trPr>
        <w:tc>
          <w:tcPr>
            <w:tcW w:w="502"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6</w:t>
            </w:r>
          </w:p>
        </w:tc>
        <w:tc>
          <w:tcPr>
            <w:tcW w:w="4989"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设置在建筑室内外供人员操作或使用的消防设施，均应设置区别于环境的明显标志。</w:t>
            </w:r>
          </w:p>
        </w:tc>
        <w:tc>
          <w:tcPr>
            <w:tcW w:w="1563"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GB50016-2014</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(2018版)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第8.1.12条</w:t>
            </w:r>
          </w:p>
        </w:tc>
        <w:tc>
          <w:tcPr>
            <w:tcW w:w="1559"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设有明显标志</w:t>
            </w:r>
          </w:p>
        </w:tc>
        <w:tc>
          <w:tcPr>
            <w:tcW w:w="788"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454"/>
          <w:jc w:val="center"/>
        </w:trPr>
        <w:tc>
          <w:tcPr>
            <w:tcW w:w="502"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7</w:t>
            </w:r>
          </w:p>
        </w:tc>
        <w:tc>
          <w:tcPr>
            <w:tcW w:w="4989"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甲、乙、丙类液体储罐的灭火系统设置应符合下列规定：</w:t>
            </w:r>
            <w:r w:rsidRPr="00123108">
              <w:rPr>
                <w:rFonts w:ascii="宋体" w:hAnsi="宋体" w:cs="宋体" w:hint="eastAsia"/>
                <w:kern w:val="0"/>
                <w:szCs w:val="21"/>
              </w:rPr>
              <w:br/>
              <w:t>1 单罐容量大于1000m³的固定顶罐应设置固定式泡沫灭火系统；</w:t>
            </w:r>
            <w:r w:rsidRPr="00123108">
              <w:rPr>
                <w:rFonts w:ascii="宋体" w:hAnsi="宋体" w:cs="宋体" w:hint="eastAsia"/>
                <w:kern w:val="0"/>
                <w:szCs w:val="21"/>
              </w:rPr>
              <w:br/>
              <w:t>2 罐壁高度小于7m或容量不大于200m³的储罐可采用移动式泡沫灭火系统；</w:t>
            </w:r>
            <w:r w:rsidRPr="00123108">
              <w:rPr>
                <w:rFonts w:ascii="宋体" w:hAnsi="宋体" w:cs="宋体" w:hint="eastAsia"/>
                <w:kern w:val="0"/>
                <w:szCs w:val="21"/>
              </w:rPr>
              <w:br/>
              <w:t>3 其他储罐宜采用半固定式泡沫灭火系统；</w:t>
            </w:r>
            <w:r w:rsidRPr="00123108">
              <w:rPr>
                <w:rFonts w:ascii="宋体" w:hAnsi="宋体" w:cs="宋体" w:hint="eastAsia"/>
                <w:kern w:val="0"/>
                <w:szCs w:val="21"/>
              </w:rPr>
              <w:br/>
              <w:t>4 石油库、石油化工、石油天然气工程中甲、乙、丙类液体储罐的灭火系统设置，应符合现行国家标准《石油库设计规范》GB 50074等标准的规定。</w:t>
            </w:r>
          </w:p>
        </w:tc>
        <w:tc>
          <w:tcPr>
            <w:tcW w:w="1563"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GB50016-2014</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(2018版)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第8.3.10条</w:t>
            </w:r>
          </w:p>
        </w:tc>
        <w:tc>
          <w:tcPr>
            <w:tcW w:w="1559"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二甲苯储罐4.2m，采用移动式干粉灭火器</w:t>
            </w:r>
          </w:p>
        </w:tc>
        <w:tc>
          <w:tcPr>
            <w:tcW w:w="788"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bl>
    <w:p w:rsidR="004F34D9" w:rsidRPr="00123108" w:rsidRDefault="004F34D9">
      <w:pPr>
        <w:spacing w:line="360" w:lineRule="auto"/>
        <w:ind w:firstLineChars="200" w:firstLine="560"/>
        <w:rPr>
          <w:rFonts w:ascii="宋体" w:hAnsi="宋体" w:cs="宋体" w:hint="eastAsia"/>
          <w:sz w:val="28"/>
          <w:szCs w:val="28"/>
        </w:rPr>
      </w:pPr>
      <w:r w:rsidRPr="00123108">
        <w:rPr>
          <w:rFonts w:ascii="宋体" w:hAnsi="宋体" w:cs="宋体" w:hint="eastAsia"/>
          <w:sz w:val="28"/>
          <w:szCs w:val="28"/>
        </w:rPr>
        <w:t>小结：企业已通过消防验收，消防设施已检测合格，并在生产装置区、储罐区设有有效的消防器材，消防设施能满足规范要求。</w:t>
      </w:r>
    </w:p>
    <w:p w:rsidR="004F34D9" w:rsidRPr="00123108" w:rsidRDefault="004F34D9">
      <w:pPr>
        <w:pStyle w:val="3"/>
        <w:rPr>
          <w:rFonts w:ascii="宋体" w:eastAsia="宋体" w:hAnsi="宋体" w:cs="宋体" w:hint="eastAsia"/>
          <w:sz w:val="28"/>
          <w:lang w:val="zh-CN"/>
        </w:rPr>
      </w:pPr>
      <w:bookmarkStart w:id="1751" w:name="_Toc209"/>
      <w:bookmarkStart w:id="1752" w:name="_Toc7207"/>
      <w:bookmarkStart w:id="1753" w:name="_Toc29503"/>
      <w:bookmarkStart w:id="1754" w:name="_Toc11936"/>
      <w:bookmarkStart w:id="1755" w:name="_Toc5032"/>
      <w:bookmarkStart w:id="1756" w:name="_Toc9095"/>
      <w:bookmarkStart w:id="1757" w:name="_Toc190935906"/>
      <w:r w:rsidRPr="00123108">
        <w:rPr>
          <w:rFonts w:ascii="宋体" w:eastAsia="宋体" w:hAnsi="宋体" w:cs="宋体" w:hint="eastAsia"/>
          <w:sz w:val="28"/>
          <w:lang w:val="zh-CN"/>
        </w:rPr>
        <w:t>附件2.</w:t>
      </w:r>
      <w:r w:rsidRPr="00123108">
        <w:rPr>
          <w:rFonts w:ascii="宋体" w:eastAsia="宋体" w:hAnsi="宋体" w:cs="宋体" w:hint="eastAsia"/>
          <w:sz w:val="28"/>
        </w:rPr>
        <w:t>4</w:t>
      </w:r>
      <w:r w:rsidRPr="00123108">
        <w:rPr>
          <w:rFonts w:ascii="宋体" w:eastAsia="宋体" w:hAnsi="宋体" w:cs="宋体" w:hint="eastAsia"/>
          <w:sz w:val="28"/>
          <w:lang w:val="zh-CN"/>
        </w:rPr>
        <w:t>.</w:t>
      </w:r>
      <w:r w:rsidRPr="00123108">
        <w:rPr>
          <w:rFonts w:ascii="宋体" w:eastAsia="宋体" w:hAnsi="宋体" w:cs="宋体" w:hint="eastAsia"/>
          <w:sz w:val="28"/>
        </w:rPr>
        <w:t xml:space="preserve">7 </w:t>
      </w:r>
      <w:r w:rsidRPr="00123108">
        <w:rPr>
          <w:rFonts w:ascii="宋体" w:eastAsia="宋体" w:hAnsi="宋体" w:cs="宋体" w:hint="eastAsia"/>
          <w:sz w:val="28"/>
          <w:lang w:val="zh-CN"/>
        </w:rPr>
        <w:t xml:space="preserve"> 电气、照明设施评价</w:t>
      </w:r>
      <w:bookmarkEnd w:id="1751"/>
      <w:bookmarkEnd w:id="1752"/>
      <w:bookmarkEnd w:id="1753"/>
      <w:bookmarkEnd w:id="1754"/>
      <w:bookmarkEnd w:id="1755"/>
      <w:bookmarkEnd w:id="1756"/>
      <w:bookmarkEnd w:id="1757"/>
    </w:p>
    <w:p w:rsidR="004F34D9" w:rsidRPr="00123108" w:rsidRDefault="004F34D9">
      <w:pPr>
        <w:spacing w:line="360" w:lineRule="auto"/>
        <w:ind w:firstLineChars="200" w:firstLine="560"/>
        <w:rPr>
          <w:rFonts w:ascii="宋体" w:hAnsi="宋体" w:cs="宋体" w:hint="eastAsia"/>
          <w:sz w:val="28"/>
          <w:szCs w:val="28"/>
        </w:rPr>
      </w:pPr>
      <w:r w:rsidRPr="00123108">
        <w:rPr>
          <w:rFonts w:ascii="宋体" w:hAnsi="宋体" w:cs="宋体" w:hint="eastAsia"/>
          <w:sz w:val="28"/>
          <w:szCs w:val="28"/>
        </w:rPr>
        <w:t>依据《建筑设计防火规范》GB 50016-2014（2018年版）、《化工企业</w:t>
      </w:r>
      <w:r w:rsidRPr="00123108">
        <w:rPr>
          <w:rFonts w:ascii="宋体" w:hAnsi="宋体" w:cs="宋体" w:hint="eastAsia"/>
          <w:sz w:val="28"/>
          <w:szCs w:val="28"/>
        </w:rPr>
        <w:lastRenderedPageBreak/>
        <w:t>静电接地设计规程》HG/T 20675-1990、《供配电系统设计规范》GB 50052-2009、《低压配电设计规范》GB 50054-2011、《20kV及以下变电所设计规范》GB 50053-2013、《用电安全导则》GB/T 13869-2017等规范，对企业现有的电气、照明设施进行检查。见附表2.4-7。</w:t>
      </w:r>
    </w:p>
    <w:p w:rsidR="004F34D9" w:rsidRPr="00123108" w:rsidRDefault="004F34D9">
      <w:pPr>
        <w:spacing w:line="360" w:lineRule="auto"/>
        <w:jc w:val="center"/>
        <w:rPr>
          <w:rFonts w:ascii="宋体" w:hAnsi="宋体" w:cs="宋体" w:hint="eastAsia"/>
          <w:b/>
          <w:sz w:val="28"/>
          <w:szCs w:val="28"/>
        </w:rPr>
      </w:pPr>
      <w:r w:rsidRPr="00123108">
        <w:rPr>
          <w:rFonts w:ascii="宋体" w:hAnsi="宋体" w:cs="宋体" w:hint="eastAsia"/>
          <w:b/>
          <w:sz w:val="28"/>
          <w:szCs w:val="28"/>
        </w:rPr>
        <w:t>附表2.4-7  电气、照明设施检查表</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
        <w:gridCol w:w="4661"/>
        <w:gridCol w:w="1680"/>
        <w:gridCol w:w="1890"/>
        <w:gridCol w:w="683"/>
      </w:tblGrid>
      <w:tr w:rsidR="004F34D9" w:rsidRPr="00123108">
        <w:trPr>
          <w:trHeight w:val="340"/>
          <w:jc w:val="center"/>
        </w:trPr>
        <w:tc>
          <w:tcPr>
            <w:tcW w:w="487"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序号</w:t>
            </w:r>
          </w:p>
        </w:tc>
        <w:tc>
          <w:tcPr>
            <w:tcW w:w="4661"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检查项目及内容</w:t>
            </w:r>
          </w:p>
        </w:tc>
        <w:tc>
          <w:tcPr>
            <w:tcW w:w="168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依据标准</w:t>
            </w:r>
          </w:p>
        </w:tc>
        <w:tc>
          <w:tcPr>
            <w:tcW w:w="189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实际情况说明</w:t>
            </w:r>
          </w:p>
        </w:tc>
        <w:tc>
          <w:tcPr>
            <w:tcW w:w="68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检查</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结果</w:t>
            </w:r>
          </w:p>
        </w:tc>
      </w:tr>
      <w:tr w:rsidR="004F34D9" w:rsidRPr="00123108">
        <w:trPr>
          <w:trHeight w:val="340"/>
          <w:jc w:val="center"/>
        </w:trPr>
        <w:tc>
          <w:tcPr>
            <w:tcW w:w="487"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w:t>
            </w:r>
          </w:p>
        </w:tc>
        <w:tc>
          <w:tcPr>
            <w:tcW w:w="4661" w:type="dxa"/>
            <w:vAlign w:val="center"/>
          </w:tcPr>
          <w:p w:rsidR="004F34D9" w:rsidRPr="00123108" w:rsidRDefault="004F34D9">
            <w:pPr>
              <w:pStyle w:val="aff4"/>
              <w:autoSpaceDE w:val="0"/>
              <w:autoSpaceDN w:val="0"/>
              <w:adjustRightInd w:val="0"/>
              <w:snapToGrid w:val="0"/>
              <w:rPr>
                <w:rFonts w:cs="宋体" w:hint="eastAsia"/>
                <w:sz w:val="21"/>
                <w:szCs w:val="21"/>
                <w:lang w:val="en-US" w:eastAsia="zh-CN"/>
              </w:rPr>
            </w:pPr>
            <w:r w:rsidRPr="00123108">
              <w:rPr>
                <w:rFonts w:cs="宋体" w:hint="eastAsia"/>
                <w:sz w:val="21"/>
                <w:szCs w:val="21"/>
                <w:lang w:val="en-US" w:eastAsia="zh-CN"/>
              </w:rPr>
              <w:t>消防用电设备应采用专用的供电回路，当建筑内生产、生活用电被切断时，应仍能保证消防用电。</w:t>
            </w:r>
          </w:p>
        </w:tc>
        <w:tc>
          <w:tcPr>
            <w:tcW w:w="168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第10.1.6条</w:t>
            </w:r>
          </w:p>
        </w:tc>
        <w:tc>
          <w:tcPr>
            <w:tcW w:w="189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消防用电设有备用电源</w:t>
            </w:r>
          </w:p>
        </w:tc>
        <w:tc>
          <w:tcPr>
            <w:tcW w:w="68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jc w:val="center"/>
        </w:trPr>
        <w:tc>
          <w:tcPr>
            <w:tcW w:w="487"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w:t>
            </w:r>
          </w:p>
        </w:tc>
        <w:tc>
          <w:tcPr>
            <w:tcW w:w="4661" w:type="dxa"/>
            <w:vAlign w:val="center"/>
          </w:tcPr>
          <w:p w:rsidR="004F34D9" w:rsidRPr="00123108" w:rsidRDefault="004F34D9">
            <w:pPr>
              <w:pStyle w:val="aff4"/>
              <w:autoSpaceDE w:val="0"/>
              <w:autoSpaceDN w:val="0"/>
              <w:adjustRightInd w:val="0"/>
              <w:snapToGrid w:val="0"/>
              <w:rPr>
                <w:rFonts w:cs="宋体" w:hint="eastAsia"/>
                <w:sz w:val="21"/>
                <w:szCs w:val="21"/>
                <w:lang w:val="en-US" w:eastAsia="zh-CN"/>
              </w:rPr>
            </w:pPr>
            <w:r w:rsidRPr="00123108">
              <w:rPr>
                <w:rFonts w:cs="宋体" w:hint="eastAsia"/>
                <w:sz w:val="21"/>
                <w:szCs w:val="21"/>
                <w:lang w:val="en-US" w:eastAsia="zh-CN"/>
              </w:rPr>
              <w:t>消防控制室、消防水泵房、自备发电机房、配电室以及发生火灾时仍需正常工作的消防设备房应设置备用照明，其作业面的最低照度不应低于正常照明的照度。</w:t>
            </w:r>
          </w:p>
        </w:tc>
        <w:tc>
          <w:tcPr>
            <w:tcW w:w="168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第10.3.3条</w:t>
            </w:r>
          </w:p>
        </w:tc>
        <w:tc>
          <w:tcPr>
            <w:tcW w:w="1890" w:type="dxa"/>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消防控制室、消防水泵房、自备发电机房、配电室均已设置应急照明，断电后可持续照明不小于90min</w:t>
            </w:r>
          </w:p>
        </w:tc>
        <w:tc>
          <w:tcPr>
            <w:tcW w:w="68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jc w:val="center"/>
        </w:trPr>
        <w:tc>
          <w:tcPr>
            <w:tcW w:w="487"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3</w:t>
            </w:r>
          </w:p>
        </w:tc>
        <w:tc>
          <w:tcPr>
            <w:tcW w:w="4661" w:type="dxa"/>
            <w:vAlign w:val="center"/>
          </w:tcPr>
          <w:p w:rsidR="004F34D9" w:rsidRPr="00123108" w:rsidRDefault="004F34D9">
            <w:pPr>
              <w:pStyle w:val="aff4"/>
              <w:autoSpaceDE w:val="0"/>
              <w:autoSpaceDN w:val="0"/>
              <w:adjustRightInd w:val="0"/>
              <w:snapToGrid w:val="0"/>
              <w:rPr>
                <w:rFonts w:cs="宋体" w:hint="eastAsia"/>
                <w:sz w:val="21"/>
                <w:szCs w:val="21"/>
                <w:lang w:val="en-US" w:eastAsia="zh-CN"/>
              </w:rPr>
            </w:pPr>
            <w:r w:rsidRPr="00123108">
              <w:rPr>
                <w:rFonts w:cs="宋体" w:hint="eastAsia"/>
                <w:sz w:val="21"/>
                <w:szCs w:val="21"/>
                <w:lang w:val="en-US" w:eastAsia="zh-CN"/>
              </w:rPr>
              <w:t>疏散照明灯具应设置在出口的顶部、墙面的上部或顶棚上；备用照明灯具应设置在墙面的上部或顶棚上。</w:t>
            </w:r>
          </w:p>
        </w:tc>
        <w:tc>
          <w:tcPr>
            <w:tcW w:w="168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第10.3.4条</w:t>
            </w:r>
          </w:p>
        </w:tc>
        <w:tc>
          <w:tcPr>
            <w:tcW w:w="189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已按要求设置疏散照明灯</w:t>
            </w:r>
          </w:p>
        </w:tc>
        <w:tc>
          <w:tcPr>
            <w:tcW w:w="68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jc w:val="center"/>
        </w:trPr>
        <w:tc>
          <w:tcPr>
            <w:tcW w:w="487"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4</w:t>
            </w:r>
          </w:p>
        </w:tc>
        <w:tc>
          <w:tcPr>
            <w:tcW w:w="4661" w:type="dxa"/>
            <w:vAlign w:val="center"/>
          </w:tcPr>
          <w:p w:rsidR="004F34D9" w:rsidRPr="00123108" w:rsidRDefault="004F34D9">
            <w:pPr>
              <w:pStyle w:val="aff4"/>
              <w:autoSpaceDE w:val="0"/>
              <w:autoSpaceDN w:val="0"/>
              <w:adjustRightInd w:val="0"/>
              <w:snapToGrid w:val="0"/>
              <w:rPr>
                <w:rFonts w:cs="宋体" w:hint="eastAsia"/>
                <w:sz w:val="21"/>
                <w:szCs w:val="21"/>
                <w:lang w:val="en-US" w:eastAsia="zh-CN"/>
              </w:rPr>
            </w:pPr>
            <w:r w:rsidRPr="00123108">
              <w:rPr>
                <w:rFonts w:cs="宋体" w:hint="eastAsia"/>
                <w:sz w:val="21"/>
                <w:szCs w:val="21"/>
                <w:lang w:val="en-US" w:eastAsia="zh-CN"/>
              </w:rPr>
              <w:t>甲、乙、丙类单、多层厂房应设置灯光疏散指示标志。</w:t>
            </w:r>
          </w:p>
        </w:tc>
        <w:tc>
          <w:tcPr>
            <w:tcW w:w="168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50016-2014</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（2018年版）</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第10.3.5条</w:t>
            </w:r>
          </w:p>
        </w:tc>
        <w:tc>
          <w:tcPr>
            <w:tcW w:w="189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厂房/装置已按要求设置疏散指示标志</w:t>
            </w:r>
          </w:p>
        </w:tc>
        <w:tc>
          <w:tcPr>
            <w:tcW w:w="68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jc w:val="center"/>
        </w:trPr>
        <w:tc>
          <w:tcPr>
            <w:tcW w:w="487"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5</w:t>
            </w:r>
          </w:p>
        </w:tc>
        <w:tc>
          <w:tcPr>
            <w:tcW w:w="4661" w:type="dxa"/>
            <w:vAlign w:val="center"/>
          </w:tcPr>
          <w:p w:rsidR="004F34D9" w:rsidRPr="00123108" w:rsidRDefault="004F34D9">
            <w:pPr>
              <w:pStyle w:val="aff4"/>
              <w:autoSpaceDE w:val="0"/>
              <w:autoSpaceDN w:val="0"/>
              <w:adjustRightInd w:val="0"/>
              <w:snapToGrid w:val="0"/>
              <w:rPr>
                <w:rFonts w:cs="宋体" w:hint="eastAsia"/>
                <w:sz w:val="21"/>
                <w:szCs w:val="21"/>
                <w:lang w:val="en-US" w:eastAsia="zh-CN"/>
              </w:rPr>
            </w:pPr>
            <w:r w:rsidRPr="00123108">
              <w:rPr>
                <w:rFonts w:cs="宋体" w:hint="eastAsia"/>
                <w:sz w:val="21"/>
                <w:szCs w:val="21"/>
                <w:lang w:val="en-US" w:eastAsia="zh-CN"/>
              </w:rPr>
              <w:t>配电室的门、窗关闭应密合；与室外相通的洞、通风孔应设防止鼠、蛇类等小动物进入的网罩。直接与室外露天相通的通风孔尚应采取防止雨、雪飘入的措施。</w:t>
            </w:r>
          </w:p>
        </w:tc>
        <w:tc>
          <w:tcPr>
            <w:tcW w:w="168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50054-2011</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第4.3.7条</w:t>
            </w:r>
          </w:p>
        </w:tc>
        <w:tc>
          <w:tcPr>
            <w:tcW w:w="1890" w:type="dxa"/>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已设置防止小动物进入的挡鼠板，窗户设置纱窗</w:t>
            </w:r>
          </w:p>
        </w:tc>
        <w:tc>
          <w:tcPr>
            <w:tcW w:w="68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jc w:val="center"/>
        </w:trPr>
        <w:tc>
          <w:tcPr>
            <w:tcW w:w="487"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6</w:t>
            </w:r>
          </w:p>
        </w:tc>
        <w:tc>
          <w:tcPr>
            <w:tcW w:w="4661" w:type="dxa"/>
            <w:vAlign w:val="center"/>
          </w:tcPr>
          <w:p w:rsidR="004F34D9" w:rsidRPr="00123108" w:rsidRDefault="004F34D9">
            <w:pPr>
              <w:pStyle w:val="aff4"/>
              <w:autoSpaceDE w:val="0"/>
              <w:autoSpaceDN w:val="0"/>
              <w:adjustRightInd w:val="0"/>
              <w:snapToGrid w:val="0"/>
              <w:rPr>
                <w:rFonts w:cs="宋体" w:hint="eastAsia"/>
                <w:sz w:val="21"/>
                <w:szCs w:val="21"/>
                <w:lang w:val="en-US" w:eastAsia="zh-CN"/>
              </w:rPr>
            </w:pPr>
            <w:r w:rsidRPr="00123108">
              <w:rPr>
                <w:rFonts w:cs="宋体" w:hint="eastAsia"/>
                <w:sz w:val="21"/>
                <w:szCs w:val="21"/>
                <w:lang w:val="en-US" w:eastAsia="zh-CN"/>
              </w:rPr>
              <w:t>高、低压配电室、变压器室、电容器室、控制室内，不应有与其无关的管道和线路通过。</w:t>
            </w:r>
          </w:p>
        </w:tc>
        <w:tc>
          <w:tcPr>
            <w:tcW w:w="168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50053-2013</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第6.4.1条</w:t>
            </w:r>
          </w:p>
        </w:tc>
        <w:tc>
          <w:tcPr>
            <w:tcW w:w="189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无其他管道和线路通过</w:t>
            </w:r>
          </w:p>
        </w:tc>
        <w:tc>
          <w:tcPr>
            <w:tcW w:w="68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jc w:val="center"/>
        </w:trPr>
        <w:tc>
          <w:tcPr>
            <w:tcW w:w="487"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7</w:t>
            </w:r>
          </w:p>
        </w:tc>
        <w:tc>
          <w:tcPr>
            <w:tcW w:w="4661" w:type="dxa"/>
            <w:vAlign w:val="center"/>
          </w:tcPr>
          <w:p w:rsidR="004F34D9" w:rsidRPr="00123108" w:rsidRDefault="004F34D9">
            <w:pPr>
              <w:pStyle w:val="aff4"/>
              <w:autoSpaceDE w:val="0"/>
              <w:autoSpaceDN w:val="0"/>
              <w:adjustRightInd w:val="0"/>
              <w:snapToGrid w:val="0"/>
              <w:rPr>
                <w:rFonts w:cs="宋体" w:hint="eastAsia"/>
                <w:sz w:val="21"/>
                <w:szCs w:val="21"/>
                <w:lang w:val="en-US" w:eastAsia="zh-CN"/>
              </w:rPr>
            </w:pPr>
            <w:r w:rsidRPr="00123108">
              <w:rPr>
                <w:rFonts w:cs="宋体" w:hint="eastAsia"/>
                <w:sz w:val="21"/>
                <w:szCs w:val="21"/>
                <w:lang w:val="en-US" w:eastAsia="zh-CN"/>
              </w:rPr>
              <w:t>从事电气作业中的特种作业人员应经专门的安全作业培训，在取得相应特种作业操作资格证书后，方可上岗。</w:t>
            </w:r>
          </w:p>
        </w:tc>
        <w:tc>
          <w:tcPr>
            <w:tcW w:w="1680" w:type="dxa"/>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GB/T 13869－2017</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第9条</w:t>
            </w:r>
          </w:p>
        </w:tc>
        <w:tc>
          <w:tcPr>
            <w:tcW w:w="189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电工作业人员持证上岗</w:t>
            </w:r>
          </w:p>
        </w:tc>
        <w:tc>
          <w:tcPr>
            <w:tcW w:w="68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jc w:val="center"/>
        </w:trPr>
        <w:tc>
          <w:tcPr>
            <w:tcW w:w="487"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8</w:t>
            </w:r>
          </w:p>
        </w:tc>
        <w:tc>
          <w:tcPr>
            <w:tcW w:w="4661"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变电所、配电所（包括配电室，下同）和控制室应布置在爆炸性环境以外，当为正压室时，可布置在1区、2区内。</w:t>
            </w:r>
          </w:p>
        </w:tc>
        <w:tc>
          <w:tcPr>
            <w:tcW w:w="168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50058-2014</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第5.3.5条</w:t>
            </w:r>
          </w:p>
        </w:tc>
        <w:tc>
          <w:tcPr>
            <w:tcW w:w="1890" w:type="dxa"/>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控制室、配电室位于爆炸危险区域范围以外；A反应部B反应部配备防爆配电柜并与生产车间隔离</w:t>
            </w:r>
          </w:p>
        </w:tc>
        <w:tc>
          <w:tcPr>
            <w:tcW w:w="68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jc w:val="center"/>
        </w:trPr>
        <w:tc>
          <w:tcPr>
            <w:tcW w:w="487"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9</w:t>
            </w:r>
          </w:p>
        </w:tc>
        <w:tc>
          <w:tcPr>
            <w:tcW w:w="4661"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 配电装置室的门应设置向外开启的防火门，并应装弹簧锁，严禁采用门闩；相邻配电装置室之间有门时，应能双向开启。</w:t>
            </w:r>
          </w:p>
        </w:tc>
        <w:tc>
          <w:tcPr>
            <w:tcW w:w="168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50060-2008</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第7.1.4条</w:t>
            </w:r>
          </w:p>
        </w:tc>
        <w:tc>
          <w:tcPr>
            <w:tcW w:w="189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配电间防火门向外开启</w:t>
            </w:r>
          </w:p>
        </w:tc>
        <w:tc>
          <w:tcPr>
            <w:tcW w:w="68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jc w:val="center"/>
        </w:trPr>
        <w:tc>
          <w:tcPr>
            <w:tcW w:w="487"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10</w:t>
            </w:r>
          </w:p>
        </w:tc>
        <w:tc>
          <w:tcPr>
            <w:tcW w:w="4661"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落地式配电箱的底部宜抬高，室内宜高出地面50mm以上，室外应高出地面200mm以上。底座周围应采取封闭措施，并应能防止鼠、蛇类等小动物进入箱内。</w:t>
            </w:r>
          </w:p>
        </w:tc>
        <w:tc>
          <w:tcPr>
            <w:tcW w:w="168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50054-2011</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第4.2.1条</w:t>
            </w:r>
          </w:p>
        </w:tc>
        <w:tc>
          <w:tcPr>
            <w:tcW w:w="189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配电箱高出地面50mm以上</w:t>
            </w:r>
          </w:p>
        </w:tc>
        <w:tc>
          <w:tcPr>
            <w:tcW w:w="68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jc w:val="center"/>
        </w:trPr>
        <w:tc>
          <w:tcPr>
            <w:tcW w:w="487"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lastRenderedPageBreak/>
              <w:t>11</w:t>
            </w:r>
          </w:p>
        </w:tc>
        <w:tc>
          <w:tcPr>
            <w:tcW w:w="4661"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kern w:val="0"/>
                <w:szCs w:val="21"/>
              </w:rPr>
              <w:t>配电室的门、窗关闭应密合；与室外相通的洞、通风孔应设防止鼠、蛇类等小动物进入网罩，其防护等级不宜低于现行国家标准《外壳防护等级（IP代码）GB4208规定的IP3X级。直接与室外露天相通的通风孔尚应采取防止雨\雪飘入的措施。</w:t>
            </w:r>
          </w:p>
        </w:tc>
        <w:tc>
          <w:tcPr>
            <w:tcW w:w="168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50054-2011</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第4.3.7条</w:t>
            </w:r>
          </w:p>
        </w:tc>
        <w:tc>
          <w:tcPr>
            <w:tcW w:w="189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已设置网罩</w:t>
            </w:r>
          </w:p>
        </w:tc>
        <w:tc>
          <w:tcPr>
            <w:tcW w:w="68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jc w:val="center"/>
        </w:trPr>
        <w:tc>
          <w:tcPr>
            <w:tcW w:w="487"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12</w:t>
            </w:r>
          </w:p>
        </w:tc>
        <w:tc>
          <w:tcPr>
            <w:tcW w:w="4661"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kern w:val="0"/>
                <w:szCs w:val="21"/>
              </w:rPr>
              <w:t>配电室内除本室需用的管道外，不应有其它的管道通过。室内水、汽管道上不应设置阀门和中间接头；水、汽管道与散热器的连接应采用焊接，并应做等电位联结.配电屏的上、方及电缆沟内不应敷设水、汽管道。</w:t>
            </w:r>
          </w:p>
        </w:tc>
        <w:tc>
          <w:tcPr>
            <w:tcW w:w="168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50054-2011</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第4.1.3条</w:t>
            </w:r>
          </w:p>
        </w:tc>
        <w:tc>
          <w:tcPr>
            <w:tcW w:w="189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配电室无其他管道通过</w:t>
            </w:r>
          </w:p>
        </w:tc>
        <w:tc>
          <w:tcPr>
            <w:tcW w:w="68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bl>
    <w:p w:rsidR="004F34D9" w:rsidRPr="00123108" w:rsidRDefault="004F34D9">
      <w:pPr>
        <w:snapToGrid w:val="0"/>
        <w:rPr>
          <w:rFonts w:ascii="宋体" w:hAnsi="宋体" w:cs="宋体" w:hint="eastAsia"/>
          <w:sz w:val="28"/>
          <w:szCs w:val="28"/>
        </w:rPr>
      </w:pPr>
    </w:p>
    <w:p w:rsidR="004F34D9" w:rsidRPr="00123108" w:rsidRDefault="004F34D9">
      <w:pPr>
        <w:snapToGrid w:val="0"/>
        <w:spacing w:line="360" w:lineRule="auto"/>
        <w:ind w:firstLineChars="200" w:firstLine="560"/>
        <w:rPr>
          <w:rFonts w:ascii="宋体" w:hAnsi="宋体" w:cs="宋体" w:hint="eastAsia"/>
          <w:sz w:val="28"/>
          <w:szCs w:val="28"/>
        </w:rPr>
      </w:pPr>
      <w:r w:rsidRPr="00123108">
        <w:rPr>
          <w:rFonts w:ascii="宋体" w:hAnsi="宋体" w:cs="宋体" w:hint="eastAsia"/>
          <w:sz w:val="28"/>
          <w:szCs w:val="28"/>
        </w:rPr>
        <w:t>小结：经检查，新桥化工现有的电气、照明措施能满足规范要求。</w:t>
      </w:r>
    </w:p>
    <w:p w:rsidR="004F34D9" w:rsidRPr="00123108" w:rsidRDefault="004F34D9">
      <w:pPr>
        <w:snapToGrid w:val="0"/>
        <w:spacing w:line="360" w:lineRule="auto"/>
        <w:outlineLvl w:val="2"/>
        <w:rPr>
          <w:rFonts w:ascii="宋体" w:hAnsi="宋体" w:cs="宋体" w:hint="eastAsia"/>
          <w:b/>
          <w:bCs/>
          <w:sz w:val="28"/>
          <w:szCs w:val="28"/>
        </w:rPr>
      </w:pPr>
      <w:bookmarkStart w:id="1758" w:name="_Toc25410"/>
      <w:bookmarkStart w:id="1759" w:name="_Toc8833"/>
      <w:bookmarkStart w:id="1760" w:name="_Toc5796"/>
      <w:bookmarkStart w:id="1761" w:name="_Toc26226"/>
      <w:bookmarkStart w:id="1762" w:name="_Toc19387"/>
      <w:bookmarkStart w:id="1763" w:name="_Toc19696"/>
      <w:bookmarkStart w:id="1764" w:name="_Toc190935907"/>
      <w:r w:rsidRPr="00123108">
        <w:rPr>
          <w:rFonts w:ascii="宋体" w:hAnsi="宋体" w:cs="宋体" w:hint="eastAsia"/>
          <w:b/>
          <w:bCs/>
          <w:sz w:val="28"/>
          <w:szCs w:val="28"/>
        </w:rPr>
        <w:t>附件2.4.8  常规设施评价</w:t>
      </w:r>
      <w:bookmarkEnd w:id="1758"/>
      <w:bookmarkEnd w:id="1759"/>
      <w:bookmarkEnd w:id="1760"/>
      <w:bookmarkEnd w:id="1761"/>
      <w:bookmarkEnd w:id="1762"/>
      <w:bookmarkEnd w:id="1763"/>
      <w:bookmarkEnd w:id="1764"/>
    </w:p>
    <w:p w:rsidR="004F34D9" w:rsidRPr="00123108" w:rsidRDefault="004F34D9">
      <w:pPr>
        <w:snapToGrid w:val="0"/>
        <w:spacing w:line="360" w:lineRule="auto"/>
        <w:ind w:firstLineChars="200" w:firstLine="560"/>
        <w:rPr>
          <w:rFonts w:ascii="宋体" w:hAnsi="宋体" w:cs="宋体" w:hint="eastAsia"/>
          <w:sz w:val="28"/>
          <w:szCs w:val="28"/>
        </w:rPr>
      </w:pPr>
      <w:r w:rsidRPr="00123108">
        <w:rPr>
          <w:rFonts w:ascii="宋体" w:hAnsi="宋体" w:cs="宋体" w:hint="eastAsia"/>
          <w:sz w:val="28"/>
          <w:szCs w:val="28"/>
        </w:rPr>
        <w:t xml:space="preserve">依据《中华人民共和国安全生产法》、《工业企业厂内铁路、道路运输安全规程》GB 4387-2008、《固定式钢梯及平台安全要求 第3部分：工业防护栏杆及钢平台》GB 4053.3-2009 、 </w:t>
      </w:r>
      <w:r w:rsidRPr="00123108">
        <w:rPr>
          <w:rFonts w:ascii="宋体" w:hAnsi="宋体" w:cs="宋体"/>
          <w:sz w:val="28"/>
          <w:szCs w:val="28"/>
          <w:lang w:val="zh-CN"/>
        </w:rPr>
        <w:t>《个体防护装备配备规范第1部分：总则》GB</w:t>
      </w:r>
      <w:r w:rsidRPr="00123108">
        <w:rPr>
          <w:rFonts w:ascii="宋体" w:hAnsi="宋体" w:cs="宋体" w:hint="eastAsia"/>
          <w:sz w:val="28"/>
          <w:szCs w:val="28"/>
        </w:rPr>
        <w:t xml:space="preserve"> </w:t>
      </w:r>
      <w:r w:rsidRPr="00123108">
        <w:rPr>
          <w:rFonts w:ascii="宋体" w:hAnsi="宋体" w:cs="宋体"/>
          <w:sz w:val="28"/>
          <w:szCs w:val="28"/>
          <w:lang w:val="zh-CN"/>
        </w:rPr>
        <w:t>39800.1-2020</w:t>
      </w:r>
      <w:r w:rsidRPr="00123108">
        <w:rPr>
          <w:rFonts w:ascii="宋体" w:hAnsi="宋体" w:cs="宋体" w:hint="eastAsia"/>
          <w:sz w:val="28"/>
          <w:szCs w:val="28"/>
        </w:rPr>
        <w:t>、《石油化工企业职业安全卫生设计规范》SH/T 3047-2021等，企业对现场安全标志、安全色、道路交通标志标线进行检查，见附表2.4-8。</w:t>
      </w:r>
    </w:p>
    <w:p w:rsidR="004F34D9" w:rsidRPr="00123108" w:rsidRDefault="004F34D9">
      <w:pPr>
        <w:snapToGrid w:val="0"/>
        <w:spacing w:line="360" w:lineRule="auto"/>
        <w:jc w:val="center"/>
        <w:rPr>
          <w:rFonts w:ascii="黑体" w:eastAsia="黑体" w:hAnsi="黑体" w:cs="宋体" w:hint="eastAsia"/>
          <w:b/>
          <w:bCs/>
          <w:sz w:val="28"/>
          <w:szCs w:val="28"/>
        </w:rPr>
      </w:pPr>
      <w:r w:rsidRPr="00123108">
        <w:rPr>
          <w:rFonts w:ascii="黑体" w:eastAsia="黑体" w:hAnsi="黑体" w:cs="宋体" w:hint="eastAsia"/>
          <w:b/>
          <w:bCs/>
          <w:sz w:val="28"/>
          <w:szCs w:val="28"/>
        </w:rPr>
        <w:t>附表2.4-8  常规设施检查表</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473"/>
        <w:gridCol w:w="1680"/>
        <w:gridCol w:w="1785"/>
        <w:gridCol w:w="105"/>
        <w:gridCol w:w="682"/>
      </w:tblGrid>
      <w:tr w:rsidR="004F34D9" w:rsidRPr="00123108">
        <w:trPr>
          <w:trHeight w:val="340"/>
        </w:trPr>
        <w:tc>
          <w:tcPr>
            <w:tcW w:w="67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序号</w:t>
            </w:r>
          </w:p>
        </w:tc>
        <w:tc>
          <w:tcPr>
            <w:tcW w:w="447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检查内容</w:t>
            </w:r>
          </w:p>
        </w:tc>
        <w:tc>
          <w:tcPr>
            <w:tcW w:w="168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依据</w:t>
            </w:r>
          </w:p>
        </w:tc>
        <w:tc>
          <w:tcPr>
            <w:tcW w:w="1890" w:type="dxa"/>
            <w:gridSpan w:val="2"/>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实际情况说明</w:t>
            </w:r>
          </w:p>
        </w:tc>
        <w:tc>
          <w:tcPr>
            <w:tcW w:w="682"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检查结果</w:t>
            </w:r>
          </w:p>
        </w:tc>
      </w:tr>
      <w:tr w:rsidR="004F34D9" w:rsidRPr="00123108">
        <w:trPr>
          <w:trHeight w:val="340"/>
        </w:trPr>
        <w:tc>
          <w:tcPr>
            <w:tcW w:w="67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一</w:t>
            </w:r>
          </w:p>
        </w:tc>
        <w:tc>
          <w:tcPr>
            <w:tcW w:w="8043" w:type="dxa"/>
            <w:gridSpan w:val="4"/>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安全标志、安全色、道路交通标志标线</w:t>
            </w:r>
          </w:p>
        </w:tc>
        <w:tc>
          <w:tcPr>
            <w:tcW w:w="682"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p>
        </w:tc>
      </w:tr>
      <w:tr w:rsidR="004F34D9" w:rsidRPr="00123108">
        <w:trPr>
          <w:trHeight w:val="340"/>
        </w:trPr>
        <w:tc>
          <w:tcPr>
            <w:tcW w:w="67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w:t>
            </w:r>
          </w:p>
        </w:tc>
        <w:tc>
          <w:tcPr>
            <w:tcW w:w="447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生产经营单位应当在有较大危险因素的生产经营场所和有关设施、设备上，设置明显的安全警示标志。</w:t>
            </w:r>
          </w:p>
        </w:tc>
        <w:tc>
          <w:tcPr>
            <w:tcW w:w="168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《安全生产法》</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第三十二条</w:t>
            </w:r>
          </w:p>
        </w:tc>
        <w:tc>
          <w:tcPr>
            <w:tcW w:w="1890" w:type="dxa"/>
            <w:gridSpan w:val="2"/>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已在危险区域设置各类安全警示标示</w:t>
            </w:r>
          </w:p>
        </w:tc>
        <w:tc>
          <w:tcPr>
            <w:tcW w:w="682"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trPr>
        <w:tc>
          <w:tcPr>
            <w:tcW w:w="67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w:t>
            </w:r>
          </w:p>
        </w:tc>
        <w:tc>
          <w:tcPr>
            <w:tcW w:w="447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标志牌应设在与安全有关的醒目地方，并使大家看见后，有足够的时间来注意它所表示的内容。</w:t>
            </w:r>
          </w:p>
        </w:tc>
        <w:tc>
          <w:tcPr>
            <w:tcW w:w="168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2894-2008</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第9.1条</w:t>
            </w:r>
          </w:p>
        </w:tc>
        <w:tc>
          <w:tcPr>
            <w:tcW w:w="1890" w:type="dxa"/>
            <w:gridSpan w:val="2"/>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现场标示牌较为醒目</w:t>
            </w:r>
          </w:p>
        </w:tc>
        <w:tc>
          <w:tcPr>
            <w:tcW w:w="682"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trPr>
        <w:tc>
          <w:tcPr>
            <w:tcW w:w="67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3</w:t>
            </w:r>
          </w:p>
        </w:tc>
        <w:tc>
          <w:tcPr>
            <w:tcW w:w="447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生产单位应在危险化学品作业点，利用“安全周知卡”或“安全标签”等方式，标明其危险性。</w:t>
            </w:r>
          </w:p>
        </w:tc>
        <w:tc>
          <w:tcPr>
            <w:tcW w:w="168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《工作场所安全使用化学品规定》第九条</w:t>
            </w:r>
          </w:p>
        </w:tc>
        <w:tc>
          <w:tcPr>
            <w:tcW w:w="1890" w:type="dxa"/>
            <w:gridSpan w:val="2"/>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工作场所已设有安全周知卡；安全周知卡内容不符合AQ3047-2013</w:t>
            </w:r>
          </w:p>
        </w:tc>
        <w:tc>
          <w:tcPr>
            <w:tcW w:w="682"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不符合</w:t>
            </w:r>
          </w:p>
        </w:tc>
      </w:tr>
      <w:tr w:rsidR="004F34D9" w:rsidRPr="00123108">
        <w:trPr>
          <w:trHeight w:val="340"/>
        </w:trPr>
        <w:tc>
          <w:tcPr>
            <w:tcW w:w="67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4</w:t>
            </w:r>
          </w:p>
        </w:tc>
        <w:tc>
          <w:tcPr>
            <w:tcW w:w="447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阀门布置比较集中，易因误操作而引发事故时，应在阀门附近标明输送介质的名称、称号或高明显的标志。</w:t>
            </w:r>
          </w:p>
        </w:tc>
        <w:tc>
          <w:tcPr>
            <w:tcW w:w="168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SH/T 3047-2021</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第2.6.3条</w:t>
            </w:r>
          </w:p>
        </w:tc>
        <w:tc>
          <w:tcPr>
            <w:tcW w:w="1890" w:type="dxa"/>
            <w:gridSpan w:val="2"/>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阀门处设有标识牌</w:t>
            </w:r>
          </w:p>
        </w:tc>
        <w:tc>
          <w:tcPr>
            <w:tcW w:w="682"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trPr>
        <w:tc>
          <w:tcPr>
            <w:tcW w:w="67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5</w:t>
            </w:r>
          </w:p>
        </w:tc>
        <w:tc>
          <w:tcPr>
            <w:tcW w:w="447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使用有毒物品作业场所应当设置黄色区域警示线、警示标识和中文警示说明。警示说明应当载明产生职业中毒危害的种类、后果、预防以及应急救治措施等内容。</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lastRenderedPageBreak/>
              <w:t>高毒作业场所应当设置红色区域警示线、警示标识和中文警示说明，并设置通讯报警设备。</w:t>
            </w:r>
          </w:p>
        </w:tc>
        <w:tc>
          <w:tcPr>
            <w:tcW w:w="168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lastRenderedPageBreak/>
              <w:t>《使用有毒物品作业场所劳动保护条例》</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第12条</w:t>
            </w:r>
          </w:p>
        </w:tc>
        <w:tc>
          <w:tcPr>
            <w:tcW w:w="1890" w:type="dxa"/>
            <w:gridSpan w:val="2"/>
            <w:vAlign w:val="center"/>
          </w:tcPr>
          <w:p w:rsidR="004F34D9" w:rsidRPr="00123108" w:rsidRDefault="004F34D9">
            <w:pPr>
              <w:autoSpaceDE w:val="0"/>
              <w:autoSpaceDN w:val="0"/>
              <w:adjustRightInd w:val="0"/>
              <w:snapToGrid w:val="0"/>
              <w:jc w:val="left"/>
              <w:rPr>
                <w:rFonts w:ascii="宋体" w:hAnsi="宋体" w:cs="宋体"/>
                <w:kern w:val="0"/>
                <w:szCs w:val="21"/>
              </w:rPr>
            </w:pPr>
            <w:r w:rsidRPr="00123108">
              <w:rPr>
                <w:rFonts w:ascii="宋体" w:hAnsi="宋体" w:cs="宋体" w:hint="eastAsia"/>
                <w:kern w:val="0"/>
                <w:szCs w:val="21"/>
              </w:rPr>
              <w:t>不涉及高毒</w:t>
            </w:r>
          </w:p>
        </w:tc>
        <w:tc>
          <w:tcPr>
            <w:tcW w:w="682"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trPr>
        <w:tc>
          <w:tcPr>
            <w:tcW w:w="67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二</w:t>
            </w:r>
          </w:p>
        </w:tc>
        <w:tc>
          <w:tcPr>
            <w:tcW w:w="8725" w:type="dxa"/>
            <w:gridSpan w:val="5"/>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固定式登高梯、台、防护栏杆</w:t>
            </w:r>
          </w:p>
        </w:tc>
      </w:tr>
      <w:tr w:rsidR="004F34D9" w:rsidRPr="00123108">
        <w:trPr>
          <w:trHeight w:val="340"/>
        </w:trPr>
        <w:tc>
          <w:tcPr>
            <w:tcW w:w="67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w:t>
            </w:r>
          </w:p>
        </w:tc>
        <w:tc>
          <w:tcPr>
            <w:tcW w:w="447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距下方相邻地板或地面1.2m及以上的平台、通道或工作面的所有敞开边缘应设置防护栏杆。</w:t>
            </w:r>
          </w:p>
        </w:tc>
        <w:tc>
          <w:tcPr>
            <w:tcW w:w="168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4053.3-2009</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第4.1.1条</w:t>
            </w:r>
          </w:p>
        </w:tc>
        <w:tc>
          <w:tcPr>
            <w:tcW w:w="178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平台、通道或工作面的所有敞开边缘已设置防护栏杆</w:t>
            </w:r>
          </w:p>
        </w:tc>
        <w:tc>
          <w:tcPr>
            <w:tcW w:w="787" w:type="dxa"/>
            <w:gridSpan w:val="2"/>
            <w:vAlign w:val="center"/>
          </w:tcPr>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trPr>
        <w:tc>
          <w:tcPr>
            <w:tcW w:w="67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w:t>
            </w:r>
          </w:p>
        </w:tc>
        <w:tc>
          <w:tcPr>
            <w:tcW w:w="447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在平台、通道或工作面上可能使用工具、机器部件或物品场合，应在所有敞开边缘设置带踢脚板的防护栏杆。</w:t>
            </w:r>
          </w:p>
        </w:tc>
        <w:tc>
          <w:tcPr>
            <w:tcW w:w="168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 4053.3-2009第4.1.2条</w:t>
            </w:r>
          </w:p>
        </w:tc>
        <w:tc>
          <w:tcPr>
            <w:tcW w:w="178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已设置踢脚板</w:t>
            </w:r>
          </w:p>
        </w:tc>
        <w:tc>
          <w:tcPr>
            <w:tcW w:w="787" w:type="dxa"/>
            <w:gridSpan w:val="2"/>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trPr>
        <w:tc>
          <w:tcPr>
            <w:tcW w:w="67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三</w:t>
            </w:r>
          </w:p>
        </w:tc>
        <w:tc>
          <w:tcPr>
            <w:tcW w:w="8725" w:type="dxa"/>
            <w:gridSpan w:val="5"/>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作业人员个体防护用品</w:t>
            </w:r>
          </w:p>
        </w:tc>
      </w:tr>
      <w:tr w:rsidR="004F34D9" w:rsidRPr="00123108">
        <w:trPr>
          <w:trHeight w:val="340"/>
        </w:trPr>
        <w:tc>
          <w:tcPr>
            <w:tcW w:w="67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w:t>
            </w:r>
          </w:p>
        </w:tc>
        <w:tc>
          <w:tcPr>
            <w:tcW w:w="4473" w:type="dxa"/>
            <w:vAlign w:val="center"/>
          </w:tcPr>
          <w:p w:rsidR="004F34D9" w:rsidRPr="00123108" w:rsidRDefault="004F34D9">
            <w:pPr>
              <w:widowControl/>
              <w:autoSpaceDE w:val="0"/>
              <w:autoSpaceDN w:val="0"/>
              <w:adjustRightInd w:val="0"/>
              <w:jc w:val="left"/>
              <w:rPr>
                <w:rFonts w:ascii="宋体" w:hAnsi="宋体" w:cs="宋体" w:hint="eastAsia"/>
                <w:kern w:val="0"/>
                <w:szCs w:val="21"/>
              </w:rPr>
            </w:pPr>
            <w:r w:rsidRPr="00123108">
              <w:rPr>
                <w:rFonts w:ascii="宋体" w:hAnsi="宋体" w:cs="宋体" w:hint="eastAsia"/>
                <w:kern w:val="0"/>
                <w:szCs w:val="21"/>
              </w:rPr>
              <w:t>生产经营单位应按照本单位的职业性危害因素，为作业人员配置、配备、发放具有相应防护功能的个体防护装备，且装备本身不应导致任何其他额外的风险。</w:t>
            </w:r>
          </w:p>
        </w:tc>
        <w:tc>
          <w:tcPr>
            <w:tcW w:w="168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kern w:val="0"/>
                <w:szCs w:val="21"/>
              </w:rPr>
              <w:t>GB</w:t>
            </w:r>
            <w:r w:rsidRPr="00123108">
              <w:rPr>
                <w:rFonts w:ascii="宋体" w:hAnsi="宋体" w:cs="宋体" w:hint="eastAsia"/>
                <w:kern w:val="0"/>
                <w:szCs w:val="21"/>
              </w:rPr>
              <w:t xml:space="preserve"> </w:t>
            </w:r>
            <w:r w:rsidRPr="00123108">
              <w:rPr>
                <w:rFonts w:ascii="宋体" w:hAnsi="宋体" w:cs="宋体"/>
                <w:kern w:val="0"/>
                <w:szCs w:val="21"/>
              </w:rPr>
              <w:t>39800.1-2020</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第4.3条</w:t>
            </w:r>
          </w:p>
        </w:tc>
        <w:tc>
          <w:tcPr>
            <w:tcW w:w="178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已制定劳动保护用品管理规定，定期发放相应劳动防护用品</w:t>
            </w:r>
          </w:p>
        </w:tc>
        <w:tc>
          <w:tcPr>
            <w:tcW w:w="787" w:type="dxa"/>
            <w:gridSpan w:val="2"/>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trPr>
        <w:tc>
          <w:tcPr>
            <w:tcW w:w="67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w:t>
            </w:r>
          </w:p>
        </w:tc>
        <w:tc>
          <w:tcPr>
            <w:tcW w:w="447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当气体爆炸危险场所的等级属于0区和1区，且可燃物的最小点燃能量在0.25mJ以下时，工作人员需穿防静电鞋、防静电服。当环境相对湿度保持在50%以上时，可穿棉工作服。</w:t>
            </w:r>
          </w:p>
        </w:tc>
        <w:tc>
          <w:tcPr>
            <w:tcW w:w="1680" w:type="dxa"/>
            <w:vAlign w:val="center"/>
          </w:tcPr>
          <w:p w:rsidR="004F34D9" w:rsidRPr="00123108" w:rsidRDefault="004F34D9">
            <w:pPr>
              <w:widowControl/>
              <w:autoSpaceDE w:val="0"/>
              <w:autoSpaceDN w:val="0"/>
              <w:adjustRightInd w:val="0"/>
              <w:jc w:val="left"/>
              <w:rPr>
                <w:rFonts w:ascii="宋体" w:hAnsi="宋体" w:cs="宋体" w:hint="eastAsia"/>
                <w:kern w:val="0"/>
                <w:szCs w:val="21"/>
              </w:rPr>
            </w:pPr>
            <w:r w:rsidRPr="00123108">
              <w:rPr>
                <w:rFonts w:ascii="宋体" w:hAnsi="宋体" w:cs="宋体" w:hint="eastAsia"/>
                <w:kern w:val="0"/>
                <w:szCs w:val="21"/>
              </w:rPr>
              <w:t>GB 12158-2006</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第6.5.1条</w:t>
            </w:r>
          </w:p>
        </w:tc>
        <w:tc>
          <w:tcPr>
            <w:tcW w:w="178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劳动防护用品发放有防静电工作服</w:t>
            </w:r>
          </w:p>
        </w:tc>
        <w:tc>
          <w:tcPr>
            <w:tcW w:w="787" w:type="dxa"/>
            <w:gridSpan w:val="2"/>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trPr>
        <w:tc>
          <w:tcPr>
            <w:tcW w:w="67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四</w:t>
            </w:r>
          </w:p>
        </w:tc>
        <w:tc>
          <w:tcPr>
            <w:tcW w:w="8725" w:type="dxa"/>
            <w:gridSpan w:val="5"/>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其它</w:t>
            </w:r>
          </w:p>
        </w:tc>
      </w:tr>
      <w:tr w:rsidR="004F34D9" w:rsidRPr="00123108">
        <w:trPr>
          <w:trHeight w:val="340"/>
        </w:trPr>
        <w:tc>
          <w:tcPr>
            <w:tcW w:w="67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1</w:t>
            </w:r>
          </w:p>
        </w:tc>
        <w:tc>
          <w:tcPr>
            <w:tcW w:w="447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生产场所与作业地点的紧急通道和紧急出入口均应设置明显的标志和指示箭头。</w:t>
            </w:r>
          </w:p>
        </w:tc>
        <w:tc>
          <w:tcPr>
            <w:tcW w:w="1680" w:type="dxa"/>
            <w:vAlign w:val="center"/>
          </w:tcPr>
          <w:p w:rsidR="004F34D9" w:rsidRPr="00123108" w:rsidRDefault="004F34D9">
            <w:pPr>
              <w:widowControl/>
              <w:autoSpaceDE w:val="0"/>
              <w:autoSpaceDN w:val="0"/>
              <w:jc w:val="left"/>
              <w:rPr>
                <w:rFonts w:ascii="宋体" w:hAnsi="宋体" w:cs="宋体" w:hint="eastAsia"/>
                <w:kern w:val="0"/>
                <w:szCs w:val="21"/>
              </w:rPr>
            </w:pPr>
            <w:r w:rsidRPr="00123108">
              <w:rPr>
                <w:rFonts w:ascii="宋体" w:hAnsi="宋体" w:cs="宋体" w:hint="eastAsia"/>
                <w:kern w:val="0"/>
                <w:szCs w:val="21"/>
              </w:rPr>
              <w:t>SH/T 3047-2021</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第2.6.4条</w:t>
            </w:r>
          </w:p>
        </w:tc>
        <w:tc>
          <w:tcPr>
            <w:tcW w:w="178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紧急通道和紧急出入口已设置明显的标志和指示箭头，并设有紧急集合点</w:t>
            </w:r>
          </w:p>
        </w:tc>
        <w:tc>
          <w:tcPr>
            <w:tcW w:w="787" w:type="dxa"/>
            <w:gridSpan w:val="2"/>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trPr>
        <w:tc>
          <w:tcPr>
            <w:tcW w:w="67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2</w:t>
            </w:r>
          </w:p>
        </w:tc>
        <w:tc>
          <w:tcPr>
            <w:tcW w:w="447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厂区各种井、沟应有盖板。</w:t>
            </w:r>
          </w:p>
        </w:tc>
        <w:tc>
          <w:tcPr>
            <w:tcW w:w="168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GB/T 12801-2008</w:t>
            </w:r>
          </w:p>
        </w:tc>
        <w:tc>
          <w:tcPr>
            <w:tcW w:w="178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已设置盖板</w:t>
            </w:r>
          </w:p>
        </w:tc>
        <w:tc>
          <w:tcPr>
            <w:tcW w:w="787" w:type="dxa"/>
            <w:gridSpan w:val="2"/>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trPr>
        <w:tc>
          <w:tcPr>
            <w:tcW w:w="67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3</w:t>
            </w:r>
          </w:p>
        </w:tc>
        <w:tc>
          <w:tcPr>
            <w:tcW w:w="447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公司应当依法参加工伤保险，为从业人员缴纳保险费。鼓励公司投保有关安全生产责任险。</w:t>
            </w:r>
          </w:p>
        </w:tc>
        <w:tc>
          <w:tcPr>
            <w:tcW w:w="168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浙安监管危化[2012]11号</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第十七条</w:t>
            </w:r>
          </w:p>
        </w:tc>
        <w:tc>
          <w:tcPr>
            <w:tcW w:w="178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已缴纳工伤保险</w:t>
            </w:r>
          </w:p>
        </w:tc>
        <w:tc>
          <w:tcPr>
            <w:tcW w:w="787" w:type="dxa"/>
            <w:gridSpan w:val="2"/>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40"/>
        </w:trPr>
        <w:tc>
          <w:tcPr>
            <w:tcW w:w="67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4</w:t>
            </w:r>
          </w:p>
        </w:tc>
        <w:tc>
          <w:tcPr>
            <w:tcW w:w="447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公司应当按照国家规定足额提取与安全生产有关的费用，并优先保证安全生产所必须的资金投入。</w:t>
            </w:r>
          </w:p>
        </w:tc>
        <w:tc>
          <w:tcPr>
            <w:tcW w:w="1680"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浙安监管危化[2012]11号</w:t>
            </w:r>
          </w:p>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第十六条</w:t>
            </w:r>
          </w:p>
        </w:tc>
        <w:tc>
          <w:tcPr>
            <w:tcW w:w="1785"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已按要求提取安全生产费用，见表2.13-11</w:t>
            </w:r>
          </w:p>
        </w:tc>
        <w:tc>
          <w:tcPr>
            <w:tcW w:w="787" w:type="dxa"/>
            <w:gridSpan w:val="2"/>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符合</w:t>
            </w:r>
          </w:p>
        </w:tc>
      </w:tr>
    </w:tbl>
    <w:p w:rsidR="004F34D9" w:rsidRPr="00123108" w:rsidRDefault="004F34D9">
      <w:pPr>
        <w:snapToGrid w:val="0"/>
        <w:spacing w:line="360" w:lineRule="auto"/>
        <w:ind w:firstLineChars="200" w:firstLine="560"/>
        <w:rPr>
          <w:rFonts w:ascii="宋体" w:hAnsi="宋体" w:cs="宋体"/>
          <w:sz w:val="28"/>
          <w:szCs w:val="28"/>
        </w:rPr>
      </w:pPr>
      <w:r w:rsidRPr="00123108">
        <w:rPr>
          <w:rFonts w:ascii="宋体" w:hAnsi="宋体" w:cs="宋体" w:hint="eastAsia"/>
          <w:sz w:val="28"/>
          <w:szCs w:val="28"/>
        </w:rPr>
        <w:t>新桥化工安全设施设置情况见2.11章节。</w:t>
      </w:r>
    </w:p>
    <w:p w:rsidR="004F34D9" w:rsidRPr="00123108" w:rsidRDefault="004F34D9">
      <w:pPr>
        <w:snapToGrid w:val="0"/>
        <w:spacing w:line="360" w:lineRule="auto"/>
        <w:ind w:firstLineChars="200" w:firstLine="560"/>
        <w:rPr>
          <w:rFonts w:ascii="宋体" w:hAnsi="宋体" w:cs="宋体" w:hint="eastAsia"/>
          <w:sz w:val="28"/>
          <w:szCs w:val="28"/>
        </w:rPr>
      </w:pPr>
      <w:r w:rsidRPr="00123108">
        <w:rPr>
          <w:rFonts w:ascii="宋体" w:hAnsi="宋体" w:cs="宋体" w:hint="eastAsia"/>
          <w:sz w:val="28"/>
          <w:szCs w:val="28"/>
        </w:rPr>
        <w:t>小结：新桥化工常规防护设施存在问题：安全周知卡内容不符合AQ3047-2013。</w:t>
      </w:r>
    </w:p>
    <w:p w:rsidR="004F34D9" w:rsidRPr="00123108" w:rsidRDefault="004F34D9" w:rsidP="00360C9A">
      <w:pPr>
        <w:pStyle w:val="2"/>
        <w:spacing w:line="500" w:lineRule="exact"/>
        <w:jc w:val="both"/>
        <w:rPr>
          <w:rFonts w:ascii="宋体" w:eastAsia="宋体" w:cs="宋体" w:hint="eastAsia"/>
          <w:sz w:val="28"/>
          <w:szCs w:val="28"/>
        </w:rPr>
      </w:pPr>
      <w:bookmarkStart w:id="1765" w:name="_Toc2187"/>
      <w:bookmarkStart w:id="1766" w:name="_Toc11019"/>
      <w:bookmarkStart w:id="1767" w:name="_Toc17360"/>
      <w:bookmarkStart w:id="1768" w:name="_Toc11940"/>
      <w:bookmarkStart w:id="1769" w:name="_Toc12203"/>
      <w:bookmarkStart w:id="1770" w:name="_Toc612"/>
      <w:bookmarkStart w:id="1771" w:name="_Toc190935908"/>
      <w:r w:rsidRPr="00123108">
        <w:rPr>
          <w:rFonts w:ascii="宋体" w:eastAsia="宋体" w:cs="宋体" w:hint="eastAsia"/>
          <w:sz w:val="28"/>
          <w:szCs w:val="28"/>
        </w:rPr>
        <w:t>附件2.5自动化控制系统评价</w:t>
      </w:r>
      <w:bookmarkEnd w:id="1765"/>
      <w:bookmarkEnd w:id="1766"/>
      <w:bookmarkEnd w:id="1767"/>
      <w:bookmarkEnd w:id="1768"/>
      <w:bookmarkEnd w:id="1769"/>
      <w:bookmarkEnd w:id="1770"/>
      <w:bookmarkEnd w:id="1771"/>
    </w:p>
    <w:p w:rsidR="004F34D9" w:rsidRPr="00123108" w:rsidRDefault="004F34D9" w:rsidP="00360C9A">
      <w:pPr>
        <w:snapToGrid w:val="0"/>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根据《石油化工安全仪表系统设计规范》</w:t>
      </w:r>
      <w:r w:rsidRPr="00123108">
        <w:rPr>
          <w:rFonts w:ascii="宋体" w:hAnsi="宋体" w:cs="宋体" w:hint="eastAsia"/>
          <w:sz w:val="28"/>
        </w:rPr>
        <w:t>GB/T 50770-2013</w:t>
      </w:r>
      <w:r w:rsidRPr="00123108">
        <w:rPr>
          <w:rFonts w:ascii="宋体" w:hAnsi="宋体" w:cs="宋体" w:hint="eastAsia"/>
          <w:sz w:val="28"/>
          <w:szCs w:val="28"/>
        </w:rPr>
        <w:t>、《石油化工自动化仪表选型设计规范》SH/T 3005-2016、《危险化学品企业事故隐患排查治理实施导则的通知》安监总管三[2012]103号</w:t>
      </w:r>
      <w:r w:rsidR="003F2CED" w:rsidRPr="00123108">
        <w:rPr>
          <w:rFonts w:ascii="宋体" w:hAnsi="宋体" w:cs="宋体" w:hint="eastAsia"/>
          <w:sz w:val="28"/>
          <w:szCs w:val="28"/>
        </w:rPr>
        <w:t>、</w:t>
      </w:r>
      <w:r w:rsidR="003F2CED" w:rsidRPr="00123108">
        <w:rPr>
          <w:sz w:val="28"/>
        </w:rPr>
        <w:t>《工业自动化和控制系统网络安全集散控制系统（</w:t>
      </w:r>
      <w:r w:rsidR="003F2CED" w:rsidRPr="00123108">
        <w:rPr>
          <w:sz w:val="28"/>
        </w:rPr>
        <w:t>DCS</w:t>
      </w:r>
      <w:r w:rsidR="003F2CED" w:rsidRPr="00123108">
        <w:rPr>
          <w:sz w:val="28"/>
        </w:rPr>
        <w:t>）</w:t>
      </w:r>
      <w:r w:rsidR="003F2CED" w:rsidRPr="00123108">
        <w:rPr>
          <w:rFonts w:hint="eastAsia"/>
          <w:sz w:val="28"/>
        </w:rPr>
        <w:t xml:space="preserve"> </w:t>
      </w:r>
      <w:r w:rsidR="003F2CED" w:rsidRPr="00123108">
        <w:rPr>
          <w:rFonts w:hint="eastAsia"/>
          <w:sz w:val="28"/>
        </w:rPr>
        <w:t>第</w:t>
      </w:r>
      <w:r w:rsidR="003F2CED" w:rsidRPr="00123108">
        <w:rPr>
          <w:rFonts w:hint="eastAsia"/>
          <w:sz w:val="28"/>
        </w:rPr>
        <w:t>2</w:t>
      </w:r>
      <w:r w:rsidR="003F2CED" w:rsidRPr="00123108">
        <w:rPr>
          <w:rFonts w:hint="eastAsia"/>
          <w:sz w:val="28"/>
        </w:rPr>
        <w:t>部分：管理要求</w:t>
      </w:r>
      <w:r w:rsidR="003F2CED" w:rsidRPr="00123108">
        <w:rPr>
          <w:sz w:val="28"/>
        </w:rPr>
        <w:t>》</w:t>
      </w:r>
      <w:r w:rsidR="003F2CED" w:rsidRPr="00123108">
        <w:rPr>
          <w:sz w:val="28"/>
        </w:rPr>
        <w:t>GB/T 33009</w:t>
      </w:r>
      <w:r w:rsidR="003F2CED" w:rsidRPr="00123108">
        <w:rPr>
          <w:rFonts w:hint="eastAsia"/>
          <w:sz w:val="28"/>
        </w:rPr>
        <w:t>.2</w:t>
      </w:r>
      <w:r w:rsidR="003F2CED" w:rsidRPr="00123108">
        <w:rPr>
          <w:sz w:val="28"/>
        </w:rPr>
        <w:t>-2016</w:t>
      </w:r>
      <w:r w:rsidRPr="00123108">
        <w:rPr>
          <w:rFonts w:ascii="宋体" w:hAnsi="宋体" w:cs="宋体" w:hint="eastAsia"/>
          <w:sz w:val="28"/>
          <w:szCs w:val="28"/>
        </w:rPr>
        <w:lastRenderedPageBreak/>
        <w:t>等规范及规范性文件对新桥化工的自动化控制系统进行检查，见附表2.5-1。</w:t>
      </w:r>
    </w:p>
    <w:p w:rsidR="004F34D9" w:rsidRPr="00123108" w:rsidRDefault="004F34D9" w:rsidP="00360C9A">
      <w:pPr>
        <w:snapToGrid w:val="0"/>
        <w:spacing w:line="500" w:lineRule="exact"/>
        <w:jc w:val="center"/>
        <w:rPr>
          <w:rFonts w:ascii="宋体" w:hAnsi="宋体" w:cs="宋体" w:hint="eastAsia"/>
          <w:b/>
          <w:bCs/>
          <w:sz w:val="28"/>
          <w:szCs w:val="28"/>
        </w:rPr>
      </w:pPr>
      <w:r w:rsidRPr="00123108">
        <w:rPr>
          <w:rFonts w:ascii="宋体" w:hAnsi="宋体" w:cs="宋体" w:hint="eastAsia"/>
          <w:b/>
          <w:bCs/>
          <w:sz w:val="28"/>
          <w:szCs w:val="28"/>
        </w:rPr>
        <w:t>附表2.5-1 自动化安全控制评价结果表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053"/>
        <w:gridCol w:w="1680"/>
        <w:gridCol w:w="105"/>
        <w:gridCol w:w="2100"/>
        <w:gridCol w:w="787"/>
      </w:tblGrid>
      <w:tr w:rsidR="004F34D9" w:rsidRPr="00123108">
        <w:trPr>
          <w:trHeight w:val="257"/>
          <w:jc w:val="center"/>
        </w:trPr>
        <w:tc>
          <w:tcPr>
            <w:tcW w:w="675"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序号</w:t>
            </w:r>
          </w:p>
        </w:tc>
        <w:tc>
          <w:tcPr>
            <w:tcW w:w="4053"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检查内容</w:t>
            </w:r>
          </w:p>
        </w:tc>
        <w:tc>
          <w:tcPr>
            <w:tcW w:w="1680"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依据</w:t>
            </w:r>
          </w:p>
        </w:tc>
        <w:tc>
          <w:tcPr>
            <w:tcW w:w="2205" w:type="dxa"/>
            <w:gridSpan w:val="2"/>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实际情况说明</w:t>
            </w:r>
          </w:p>
        </w:tc>
        <w:tc>
          <w:tcPr>
            <w:tcW w:w="787"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检查结果</w:t>
            </w:r>
          </w:p>
        </w:tc>
      </w:tr>
      <w:tr w:rsidR="004F34D9" w:rsidRPr="00123108">
        <w:trPr>
          <w:trHeight w:val="257"/>
          <w:jc w:val="center"/>
        </w:trPr>
        <w:tc>
          <w:tcPr>
            <w:tcW w:w="9400" w:type="dxa"/>
            <w:gridSpan w:val="6"/>
            <w:vAlign w:val="center"/>
          </w:tcPr>
          <w:p w:rsidR="004F34D9" w:rsidRPr="00123108" w:rsidRDefault="004F34D9">
            <w:pPr>
              <w:adjustRightInd w:val="0"/>
              <w:snapToGrid w:val="0"/>
              <w:jc w:val="center"/>
              <w:rPr>
                <w:rFonts w:ascii="宋体" w:hAnsi="宋体" w:cs="宋体" w:hint="eastAsia"/>
                <w:b/>
                <w:bCs/>
                <w:kern w:val="0"/>
                <w:szCs w:val="21"/>
              </w:rPr>
            </w:pPr>
            <w:r w:rsidRPr="00123108">
              <w:rPr>
                <w:rFonts w:ascii="宋体" w:hAnsi="宋体" w:cs="宋体" w:hint="eastAsia"/>
                <w:b/>
                <w:bCs/>
                <w:kern w:val="0"/>
                <w:szCs w:val="21"/>
              </w:rPr>
              <w:t>一、一般要求</w:t>
            </w:r>
          </w:p>
        </w:tc>
      </w:tr>
      <w:tr w:rsidR="004F34D9" w:rsidRPr="00123108">
        <w:trPr>
          <w:trHeight w:val="286"/>
          <w:jc w:val="center"/>
        </w:trPr>
        <w:tc>
          <w:tcPr>
            <w:tcW w:w="675"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1</w:t>
            </w:r>
          </w:p>
        </w:tc>
        <w:tc>
          <w:tcPr>
            <w:tcW w:w="4053" w:type="dxa"/>
            <w:vAlign w:val="center"/>
          </w:tcPr>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对产生危险和有害因素的过程，应配置监控检测仪器、仪表，必要时配置自动联锁、自动报警装置。</w:t>
            </w:r>
          </w:p>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危险性较大的生产装置或系统，应设置能保证人员安全、设备紧急停止运行的安全监控系统。</w:t>
            </w:r>
          </w:p>
        </w:tc>
        <w:tc>
          <w:tcPr>
            <w:tcW w:w="1785" w:type="dxa"/>
            <w:gridSpan w:val="2"/>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GB/T 12801-2008</w:t>
            </w:r>
          </w:p>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第5.3.1条</w:t>
            </w:r>
          </w:p>
        </w:tc>
        <w:tc>
          <w:tcPr>
            <w:tcW w:w="2100" w:type="dxa"/>
            <w:vAlign w:val="center"/>
          </w:tcPr>
          <w:p w:rsidR="004F34D9" w:rsidRPr="00123108" w:rsidRDefault="004F34D9">
            <w:pPr>
              <w:adjustRightInd w:val="0"/>
              <w:snapToGrid w:val="0"/>
              <w:rPr>
                <w:rFonts w:ascii="宋体" w:hAnsi="宋体" w:cs="宋体" w:hint="eastAsia"/>
                <w:kern w:val="0"/>
                <w:szCs w:val="21"/>
              </w:rPr>
            </w:pPr>
            <w:r w:rsidRPr="00123108">
              <w:rPr>
                <w:rFonts w:ascii="宋体" w:hAnsi="宋体" w:cs="宋体" w:hint="eastAsia"/>
                <w:kern w:val="0"/>
                <w:szCs w:val="21"/>
              </w:rPr>
              <w:t>相关场所设有自动及联锁</w:t>
            </w:r>
          </w:p>
        </w:tc>
        <w:tc>
          <w:tcPr>
            <w:tcW w:w="787"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257"/>
          <w:jc w:val="center"/>
        </w:trPr>
        <w:tc>
          <w:tcPr>
            <w:tcW w:w="675"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2</w:t>
            </w:r>
          </w:p>
        </w:tc>
        <w:tc>
          <w:tcPr>
            <w:tcW w:w="4053" w:type="dxa"/>
            <w:vAlign w:val="center"/>
          </w:tcPr>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安全仪表系统的工程设计应满足石油化工工厂或装置的安全仪表功能、安全完整性等级等要求</w:t>
            </w:r>
          </w:p>
        </w:tc>
        <w:tc>
          <w:tcPr>
            <w:tcW w:w="1785" w:type="dxa"/>
            <w:gridSpan w:val="2"/>
            <w:vAlign w:val="center"/>
          </w:tcPr>
          <w:p w:rsidR="004F34D9" w:rsidRPr="00123108" w:rsidRDefault="004F34D9">
            <w:pPr>
              <w:adjustRightInd w:val="0"/>
              <w:snapToGrid w:val="0"/>
              <w:rPr>
                <w:rFonts w:ascii="宋体" w:hAnsi="宋体" w:cs="宋体" w:hint="eastAsia"/>
                <w:kern w:val="0"/>
                <w:szCs w:val="21"/>
              </w:rPr>
            </w:pPr>
            <w:r w:rsidRPr="00123108">
              <w:rPr>
                <w:rFonts w:ascii="宋体" w:hAnsi="宋体" w:cs="宋体" w:hint="eastAsia"/>
                <w:kern w:val="0"/>
                <w:szCs w:val="21"/>
              </w:rPr>
              <w:t>GB/T50770-2013</w:t>
            </w:r>
          </w:p>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第5.0.1条</w:t>
            </w:r>
          </w:p>
        </w:tc>
        <w:tc>
          <w:tcPr>
            <w:tcW w:w="2100" w:type="dxa"/>
            <w:vAlign w:val="center"/>
          </w:tcPr>
          <w:p w:rsidR="004F34D9" w:rsidRPr="00123108" w:rsidRDefault="004F34D9">
            <w:pPr>
              <w:adjustRightInd w:val="0"/>
              <w:snapToGrid w:val="0"/>
              <w:rPr>
                <w:rFonts w:ascii="宋体" w:hAnsi="宋体" w:cs="宋体" w:hint="eastAsia"/>
                <w:kern w:val="0"/>
                <w:szCs w:val="21"/>
              </w:rPr>
            </w:pPr>
            <w:r w:rsidRPr="00123108">
              <w:rPr>
                <w:rFonts w:ascii="宋体" w:hAnsi="宋体" w:cs="宋体" w:hint="eastAsia"/>
                <w:kern w:val="0"/>
                <w:szCs w:val="21"/>
              </w:rPr>
              <w:t>涉及“两重点一重大”的工艺装置已经进行了HAZOP分析及SIL评估，按需求配置了独立安全联锁系统，符合设计要求</w:t>
            </w:r>
          </w:p>
        </w:tc>
        <w:tc>
          <w:tcPr>
            <w:tcW w:w="787"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257"/>
          <w:jc w:val="center"/>
        </w:trPr>
        <w:tc>
          <w:tcPr>
            <w:tcW w:w="675"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3</w:t>
            </w:r>
          </w:p>
        </w:tc>
        <w:tc>
          <w:tcPr>
            <w:tcW w:w="4053" w:type="dxa"/>
            <w:vAlign w:val="center"/>
          </w:tcPr>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安全仪表系统的功能应根据过程危险及可操作性分析、人员、过程、设备及环境的安全保护，以及安全完整性等级等要求确定</w:t>
            </w:r>
          </w:p>
        </w:tc>
        <w:tc>
          <w:tcPr>
            <w:tcW w:w="1785" w:type="dxa"/>
            <w:gridSpan w:val="2"/>
            <w:vAlign w:val="center"/>
          </w:tcPr>
          <w:p w:rsidR="004F34D9" w:rsidRPr="00123108" w:rsidRDefault="004F34D9">
            <w:pPr>
              <w:adjustRightInd w:val="0"/>
              <w:snapToGrid w:val="0"/>
              <w:rPr>
                <w:rFonts w:ascii="宋体" w:hAnsi="宋体" w:cs="宋体" w:hint="eastAsia"/>
                <w:kern w:val="0"/>
                <w:szCs w:val="21"/>
              </w:rPr>
            </w:pPr>
            <w:r w:rsidRPr="00123108">
              <w:rPr>
                <w:rFonts w:ascii="宋体" w:hAnsi="宋体" w:cs="宋体" w:hint="eastAsia"/>
                <w:kern w:val="0"/>
                <w:szCs w:val="21"/>
              </w:rPr>
              <w:t>GB/T50770-2013</w:t>
            </w:r>
          </w:p>
          <w:p w:rsidR="004F34D9" w:rsidRPr="00123108" w:rsidRDefault="004F34D9">
            <w:pPr>
              <w:adjustRightInd w:val="0"/>
              <w:snapToGrid w:val="0"/>
              <w:rPr>
                <w:rFonts w:ascii="宋体" w:hAnsi="宋体" w:cs="宋体" w:hint="eastAsia"/>
                <w:kern w:val="0"/>
                <w:szCs w:val="21"/>
              </w:rPr>
            </w:pPr>
            <w:r w:rsidRPr="00123108">
              <w:rPr>
                <w:rFonts w:ascii="宋体" w:hAnsi="宋体" w:cs="宋体" w:hint="eastAsia"/>
                <w:kern w:val="0"/>
                <w:szCs w:val="21"/>
              </w:rPr>
              <w:t>第5.0.4条</w:t>
            </w:r>
          </w:p>
        </w:tc>
        <w:tc>
          <w:tcPr>
            <w:tcW w:w="2100" w:type="dxa"/>
            <w:vAlign w:val="center"/>
          </w:tcPr>
          <w:p w:rsidR="004F34D9" w:rsidRPr="00123108" w:rsidRDefault="004F34D9">
            <w:pPr>
              <w:adjustRightInd w:val="0"/>
              <w:snapToGrid w:val="0"/>
              <w:rPr>
                <w:rFonts w:ascii="宋体" w:hAnsi="宋体" w:cs="宋体" w:hint="eastAsia"/>
                <w:kern w:val="0"/>
                <w:szCs w:val="21"/>
              </w:rPr>
            </w:pPr>
            <w:r w:rsidRPr="00123108">
              <w:rPr>
                <w:rFonts w:ascii="宋体" w:hAnsi="宋体" w:cs="宋体" w:hint="eastAsia"/>
                <w:kern w:val="0"/>
                <w:szCs w:val="21"/>
              </w:rPr>
              <w:t>已进行SIL定级及验算</w:t>
            </w:r>
          </w:p>
        </w:tc>
        <w:tc>
          <w:tcPr>
            <w:tcW w:w="787"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257"/>
          <w:jc w:val="center"/>
        </w:trPr>
        <w:tc>
          <w:tcPr>
            <w:tcW w:w="675"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4</w:t>
            </w:r>
          </w:p>
        </w:tc>
        <w:tc>
          <w:tcPr>
            <w:tcW w:w="4053" w:type="dxa"/>
            <w:vAlign w:val="center"/>
          </w:tcPr>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安全仪表系统应独立于基本过程控制系统，并应独立完成安全仪表功能</w:t>
            </w:r>
          </w:p>
        </w:tc>
        <w:tc>
          <w:tcPr>
            <w:tcW w:w="1785" w:type="dxa"/>
            <w:gridSpan w:val="2"/>
            <w:vAlign w:val="center"/>
          </w:tcPr>
          <w:p w:rsidR="004F34D9" w:rsidRPr="00123108" w:rsidRDefault="004F34D9">
            <w:pPr>
              <w:adjustRightInd w:val="0"/>
              <w:snapToGrid w:val="0"/>
              <w:rPr>
                <w:rFonts w:ascii="宋体" w:hAnsi="宋体" w:cs="宋体" w:hint="eastAsia"/>
                <w:kern w:val="0"/>
                <w:szCs w:val="21"/>
              </w:rPr>
            </w:pPr>
            <w:r w:rsidRPr="00123108">
              <w:rPr>
                <w:rFonts w:ascii="宋体" w:hAnsi="宋体" w:cs="宋体" w:hint="eastAsia"/>
                <w:kern w:val="0"/>
                <w:szCs w:val="21"/>
              </w:rPr>
              <w:t>GB/T50770-2013</w:t>
            </w:r>
          </w:p>
          <w:p w:rsidR="004F34D9" w:rsidRPr="00123108" w:rsidRDefault="004F34D9">
            <w:pPr>
              <w:adjustRightInd w:val="0"/>
              <w:snapToGrid w:val="0"/>
              <w:rPr>
                <w:rFonts w:ascii="宋体" w:hAnsi="宋体" w:cs="宋体" w:hint="eastAsia"/>
                <w:kern w:val="0"/>
                <w:szCs w:val="21"/>
              </w:rPr>
            </w:pPr>
            <w:r w:rsidRPr="00123108">
              <w:rPr>
                <w:rFonts w:ascii="宋体" w:hAnsi="宋体" w:cs="宋体" w:hint="eastAsia"/>
                <w:kern w:val="0"/>
                <w:szCs w:val="21"/>
              </w:rPr>
              <w:t>第5.0.8条</w:t>
            </w:r>
          </w:p>
        </w:tc>
        <w:tc>
          <w:tcPr>
            <w:tcW w:w="2100" w:type="dxa"/>
            <w:vAlign w:val="center"/>
          </w:tcPr>
          <w:p w:rsidR="004F34D9" w:rsidRPr="00123108" w:rsidRDefault="004F34D9">
            <w:pPr>
              <w:adjustRightInd w:val="0"/>
              <w:snapToGrid w:val="0"/>
              <w:rPr>
                <w:rFonts w:ascii="宋体" w:hAnsi="宋体" w:cs="宋体" w:hint="eastAsia"/>
                <w:kern w:val="0"/>
                <w:szCs w:val="21"/>
              </w:rPr>
            </w:pPr>
            <w:r w:rsidRPr="00123108">
              <w:rPr>
                <w:rFonts w:ascii="宋体" w:hAnsi="宋体" w:cs="宋体" w:hint="eastAsia"/>
                <w:kern w:val="0"/>
                <w:szCs w:val="21"/>
              </w:rPr>
              <w:t>SIS系统独立设置</w:t>
            </w:r>
          </w:p>
        </w:tc>
        <w:tc>
          <w:tcPr>
            <w:tcW w:w="787"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257"/>
          <w:jc w:val="center"/>
        </w:trPr>
        <w:tc>
          <w:tcPr>
            <w:tcW w:w="675"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5</w:t>
            </w:r>
          </w:p>
        </w:tc>
        <w:tc>
          <w:tcPr>
            <w:tcW w:w="4053" w:type="dxa"/>
            <w:vAlign w:val="center"/>
          </w:tcPr>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用于逻辑控制器的可编程电子系统应取得国家权威机构的功能安全认证</w:t>
            </w:r>
          </w:p>
        </w:tc>
        <w:tc>
          <w:tcPr>
            <w:tcW w:w="1785" w:type="dxa"/>
            <w:gridSpan w:val="2"/>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GB/T 50770-2013</w:t>
            </w:r>
          </w:p>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第8.1.2条</w:t>
            </w:r>
          </w:p>
        </w:tc>
        <w:tc>
          <w:tcPr>
            <w:tcW w:w="2100" w:type="dxa"/>
            <w:vAlign w:val="center"/>
          </w:tcPr>
          <w:p w:rsidR="004F34D9" w:rsidRPr="00123108" w:rsidRDefault="004F34D9">
            <w:pPr>
              <w:adjustRightInd w:val="0"/>
              <w:snapToGrid w:val="0"/>
              <w:rPr>
                <w:rFonts w:ascii="宋体" w:hAnsi="宋体" w:cs="宋体" w:hint="eastAsia"/>
                <w:kern w:val="0"/>
                <w:szCs w:val="21"/>
              </w:rPr>
            </w:pPr>
            <w:r w:rsidRPr="00123108">
              <w:rPr>
                <w:rFonts w:ascii="宋体" w:hAnsi="宋体" w:cs="宋体" w:hint="eastAsia"/>
                <w:kern w:val="0"/>
                <w:szCs w:val="21"/>
              </w:rPr>
              <w:t>由浙大中控提供，主控制器均已取得国家权威机构的功能安全认证</w:t>
            </w:r>
          </w:p>
        </w:tc>
        <w:tc>
          <w:tcPr>
            <w:tcW w:w="787"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257"/>
          <w:jc w:val="center"/>
        </w:trPr>
        <w:tc>
          <w:tcPr>
            <w:tcW w:w="675"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6</w:t>
            </w:r>
          </w:p>
        </w:tc>
        <w:tc>
          <w:tcPr>
            <w:tcW w:w="4053" w:type="dxa"/>
            <w:vAlign w:val="center"/>
          </w:tcPr>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涉及“两重点一重大”危险工艺装置，要进行HAZOP分析及安全仪表SIL评估</w:t>
            </w:r>
          </w:p>
        </w:tc>
        <w:tc>
          <w:tcPr>
            <w:tcW w:w="1785" w:type="dxa"/>
            <w:gridSpan w:val="2"/>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安监总管三[2014]116号</w:t>
            </w:r>
          </w:p>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第十四条</w:t>
            </w:r>
          </w:p>
        </w:tc>
        <w:tc>
          <w:tcPr>
            <w:tcW w:w="2100" w:type="dxa"/>
            <w:vAlign w:val="center"/>
          </w:tcPr>
          <w:p w:rsidR="004F34D9" w:rsidRPr="00123108" w:rsidRDefault="004F34D9">
            <w:pPr>
              <w:adjustRightInd w:val="0"/>
              <w:snapToGrid w:val="0"/>
              <w:rPr>
                <w:rFonts w:ascii="宋体" w:hAnsi="宋体" w:cs="宋体" w:hint="eastAsia"/>
                <w:kern w:val="0"/>
                <w:szCs w:val="21"/>
              </w:rPr>
            </w:pPr>
            <w:r w:rsidRPr="00123108">
              <w:rPr>
                <w:rFonts w:ascii="宋体" w:hAnsi="宋体" w:cs="宋体" w:hint="eastAsia"/>
                <w:kern w:val="0"/>
                <w:szCs w:val="21"/>
              </w:rPr>
              <w:t>已按要求进行</w:t>
            </w:r>
          </w:p>
          <w:p w:rsidR="004F34D9" w:rsidRPr="00123108" w:rsidRDefault="004F34D9">
            <w:pPr>
              <w:adjustRightInd w:val="0"/>
              <w:snapToGrid w:val="0"/>
              <w:rPr>
                <w:rFonts w:ascii="宋体" w:hAnsi="宋体" w:cs="宋体" w:hint="eastAsia"/>
                <w:kern w:val="0"/>
                <w:szCs w:val="21"/>
              </w:rPr>
            </w:pPr>
            <w:r w:rsidRPr="00123108">
              <w:rPr>
                <w:rFonts w:ascii="宋体" w:hAnsi="宋体" w:cs="宋体" w:hint="eastAsia"/>
                <w:kern w:val="0"/>
                <w:szCs w:val="21"/>
              </w:rPr>
              <w:t>HAZOP分析及SIL定级</w:t>
            </w:r>
          </w:p>
        </w:tc>
        <w:tc>
          <w:tcPr>
            <w:tcW w:w="787"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257"/>
          <w:jc w:val="center"/>
        </w:trPr>
        <w:tc>
          <w:tcPr>
            <w:tcW w:w="675"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7</w:t>
            </w:r>
          </w:p>
        </w:tc>
        <w:tc>
          <w:tcPr>
            <w:tcW w:w="4053" w:type="dxa"/>
            <w:vAlign w:val="center"/>
          </w:tcPr>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仪表的综合管理，主要包括：</w:t>
            </w:r>
          </w:p>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（1）仪表相关管理制度建立和执行情况</w:t>
            </w:r>
          </w:p>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（2）仪表系统的档案资料、台账管理；</w:t>
            </w:r>
          </w:p>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（3）仪表调试、维护、检测、变更等记录；</w:t>
            </w:r>
          </w:p>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（4）安全仪表系统的投用、摘除及变更管理等。</w:t>
            </w:r>
          </w:p>
        </w:tc>
        <w:tc>
          <w:tcPr>
            <w:tcW w:w="1785" w:type="dxa"/>
            <w:gridSpan w:val="2"/>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安监总管三[2012]103号</w:t>
            </w:r>
          </w:p>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第4.6.1条</w:t>
            </w:r>
          </w:p>
        </w:tc>
        <w:tc>
          <w:tcPr>
            <w:tcW w:w="2100" w:type="dxa"/>
            <w:vAlign w:val="center"/>
          </w:tcPr>
          <w:p w:rsidR="004F34D9" w:rsidRPr="00123108" w:rsidRDefault="004F34D9" w:rsidP="00960EBE">
            <w:pPr>
              <w:autoSpaceDE w:val="0"/>
              <w:autoSpaceDN w:val="0"/>
              <w:adjustRightInd w:val="0"/>
              <w:snapToGrid w:val="0"/>
              <w:jc w:val="left"/>
              <w:rPr>
                <w:rFonts w:hint="eastAsia"/>
              </w:rPr>
            </w:pPr>
            <w:r w:rsidRPr="00123108">
              <w:rPr>
                <w:rFonts w:ascii="宋体" w:hAnsi="宋体" w:cs="宋体" w:hint="eastAsia"/>
                <w:kern w:val="0"/>
                <w:szCs w:val="21"/>
              </w:rPr>
              <w:t>已建立了仪表管理制度；有仪表台账资料；有仪表维护记录；有仪表变更管理；现场核查SIS回路：PID上联锁回路未体现联锁开</w:t>
            </w:r>
            <w:r w:rsidRPr="00123108">
              <w:rPr>
                <w:rFonts w:ascii="宋体" w:hAnsi="宋体" w:cs="宋体"/>
                <w:kern w:val="0"/>
                <w:szCs w:val="21"/>
              </w:rPr>
              <w:t>SOV201A</w:t>
            </w:r>
            <w:r w:rsidRPr="00123108">
              <w:rPr>
                <w:rFonts w:ascii="宋体" w:hAnsi="宋体" w:cs="宋体" w:hint="eastAsia"/>
                <w:kern w:val="0"/>
                <w:szCs w:val="21"/>
              </w:rPr>
              <w:t>/B。 PID上有两个温度测量，SIS组态程序未明确温度信号是取TT201A还是TT201B</w:t>
            </w:r>
          </w:p>
        </w:tc>
        <w:tc>
          <w:tcPr>
            <w:tcW w:w="787"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不符合</w:t>
            </w:r>
          </w:p>
        </w:tc>
      </w:tr>
      <w:tr w:rsidR="004F34D9" w:rsidRPr="00123108">
        <w:trPr>
          <w:trHeight w:val="257"/>
          <w:jc w:val="center"/>
        </w:trPr>
        <w:tc>
          <w:tcPr>
            <w:tcW w:w="675"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8</w:t>
            </w:r>
          </w:p>
        </w:tc>
        <w:tc>
          <w:tcPr>
            <w:tcW w:w="4053" w:type="dxa"/>
            <w:vAlign w:val="center"/>
          </w:tcPr>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（1）仪表供电、供气、接地与防护情况；</w:t>
            </w:r>
          </w:p>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（2）安装在爆炸危险环境仪表满足要求等。</w:t>
            </w:r>
          </w:p>
        </w:tc>
        <w:tc>
          <w:tcPr>
            <w:tcW w:w="1785" w:type="dxa"/>
            <w:gridSpan w:val="2"/>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安监总管三[2012]103号</w:t>
            </w:r>
          </w:p>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第4.6.2条</w:t>
            </w:r>
          </w:p>
        </w:tc>
        <w:tc>
          <w:tcPr>
            <w:tcW w:w="2100" w:type="dxa"/>
            <w:vAlign w:val="center"/>
          </w:tcPr>
          <w:p w:rsidR="004F34D9" w:rsidRPr="00123108" w:rsidRDefault="004F34D9">
            <w:pPr>
              <w:adjustRightInd w:val="0"/>
              <w:snapToGrid w:val="0"/>
              <w:rPr>
                <w:rFonts w:ascii="宋体" w:hAnsi="宋体" w:cs="宋体" w:hint="eastAsia"/>
                <w:kern w:val="0"/>
                <w:szCs w:val="21"/>
              </w:rPr>
            </w:pPr>
            <w:r w:rsidRPr="00123108">
              <w:rPr>
                <w:rFonts w:ascii="宋体" w:hAnsi="宋体" w:cs="宋体" w:hint="eastAsia"/>
                <w:kern w:val="0"/>
                <w:szCs w:val="21"/>
              </w:rPr>
              <w:t>仪表供电、气源合格，仪表工作接地按规范实施；安装在爆炸危险环境仪表按防爆防护要求选型</w:t>
            </w:r>
          </w:p>
        </w:tc>
        <w:tc>
          <w:tcPr>
            <w:tcW w:w="787"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257"/>
          <w:jc w:val="center"/>
        </w:trPr>
        <w:tc>
          <w:tcPr>
            <w:tcW w:w="675"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9</w:t>
            </w:r>
          </w:p>
        </w:tc>
        <w:tc>
          <w:tcPr>
            <w:tcW w:w="4053" w:type="dxa"/>
            <w:vAlign w:val="center"/>
          </w:tcPr>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从2018年1月1日起，所有新建涉及“两重点一重大”的化工装置和危险化学</w:t>
            </w:r>
            <w:r w:rsidRPr="00123108">
              <w:rPr>
                <w:rFonts w:ascii="宋体" w:hAnsi="宋体" w:cs="宋体" w:hint="eastAsia"/>
                <w:kern w:val="0"/>
                <w:szCs w:val="21"/>
              </w:rPr>
              <w:lastRenderedPageBreak/>
              <w:t>品储存设施要设计符合要求的安全仪表系统。其他新建化工装置、危险化学品储存设施安全仪表系统，从2020年1月1日起，应执行功能安全相关标准要求，设计符合要求的安全仪表系统。</w:t>
            </w:r>
          </w:p>
        </w:tc>
        <w:tc>
          <w:tcPr>
            <w:tcW w:w="1785" w:type="dxa"/>
            <w:gridSpan w:val="2"/>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lastRenderedPageBreak/>
              <w:t>安监总管三〔2014〕116号</w:t>
            </w:r>
            <w:r w:rsidRPr="00123108">
              <w:rPr>
                <w:rFonts w:ascii="宋体" w:hAnsi="宋体" w:cs="宋体" w:hint="eastAsia"/>
                <w:kern w:val="0"/>
                <w:szCs w:val="21"/>
              </w:rPr>
              <w:lastRenderedPageBreak/>
              <w:t>第13条</w:t>
            </w:r>
          </w:p>
        </w:tc>
        <w:tc>
          <w:tcPr>
            <w:tcW w:w="2100" w:type="dxa"/>
            <w:vAlign w:val="center"/>
          </w:tcPr>
          <w:p w:rsidR="004F34D9" w:rsidRPr="00123108" w:rsidRDefault="004F34D9">
            <w:pPr>
              <w:adjustRightInd w:val="0"/>
              <w:snapToGrid w:val="0"/>
              <w:rPr>
                <w:rFonts w:ascii="宋体" w:hAnsi="宋体" w:cs="宋体" w:hint="eastAsia"/>
                <w:kern w:val="0"/>
                <w:szCs w:val="21"/>
              </w:rPr>
            </w:pPr>
            <w:r w:rsidRPr="00123108">
              <w:rPr>
                <w:rFonts w:ascii="宋体" w:hAnsi="宋体" w:cs="宋体" w:hint="eastAsia"/>
                <w:kern w:val="0"/>
                <w:szCs w:val="21"/>
              </w:rPr>
              <w:lastRenderedPageBreak/>
              <w:t>涉及“两重点一重大”的化工装置和储</w:t>
            </w:r>
            <w:r w:rsidRPr="00123108">
              <w:rPr>
                <w:rFonts w:ascii="宋体" w:hAnsi="宋体" w:cs="宋体" w:hint="eastAsia"/>
                <w:kern w:val="0"/>
                <w:szCs w:val="21"/>
              </w:rPr>
              <w:lastRenderedPageBreak/>
              <w:t>存设施均有符合要求的安全仪表系统</w:t>
            </w:r>
          </w:p>
        </w:tc>
        <w:tc>
          <w:tcPr>
            <w:tcW w:w="787"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lastRenderedPageBreak/>
              <w:t>符合</w:t>
            </w:r>
          </w:p>
        </w:tc>
      </w:tr>
      <w:tr w:rsidR="004F34D9" w:rsidRPr="00123108">
        <w:trPr>
          <w:trHeight w:val="257"/>
          <w:jc w:val="center"/>
        </w:trPr>
        <w:tc>
          <w:tcPr>
            <w:tcW w:w="9400" w:type="dxa"/>
            <w:gridSpan w:val="6"/>
            <w:vAlign w:val="center"/>
          </w:tcPr>
          <w:p w:rsidR="004F34D9" w:rsidRPr="00123108" w:rsidRDefault="004F34D9">
            <w:pPr>
              <w:adjustRightInd w:val="0"/>
              <w:snapToGrid w:val="0"/>
              <w:jc w:val="center"/>
              <w:rPr>
                <w:rFonts w:ascii="宋体" w:hAnsi="宋体" w:cs="宋体" w:hint="eastAsia"/>
                <w:b/>
                <w:bCs/>
                <w:kern w:val="0"/>
                <w:szCs w:val="21"/>
              </w:rPr>
            </w:pPr>
            <w:r w:rsidRPr="00123108">
              <w:rPr>
                <w:rFonts w:ascii="宋体" w:hAnsi="宋体" w:cs="宋体" w:hint="eastAsia"/>
                <w:b/>
                <w:bCs/>
                <w:kern w:val="0"/>
                <w:szCs w:val="21"/>
              </w:rPr>
              <w:t>二、选型、配置</w:t>
            </w:r>
          </w:p>
        </w:tc>
      </w:tr>
      <w:tr w:rsidR="004F34D9" w:rsidRPr="00123108">
        <w:trPr>
          <w:trHeight w:val="257"/>
          <w:jc w:val="center"/>
        </w:trPr>
        <w:tc>
          <w:tcPr>
            <w:tcW w:w="675"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10</w:t>
            </w:r>
          </w:p>
        </w:tc>
        <w:tc>
          <w:tcPr>
            <w:tcW w:w="4053" w:type="dxa"/>
            <w:vAlign w:val="center"/>
          </w:tcPr>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在爆炸危险场所安装的电子式仪表应根据防爆危险区域划分选用本安、隔爆或无火花限能型仪表，防爆设计应执行GB2836.1-2010极其系列标准。</w:t>
            </w:r>
          </w:p>
        </w:tc>
        <w:tc>
          <w:tcPr>
            <w:tcW w:w="1680"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SH/T 3005-2016</w:t>
            </w:r>
          </w:p>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第4.9条</w:t>
            </w:r>
          </w:p>
        </w:tc>
        <w:tc>
          <w:tcPr>
            <w:tcW w:w="2205" w:type="dxa"/>
            <w:gridSpan w:val="2"/>
            <w:vAlign w:val="center"/>
          </w:tcPr>
          <w:p w:rsidR="004F34D9" w:rsidRPr="00123108" w:rsidRDefault="004F34D9">
            <w:pPr>
              <w:adjustRightInd w:val="0"/>
              <w:snapToGrid w:val="0"/>
              <w:rPr>
                <w:rFonts w:ascii="宋体" w:hAnsi="宋体" w:cs="宋体" w:hint="eastAsia"/>
                <w:kern w:val="0"/>
                <w:szCs w:val="21"/>
              </w:rPr>
            </w:pPr>
            <w:r w:rsidRPr="00123108">
              <w:rPr>
                <w:rFonts w:ascii="宋体" w:hAnsi="宋体" w:cs="宋体" w:hint="eastAsia"/>
                <w:kern w:val="0"/>
                <w:szCs w:val="21"/>
              </w:rPr>
              <w:t>现场仪表选用本安或隔爆方式</w:t>
            </w:r>
          </w:p>
        </w:tc>
        <w:tc>
          <w:tcPr>
            <w:tcW w:w="787"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257"/>
          <w:jc w:val="center"/>
        </w:trPr>
        <w:tc>
          <w:tcPr>
            <w:tcW w:w="675"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11</w:t>
            </w:r>
          </w:p>
        </w:tc>
        <w:tc>
          <w:tcPr>
            <w:tcW w:w="4053" w:type="dxa"/>
            <w:vAlign w:val="center"/>
          </w:tcPr>
          <w:p w:rsidR="004F34D9" w:rsidRPr="00123108" w:rsidRDefault="004F34D9">
            <w:pPr>
              <w:autoSpaceDE w:val="0"/>
              <w:autoSpaceDN w:val="0"/>
              <w:adjustRightInd w:val="0"/>
              <w:snapToGrid w:val="0"/>
              <w:jc w:val="left"/>
              <w:rPr>
                <w:rFonts w:ascii="宋体" w:hAnsi="宋体" w:cs="宋体" w:hint="eastAsia"/>
                <w:kern w:val="0"/>
                <w:szCs w:val="21"/>
              </w:rPr>
            </w:pPr>
            <w:r w:rsidRPr="00123108">
              <w:rPr>
                <w:rFonts w:ascii="宋体" w:hAnsi="宋体" w:cs="宋体" w:hint="eastAsia"/>
                <w:kern w:val="0"/>
                <w:szCs w:val="21"/>
              </w:rPr>
              <w:t>防爆电气设备的级别和组别不应低于该爆炸性气体环境内爆炸性气体混合物的级别和组别，并应符合下列规定：</w:t>
            </w:r>
          </w:p>
        </w:tc>
        <w:tc>
          <w:tcPr>
            <w:tcW w:w="1680"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GB 50058-2014</w:t>
            </w:r>
          </w:p>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第5.2.3条</w:t>
            </w:r>
          </w:p>
        </w:tc>
        <w:tc>
          <w:tcPr>
            <w:tcW w:w="2205" w:type="dxa"/>
            <w:gridSpan w:val="2"/>
            <w:vAlign w:val="center"/>
          </w:tcPr>
          <w:p w:rsidR="004F34D9" w:rsidRPr="00123108" w:rsidRDefault="004F34D9">
            <w:pPr>
              <w:adjustRightInd w:val="0"/>
              <w:snapToGrid w:val="0"/>
              <w:rPr>
                <w:rFonts w:ascii="宋体" w:hAnsi="宋体" w:cs="宋体" w:hint="eastAsia"/>
                <w:kern w:val="0"/>
                <w:szCs w:val="21"/>
              </w:rPr>
            </w:pPr>
            <w:r w:rsidRPr="00123108">
              <w:rPr>
                <w:rFonts w:ascii="宋体" w:hAnsi="宋体" w:cs="宋体" w:hint="eastAsia"/>
                <w:kern w:val="0"/>
                <w:szCs w:val="21"/>
              </w:rPr>
              <w:t>安装在现场的仪表测量元件、各种变送器、电/气转换器、电气阀门定位器、电磁阀、阀位回讯器等，都采用了本质安全或和隔爆型仪表</w:t>
            </w:r>
          </w:p>
        </w:tc>
        <w:tc>
          <w:tcPr>
            <w:tcW w:w="787"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257"/>
          <w:jc w:val="center"/>
        </w:trPr>
        <w:tc>
          <w:tcPr>
            <w:tcW w:w="675"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12</w:t>
            </w:r>
          </w:p>
        </w:tc>
        <w:tc>
          <w:tcPr>
            <w:tcW w:w="4053" w:type="dxa"/>
            <w:vAlign w:val="center"/>
          </w:tcPr>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在爆炸危险安装的电子式仪表应取得国家授权防爆认证机构颁发的《产品防爆合格证》；计量仪表应取得国家授权机构颁发的《制造计量器具许可证》或《计量器具型式批准证书》；属于消防电子产品的火灾、可燃气体检测及报警等仪表应取得公安部消防产品合格评定中心颁发的《中国国家强制性产品认证证书》（即CCCF认证）或《产品型式认可证书》。</w:t>
            </w:r>
          </w:p>
        </w:tc>
        <w:tc>
          <w:tcPr>
            <w:tcW w:w="1680"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SH/T 3005-2016</w:t>
            </w:r>
          </w:p>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第4.4条</w:t>
            </w:r>
          </w:p>
        </w:tc>
        <w:tc>
          <w:tcPr>
            <w:tcW w:w="2205" w:type="dxa"/>
            <w:gridSpan w:val="2"/>
            <w:vAlign w:val="center"/>
          </w:tcPr>
          <w:p w:rsidR="004F34D9" w:rsidRPr="00123108" w:rsidRDefault="004F34D9">
            <w:pPr>
              <w:adjustRightInd w:val="0"/>
              <w:snapToGrid w:val="0"/>
              <w:rPr>
                <w:rFonts w:ascii="宋体" w:hAnsi="宋体" w:cs="宋体" w:hint="eastAsia"/>
                <w:kern w:val="0"/>
                <w:szCs w:val="21"/>
              </w:rPr>
            </w:pPr>
            <w:r w:rsidRPr="00123108">
              <w:rPr>
                <w:rFonts w:ascii="宋体" w:hAnsi="宋体" w:cs="宋体" w:hint="eastAsia"/>
                <w:kern w:val="0"/>
                <w:szCs w:val="21"/>
              </w:rPr>
              <w:t>有《产品防爆合格证》、计量仪表的《制造计量器具许可证》及《计量器具型式批</w:t>
            </w:r>
          </w:p>
          <w:p w:rsidR="004F34D9" w:rsidRPr="00123108" w:rsidRDefault="004F34D9">
            <w:pPr>
              <w:adjustRightInd w:val="0"/>
              <w:snapToGrid w:val="0"/>
              <w:rPr>
                <w:rFonts w:ascii="宋体" w:hAnsi="宋体" w:cs="宋体" w:hint="eastAsia"/>
                <w:kern w:val="0"/>
                <w:szCs w:val="21"/>
              </w:rPr>
            </w:pPr>
            <w:r w:rsidRPr="00123108">
              <w:rPr>
                <w:rFonts w:ascii="宋体" w:hAnsi="宋体" w:cs="宋体" w:hint="eastAsia"/>
                <w:kern w:val="0"/>
                <w:szCs w:val="21"/>
              </w:rPr>
              <w:t>准证书》</w:t>
            </w:r>
          </w:p>
        </w:tc>
        <w:tc>
          <w:tcPr>
            <w:tcW w:w="787"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257"/>
          <w:jc w:val="center"/>
        </w:trPr>
        <w:tc>
          <w:tcPr>
            <w:tcW w:w="675"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13</w:t>
            </w:r>
          </w:p>
        </w:tc>
        <w:tc>
          <w:tcPr>
            <w:tcW w:w="4053" w:type="dxa"/>
            <w:vAlign w:val="center"/>
          </w:tcPr>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SIS的输入信号源应首选变送器。当要求选择开关型仪表时，其接点宜采用双刀双掷（DPDT）干接点型或NAMUR型。如果开关接点不支持DPDT，应选用两个SPDT接点的仪表。所有开关型仪表的接点应采用密封结构。</w:t>
            </w:r>
          </w:p>
        </w:tc>
        <w:tc>
          <w:tcPr>
            <w:tcW w:w="1680"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SH/T 3005-2016</w:t>
            </w:r>
          </w:p>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第4.17条</w:t>
            </w:r>
          </w:p>
        </w:tc>
        <w:tc>
          <w:tcPr>
            <w:tcW w:w="2205" w:type="dxa"/>
            <w:gridSpan w:val="2"/>
            <w:vAlign w:val="center"/>
          </w:tcPr>
          <w:p w:rsidR="004F34D9" w:rsidRPr="00123108" w:rsidRDefault="004F34D9">
            <w:pPr>
              <w:adjustRightInd w:val="0"/>
              <w:snapToGrid w:val="0"/>
              <w:rPr>
                <w:rFonts w:ascii="宋体" w:hAnsi="宋体" w:cs="宋体" w:hint="eastAsia"/>
                <w:kern w:val="0"/>
                <w:szCs w:val="21"/>
              </w:rPr>
            </w:pPr>
            <w:r w:rsidRPr="00123108">
              <w:rPr>
                <w:rFonts w:ascii="宋体" w:hAnsi="宋体" w:cs="宋体" w:hint="eastAsia"/>
                <w:kern w:val="0"/>
                <w:szCs w:val="21"/>
              </w:rPr>
              <w:t>SIS的信号源采用变送器；</w:t>
            </w:r>
          </w:p>
        </w:tc>
        <w:tc>
          <w:tcPr>
            <w:tcW w:w="787"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257"/>
          <w:jc w:val="center"/>
        </w:trPr>
        <w:tc>
          <w:tcPr>
            <w:tcW w:w="675"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14</w:t>
            </w:r>
          </w:p>
        </w:tc>
        <w:tc>
          <w:tcPr>
            <w:tcW w:w="4053" w:type="dxa"/>
            <w:vAlign w:val="center"/>
          </w:tcPr>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工艺过程的控制、检测、操作、报警、数据和事件记录、数据存储等均应在DCS中实现。</w:t>
            </w:r>
          </w:p>
        </w:tc>
        <w:tc>
          <w:tcPr>
            <w:tcW w:w="1680"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 xml:space="preserve">SH/T3092-2013 </w:t>
            </w:r>
          </w:p>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第5.1.3条</w:t>
            </w:r>
          </w:p>
        </w:tc>
        <w:tc>
          <w:tcPr>
            <w:tcW w:w="2205" w:type="dxa"/>
            <w:gridSpan w:val="2"/>
            <w:vAlign w:val="center"/>
          </w:tcPr>
          <w:p w:rsidR="004F34D9" w:rsidRPr="00123108" w:rsidRDefault="004F34D9">
            <w:pPr>
              <w:adjustRightInd w:val="0"/>
              <w:snapToGrid w:val="0"/>
              <w:rPr>
                <w:rFonts w:ascii="宋体" w:hAnsi="宋体" w:cs="宋体" w:hint="eastAsia"/>
                <w:kern w:val="0"/>
                <w:szCs w:val="21"/>
              </w:rPr>
            </w:pPr>
            <w:r w:rsidRPr="00123108">
              <w:rPr>
                <w:rFonts w:ascii="宋体" w:hAnsi="宋体" w:cs="宋体" w:hint="eastAsia"/>
                <w:kern w:val="0"/>
                <w:szCs w:val="21"/>
              </w:rPr>
              <w:t>工艺过程的控制、检测、操作、报警、数据和事件记录、数据存储等均在DCS中</w:t>
            </w:r>
          </w:p>
        </w:tc>
        <w:tc>
          <w:tcPr>
            <w:tcW w:w="787"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257"/>
          <w:jc w:val="center"/>
        </w:trPr>
        <w:tc>
          <w:tcPr>
            <w:tcW w:w="675"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15</w:t>
            </w:r>
          </w:p>
        </w:tc>
        <w:tc>
          <w:tcPr>
            <w:tcW w:w="4053" w:type="dxa"/>
            <w:vAlign w:val="center"/>
          </w:tcPr>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操作站硬件配置应满足以下低要求：</w:t>
            </w:r>
          </w:p>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1、按工艺装置、工艺工程单元、储运单元或操作分区配合，每个工艺装置、共用工程单元、储运单元或操作分区不少于2台操作员站；</w:t>
            </w:r>
          </w:p>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2、同一工艺装置、工艺工程单元、储运单元或操作分区的操作员站硬软件配合应系统，并互为备用。</w:t>
            </w:r>
          </w:p>
        </w:tc>
        <w:tc>
          <w:tcPr>
            <w:tcW w:w="1680"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SH/T 3092-2013</w:t>
            </w:r>
          </w:p>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第7.3条</w:t>
            </w:r>
          </w:p>
        </w:tc>
        <w:tc>
          <w:tcPr>
            <w:tcW w:w="2205" w:type="dxa"/>
            <w:gridSpan w:val="2"/>
            <w:vAlign w:val="center"/>
          </w:tcPr>
          <w:p w:rsidR="004F34D9" w:rsidRPr="00123108" w:rsidRDefault="004F34D9">
            <w:pPr>
              <w:adjustRightInd w:val="0"/>
              <w:snapToGrid w:val="0"/>
              <w:rPr>
                <w:rFonts w:ascii="宋体" w:hAnsi="宋体" w:cs="宋体"/>
                <w:kern w:val="0"/>
                <w:szCs w:val="21"/>
              </w:rPr>
            </w:pPr>
            <w:r w:rsidRPr="00123108">
              <w:rPr>
                <w:rFonts w:ascii="宋体" w:hAnsi="宋体" w:cs="宋体" w:hint="eastAsia"/>
                <w:kern w:val="0"/>
                <w:szCs w:val="21"/>
              </w:rPr>
              <w:t>操作站配置不少于2台</w:t>
            </w:r>
          </w:p>
        </w:tc>
        <w:tc>
          <w:tcPr>
            <w:tcW w:w="787"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257"/>
          <w:jc w:val="center"/>
        </w:trPr>
        <w:tc>
          <w:tcPr>
            <w:tcW w:w="675"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16</w:t>
            </w:r>
          </w:p>
        </w:tc>
        <w:tc>
          <w:tcPr>
            <w:tcW w:w="4053" w:type="dxa"/>
            <w:vAlign w:val="center"/>
          </w:tcPr>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控制器应按工艺装置、共用工程单元、储运单元分别设置，控制器的负荷不应超过60%</w:t>
            </w:r>
          </w:p>
        </w:tc>
        <w:tc>
          <w:tcPr>
            <w:tcW w:w="1680"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SH/T 3092-2013</w:t>
            </w:r>
          </w:p>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第7.1.3条</w:t>
            </w:r>
          </w:p>
        </w:tc>
        <w:tc>
          <w:tcPr>
            <w:tcW w:w="2205" w:type="dxa"/>
            <w:gridSpan w:val="2"/>
            <w:vAlign w:val="center"/>
          </w:tcPr>
          <w:p w:rsidR="004F34D9" w:rsidRPr="00123108" w:rsidRDefault="004F34D9">
            <w:pPr>
              <w:adjustRightInd w:val="0"/>
              <w:snapToGrid w:val="0"/>
              <w:rPr>
                <w:rFonts w:ascii="宋体" w:hAnsi="宋体" w:cs="宋体" w:hint="eastAsia"/>
                <w:kern w:val="0"/>
                <w:szCs w:val="21"/>
              </w:rPr>
            </w:pPr>
            <w:r w:rsidRPr="00123108">
              <w:rPr>
                <w:rFonts w:ascii="宋体" w:hAnsi="宋体" w:cs="宋体" w:hint="eastAsia"/>
                <w:kern w:val="0"/>
                <w:szCs w:val="21"/>
              </w:rPr>
              <w:t>控制器按装置单元分配，负荷在60%以下</w:t>
            </w:r>
          </w:p>
        </w:tc>
        <w:tc>
          <w:tcPr>
            <w:tcW w:w="787"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257"/>
          <w:jc w:val="center"/>
        </w:trPr>
        <w:tc>
          <w:tcPr>
            <w:tcW w:w="675"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17</w:t>
            </w:r>
          </w:p>
        </w:tc>
        <w:tc>
          <w:tcPr>
            <w:tcW w:w="4053" w:type="dxa"/>
            <w:vAlign w:val="center"/>
          </w:tcPr>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控制单元的（CPU）、通讯单元和供电单元应冗余结构</w:t>
            </w:r>
          </w:p>
        </w:tc>
        <w:tc>
          <w:tcPr>
            <w:tcW w:w="1680"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SH/T 3092-2013</w:t>
            </w:r>
          </w:p>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第5.2.2.2条</w:t>
            </w:r>
          </w:p>
        </w:tc>
        <w:tc>
          <w:tcPr>
            <w:tcW w:w="2205" w:type="dxa"/>
            <w:gridSpan w:val="2"/>
            <w:vAlign w:val="center"/>
          </w:tcPr>
          <w:p w:rsidR="004F34D9" w:rsidRPr="00123108" w:rsidRDefault="004F34D9">
            <w:pPr>
              <w:adjustRightInd w:val="0"/>
              <w:snapToGrid w:val="0"/>
              <w:rPr>
                <w:rFonts w:ascii="宋体" w:hAnsi="宋体" w:cs="宋体" w:hint="eastAsia"/>
                <w:kern w:val="0"/>
                <w:szCs w:val="21"/>
              </w:rPr>
            </w:pPr>
            <w:r w:rsidRPr="00123108">
              <w:rPr>
                <w:rFonts w:ascii="宋体" w:hAnsi="宋体" w:cs="宋体" w:hint="eastAsia"/>
                <w:kern w:val="0"/>
                <w:szCs w:val="21"/>
              </w:rPr>
              <w:t>控制器、通讯、电源冗余配置</w:t>
            </w:r>
          </w:p>
        </w:tc>
        <w:tc>
          <w:tcPr>
            <w:tcW w:w="787"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257"/>
          <w:jc w:val="center"/>
        </w:trPr>
        <w:tc>
          <w:tcPr>
            <w:tcW w:w="675"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18</w:t>
            </w:r>
          </w:p>
        </w:tc>
        <w:tc>
          <w:tcPr>
            <w:tcW w:w="4053" w:type="dxa"/>
            <w:vAlign w:val="center"/>
          </w:tcPr>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包括工厂管理网在内的外部数据管理接口</w:t>
            </w:r>
            <w:r w:rsidRPr="00123108">
              <w:rPr>
                <w:rFonts w:ascii="宋体" w:hAnsi="宋体" w:cs="宋体" w:hint="eastAsia"/>
                <w:kern w:val="0"/>
                <w:szCs w:val="21"/>
              </w:rPr>
              <w:lastRenderedPageBreak/>
              <w:t>不应直接接入过程控制网和操作监控层，应通过数据服务层的过程数据接口服务器的交换数据。</w:t>
            </w:r>
          </w:p>
        </w:tc>
        <w:tc>
          <w:tcPr>
            <w:tcW w:w="1680"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lastRenderedPageBreak/>
              <w:t>SH/T 3092-</w:t>
            </w:r>
            <w:r w:rsidRPr="00123108">
              <w:rPr>
                <w:rFonts w:ascii="宋体" w:hAnsi="宋体" w:cs="宋体" w:hint="eastAsia"/>
                <w:kern w:val="0"/>
                <w:szCs w:val="21"/>
              </w:rPr>
              <w:lastRenderedPageBreak/>
              <w:t>2013</w:t>
            </w:r>
          </w:p>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第6.2.1.3条</w:t>
            </w:r>
          </w:p>
        </w:tc>
        <w:tc>
          <w:tcPr>
            <w:tcW w:w="2205" w:type="dxa"/>
            <w:gridSpan w:val="2"/>
            <w:vAlign w:val="center"/>
          </w:tcPr>
          <w:p w:rsidR="004F34D9" w:rsidRPr="00123108" w:rsidRDefault="004F34D9">
            <w:pPr>
              <w:adjustRightInd w:val="0"/>
              <w:snapToGrid w:val="0"/>
              <w:rPr>
                <w:rFonts w:ascii="宋体" w:hAnsi="宋体" w:cs="宋体" w:hint="eastAsia"/>
                <w:kern w:val="0"/>
                <w:szCs w:val="21"/>
              </w:rPr>
            </w:pPr>
            <w:r w:rsidRPr="00123108">
              <w:rPr>
                <w:rFonts w:ascii="宋体" w:hAnsi="宋体" w:cs="宋体" w:hint="eastAsia"/>
                <w:kern w:val="0"/>
                <w:szCs w:val="21"/>
              </w:rPr>
              <w:lastRenderedPageBreak/>
              <w:t>通过数据服务层的过</w:t>
            </w:r>
            <w:r w:rsidRPr="00123108">
              <w:rPr>
                <w:rFonts w:ascii="宋体" w:hAnsi="宋体" w:cs="宋体" w:hint="eastAsia"/>
                <w:kern w:val="0"/>
                <w:szCs w:val="21"/>
              </w:rPr>
              <w:lastRenderedPageBreak/>
              <w:t>程数据接口服务器的交换数据</w:t>
            </w:r>
          </w:p>
        </w:tc>
        <w:tc>
          <w:tcPr>
            <w:tcW w:w="787"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lastRenderedPageBreak/>
              <w:t>符合</w:t>
            </w:r>
          </w:p>
        </w:tc>
      </w:tr>
      <w:tr w:rsidR="004F34D9" w:rsidRPr="00123108">
        <w:trPr>
          <w:trHeight w:val="257"/>
          <w:jc w:val="center"/>
        </w:trPr>
        <w:tc>
          <w:tcPr>
            <w:tcW w:w="675"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19</w:t>
            </w:r>
          </w:p>
        </w:tc>
        <w:tc>
          <w:tcPr>
            <w:tcW w:w="4053" w:type="dxa"/>
            <w:vAlign w:val="center"/>
          </w:tcPr>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DCS应采用为过程控制相关系统配置的独立的交流电源配电柜；用于DCS的直流电源与用于其他仪表的应分别配置；DCS的直流电源装置、电源单元应冗余配置。直流电源装置的负荷应小于50%。</w:t>
            </w:r>
          </w:p>
        </w:tc>
        <w:tc>
          <w:tcPr>
            <w:tcW w:w="1680"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SH/T 3092-2013</w:t>
            </w:r>
          </w:p>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第7.8条</w:t>
            </w:r>
          </w:p>
        </w:tc>
        <w:tc>
          <w:tcPr>
            <w:tcW w:w="2205" w:type="dxa"/>
            <w:gridSpan w:val="2"/>
            <w:vAlign w:val="center"/>
          </w:tcPr>
          <w:p w:rsidR="004F34D9" w:rsidRPr="00123108" w:rsidRDefault="004F34D9">
            <w:pPr>
              <w:adjustRightInd w:val="0"/>
              <w:snapToGrid w:val="0"/>
              <w:rPr>
                <w:rFonts w:ascii="宋体" w:hAnsi="宋体" w:cs="宋体" w:hint="eastAsia"/>
                <w:kern w:val="0"/>
                <w:szCs w:val="21"/>
              </w:rPr>
            </w:pPr>
            <w:r w:rsidRPr="00123108">
              <w:rPr>
                <w:rFonts w:ascii="宋体" w:hAnsi="宋体" w:cs="宋体" w:hint="eastAsia"/>
                <w:kern w:val="0"/>
                <w:szCs w:val="21"/>
              </w:rPr>
              <w:t>控制系统设有独立的电源并冗余配置，负荷小于50%</w:t>
            </w:r>
          </w:p>
        </w:tc>
        <w:tc>
          <w:tcPr>
            <w:tcW w:w="787"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257"/>
          <w:jc w:val="center"/>
        </w:trPr>
        <w:tc>
          <w:tcPr>
            <w:tcW w:w="675"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20</w:t>
            </w:r>
          </w:p>
        </w:tc>
        <w:tc>
          <w:tcPr>
            <w:tcW w:w="4053" w:type="dxa"/>
            <w:vAlign w:val="center"/>
          </w:tcPr>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I/0模件应具有信号隔离、通道间隔离；不同类型的模件（本安与非本安、不同电压等级）不应混用；I/0模件应根据工艺装置、共用工程单元和储运单元或操作区域分别配置；用于控制功能的多通道A0卡应同步冗余，其他用于控制或联锁保护功能的多通道模拟量I/0模件应采用热备或同步冗余。</w:t>
            </w:r>
          </w:p>
        </w:tc>
        <w:tc>
          <w:tcPr>
            <w:tcW w:w="1680"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SH/T 3092-2013</w:t>
            </w:r>
          </w:p>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第7.2条</w:t>
            </w:r>
          </w:p>
        </w:tc>
        <w:tc>
          <w:tcPr>
            <w:tcW w:w="2205" w:type="dxa"/>
            <w:gridSpan w:val="2"/>
            <w:vAlign w:val="center"/>
          </w:tcPr>
          <w:p w:rsidR="004F34D9" w:rsidRPr="00123108" w:rsidRDefault="004F34D9">
            <w:pPr>
              <w:adjustRightInd w:val="0"/>
              <w:snapToGrid w:val="0"/>
              <w:rPr>
                <w:rFonts w:ascii="宋体" w:hAnsi="宋体" w:cs="宋体" w:hint="eastAsia"/>
                <w:kern w:val="0"/>
                <w:szCs w:val="21"/>
              </w:rPr>
            </w:pPr>
            <w:r w:rsidRPr="00123108">
              <w:rPr>
                <w:rFonts w:ascii="宋体" w:hAnsi="宋体" w:cs="宋体" w:hint="eastAsia"/>
                <w:kern w:val="0"/>
                <w:szCs w:val="21"/>
              </w:rPr>
              <w:t>信号在I/0卡件通道内相互隔离，按类别入不同的卡件，带控制信号及连锁信号的卡件冗余配置</w:t>
            </w:r>
          </w:p>
        </w:tc>
        <w:tc>
          <w:tcPr>
            <w:tcW w:w="787"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257"/>
          <w:jc w:val="center"/>
        </w:trPr>
        <w:tc>
          <w:tcPr>
            <w:tcW w:w="675"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21</w:t>
            </w:r>
          </w:p>
        </w:tc>
        <w:tc>
          <w:tcPr>
            <w:tcW w:w="4053" w:type="dxa"/>
            <w:vAlign w:val="center"/>
          </w:tcPr>
          <w:p w:rsidR="004F34D9" w:rsidRPr="00123108" w:rsidRDefault="004F34D9">
            <w:pPr>
              <w:adjustRightInd w:val="0"/>
              <w:snapToGrid w:val="0"/>
              <w:jc w:val="left"/>
              <w:rPr>
                <w:rFonts w:ascii="宋体" w:hAnsi="宋体" w:cs="宋体" w:hint="eastAsia"/>
                <w:kern w:val="0"/>
                <w:szCs w:val="21"/>
              </w:rPr>
            </w:pPr>
            <w:r w:rsidRPr="00123108">
              <w:rPr>
                <w:rFonts w:ascii="宋体" w:hAnsi="宋体" w:cs="宋体" w:hint="eastAsia"/>
                <w:kern w:val="0"/>
                <w:szCs w:val="21"/>
              </w:rPr>
              <w:t>DCS严禁采用无线网络；采用无线网络的控制系统及仪表设备不得接入DCS网络。</w:t>
            </w:r>
          </w:p>
        </w:tc>
        <w:tc>
          <w:tcPr>
            <w:tcW w:w="1680"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SH/T 3092-2013</w:t>
            </w:r>
          </w:p>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第6.1.2条</w:t>
            </w:r>
          </w:p>
        </w:tc>
        <w:tc>
          <w:tcPr>
            <w:tcW w:w="2205" w:type="dxa"/>
            <w:gridSpan w:val="2"/>
            <w:vAlign w:val="center"/>
          </w:tcPr>
          <w:p w:rsidR="004F34D9" w:rsidRPr="00123108" w:rsidRDefault="004F34D9">
            <w:pPr>
              <w:adjustRightInd w:val="0"/>
              <w:snapToGrid w:val="0"/>
              <w:rPr>
                <w:rFonts w:ascii="宋体" w:hAnsi="宋体" w:cs="宋体" w:hint="eastAsia"/>
                <w:kern w:val="0"/>
                <w:szCs w:val="21"/>
              </w:rPr>
            </w:pPr>
            <w:r w:rsidRPr="00123108">
              <w:rPr>
                <w:rFonts w:ascii="宋体" w:hAnsi="宋体" w:cs="宋体" w:hint="eastAsia"/>
                <w:kern w:val="0"/>
                <w:szCs w:val="21"/>
              </w:rPr>
              <w:t>控制系统没有无线网络接入</w:t>
            </w:r>
          </w:p>
        </w:tc>
        <w:tc>
          <w:tcPr>
            <w:tcW w:w="787" w:type="dxa"/>
            <w:vAlign w:val="center"/>
          </w:tcPr>
          <w:p w:rsidR="004F34D9" w:rsidRPr="00123108" w:rsidRDefault="004F34D9">
            <w:pPr>
              <w:adjustRightInd w:val="0"/>
              <w:snapToGrid w:val="0"/>
              <w:jc w:val="center"/>
              <w:rPr>
                <w:rFonts w:ascii="宋体" w:hAnsi="宋体" w:cs="宋体" w:hint="eastAsia"/>
                <w:kern w:val="0"/>
                <w:szCs w:val="21"/>
              </w:rPr>
            </w:pPr>
            <w:r w:rsidRPr="00123108">
              <w:rPr>
                <w:rFonts w:ascii="宋体" w:hAnsi="宋体" w:cs="宋体" w:hint="eastAsia"/>
                <w:kern w:val="0"/>
                <w:szCs w:val="21"/>
              </w:rPr>
              <w:t>符合</w:t>
            </w:r>
          </w:p>
        </w:tc>
      </w:tr>
      <w:tr w:rsidR="00F536D5" w:rsidRPr="00123108" w:rsidTr="00BC0F57">
        <w:trPr>
          <w:trHeight w:val="257"/>
          <w:jc w:val="center"/>
        </w:trPr>
        <w:tc>
          <w:tcPr>
            <w:tcW w:w="9400" w:type="dxa"/>
            <w:gridSpan w:val="6"/>
            <w:vAlign w:val="center"/>
          </w:tcPr>
          <w:p w:rsidR="00F536D5" w:rsidRPr="00123108" w:rsidRDefault="00F536D5">
            <w:pPr>
              <w:adjustRightInd w:val="0"/>
              <w:snapToGrid w:val="0"/>
              <w:jc w:val="center"/>
              <w:rPr>
                <w:rFonts w:ascii="宋体" w:hAnsi="宋体" w:cs="宋体" w:hint="eastAsia"/>
                <w:kern w:val="0"/>
                <w:szCs w:val="21"/>
              </w:rPr>
            </w:pPr>
            <w:r w:rsidRPr="00123108">
              <w:rPr>
                <w:rFonts w:ascii="宋体" w:hAnsi="宋体" w:cs="宋体" w:hint="eastAsia"/>
                <w:kern w:val="0"/>
                <w:szCs w:val="21"/>
              </w:rPr>
              <w:t>三 管理要求</w:t>
            </w:r>
          </w:p>
        </w:tc>
      </w:tr>
      <w:tr w:rsidR="00F536D5" w:rsidRPr="00123108">
        <w:trPr>
          <w:trHeight w:val="257"/>
          <w:jc w:val="center"/>
        </w:trPr>
        <w:tc>
          <w:tcPr>
            <w:tcW w:w="675" w:type="dxa"/>
            <w:vAlign w:val="center"/>
          </w:tcPr>
          <w:p w:rsidR="00F536D5" w:rsidRPr="00123108" w:rsidRDefault="00F536D5">
            <w:pPr>
              <w:adjustRightInd w:val="0"/>
              <w:snapToGrid w:val="0"/>
              <w:jc w:val="center"/>
              <w:rPr>
                <w:rFonts w:ascii="宋体" w:hAnsi="宋体" w:cs="宋体" w:hint="eastAsia"/>
                <w:kern w:val="0"/>
                <w:szCs w:val="21"/>
              </w:rPr>
            </w:pPr>
            <w:r w:rsidRPr="00123108">
              <w:rPr>
                <w:rFonts w:ascii="宋体" w:hAnsi="宋体" w:cs="宋体" w:hint="eastAsia"/>
                <w:kern w:val="0"/>
                <w:szCs w:val="21"/>
              </w:rPr>
              <w:t>22</w:t>
            </w:r>
          </w:p>
        </w:tc>
        <w:tc>
          <w:tcPr>
            <w:tcW w:w="4053" w:type="dxa"/>
            <w:vAlign w:val="center"/>
          </w:tcPr>
          <w:p w:rsidR="00F536D5" w:rsidRPr="00123108" w:rsidRDefault="00F536D5">
            <w:pPr>
              <w:adjustRightInd w:val="0"/>
              <w:snapToGrid w:val="0"/>
              <w:jc w:val="left"/>
              <w:rPr>
                <w:rFonts w:ascii="宋体" w:hAnsi="宋体" w:cs="宋体" w:hint="eastAsia"/>
                <w:kern w:val="0"/>
                <w:szCs w:val="21"/>
              </w:rPr>
            </w:pPr>
            <w:r w:rsidRPr="00123108">
              <w:rPr>
                <w:rFonts w:ascii="宋体" w:hAnsi="宋体" w:cs="宋体" w:hint="eastAsia"/>
                <w:kern w:val="0"/>
                <w:szCs w:val="21"/>
              </w:rPr>
              <w:t>DCS应具备实时响应能力，不允许存在不可接受的延迟和抖动</w:t>
            </w:r>
          </w:p>
        </w:tc>
        <w:tc>
          <w:tcPr>
            <w:tcW w:w="1680" w:type="dxa"/>
            <w:vAlign w:val="center"/>
          </w:tcPr>
          <w:p w:rsidR="00F536D5" w:rsidRPr="00123108" w:rsidRDefault="00F536D5">
            <w:pPr>
              <w:adjustRightInd w:val="0"/>
              <w:snapToGrid w:val="0"/>
              <w:jc w:val="center"/>
              <w:rPr>
                <w:rFonts w:ascii="宋体" w:hAnsi="宋体" w:cs="宋体" w:hint="eastAsia"/>
                <w:kern w:val="0"/>
                <w:szCs w:val="21"/>
              </w:rPr>
            </w:pPr>
            <w:r w:rsidRPr="00123108">
              <w:rPr>
                <w:rFonts w:ascii="宋体" w:hAnsi="宋体" w:cs="宋体" w:hint="eastAsia"/>
                <w:kern w:val="0"/>
                <w:szCs w:val="21"/>
              </w:rPr>
              <w:t>GB/T 33009.2-2016</w:t>
            </w:r>
          </w:p>
          <w:p w:rsidR="00F536D5" w:rsidRPr="00123108" w:rsidRDefault="00F536D5">
            <w:pPr>
              <w:adjustRightInd w:val="0"/>
              <w:snapToGrid w:val="0"/>
              <w:jc w:val="center"/>
              <w:rPr>
                <w:rFonts w:ascii="宋体" w:hAnsi="宋体" w:cs="宋体" w:hint="eastAsia"/>
                <w:kern w:val="0"/>
                <w:szCs w:val="21"/>
              </w:rPr>
            </w:pPr>
            <w:r w:rsidRPr="00123108">
              <w:rPr>
                <w:rFonts w:ascii="宋体" w:hAnsi="宋体" w:cs="宋体" w:hint="eastAsia"/>
                <w:kern w:val="0"/>
                <w:szCs w:val="21"/>
              </w:rPr>
              <w:t>第4.1.2.1条</w:t>
            </w:r>
          </w:p>
        </w:tc>
        <w:tc>
          <w:tcPr>
            <w:tcW w:w="2205" w:type="dxa"/>
            <w:gridSpan w:val="2"/>
            <w:vAlign w:val="center"/>
          </w:tcPr>
          <w:p w:rsidR="00F536D5" w:rsidRPr="00123108" w:rsidRDefault="00F536D5">
            <w:pPr>
              <w:adjustRightInd w:val="0"/>
              <w:snapToGrid w:val="0"/>
              <w:rPr>
                <w:rFonts w:ascii="宋体" w:hAnsi="宋体" w:cs="宋体" w:hint="eastAsia"/>
                <w:kern w:val="0"/>
                <w:szCs w:val="21"/>
              </w:rPr>
            </w:pPr>
            <w:r w:rsidRPr="00123108">
              <w:rPr>
                <w:rFonts w:ascii="宋体" w:hAnsi="宋体" w:cs="宋体" w:hint="eastAsia"/>
                <w:kern w:val="0"/>
                <w:szCs w:val="21"/>
              </w:rPr>
              <w:t>DCS系统具有实时响应能力</w:t>
            </w:r>
          </w:p>
        </w:tc>
        <w:tc>
          <w:tcPr>
            <w:tcW w:w="787" w:type="dxa"/>
            <w:vAlign w:val="center"/>
          </w:tcPr>
          <w:p w:rsidR="00F536D5" w:rsidRPr="00123108" w:rsidRDefault="00F536D5">
            <w:pPr>
              <w:adjustRightInd w:val="0"/>
              <w:snapToGrid w:val="0"/>
              <w:jc w:val="center"/>
              <w:rPr>
                <w:rFonts w:ascii="宋体" w:hAnsi="宋体" w:cs="宋体" w:hint="eastAsia"/>
                <w:kern w:val="0"/>
                <w:szCs w:val="21"/>
              </w:rPr>
            </w:pPr>
            <w:r w:rsidRPr="00123108">
              <w:rPr>
                <w:rFonts w:ascii="宋体" w:hAnsi="宋体" w:cs="宋体" w:hint="eastAsia"/>
                <w:kern w:val="0"/>
                <w:szCs w:val="21"/>
              </w:rPr>
              <w:t>符合</w:t>
            </w:r>
          </w:p>
        </w:tc>
      </w:tr>
      <w:tr w:rsidR="00F536D5" w:rsidRPr="00123108">
        <w:trPr>
          <w:trHeight w:val="257"/>
          <w:jc w:val="center"/>
        </w:trPr>
        <w:tc>
          <w:tcPr>
            <w:tcW w:w="675" w:type="dxa"/>
            <w:vAlign w:val="center"/>
          </w:tcPr>
          <w:p w:rsidR="00F536D5" w:rsidRPr="00123108" w:rsidRDefault="00F536D5">
            <w:pPr>
              <w:adjustRightInd w:val="0"/>
              <w:snapToGrid w:val="0"/>
              <w:jc w:val="center"/>
              <w:rPr>
                <w:rFonts w:ascii="宋体" w:hAnsi="宋体" w:cs="宋体" w:hint="eastAsia"/>
                <w:kern w:val="0"/>
                <w:szCs w:val="21"/>
              </w:rPr>
            </w:pPr>
            <w:r w:rsidRPr="00123108">
              <w:rPr>
                <w:rFonts w:ascii="宋体" w:hAnsi="宋体" w:cs="宋体" w:hint="eastAsia"/>
                <w:kern w:val="0"/>
                <w:szCs w:val="21"/>
              </w:rPr>
              <w:t>23</w:t>
            </w:r>
          </w:p>
        </w:tc>
        <w:tc>
          <w:tcPr>
            <w:tcW w:w="4053" w:type="dxa"/>
            <w:vAlign w:val="center"/>
          </w:tcPr>
          <w:p w:rsidR="00F536D5" w:rsidRPr="00123108" w:rsidRDefault="00F536D5">
            <w:pPr>
              <w:adjustRightInd w:val="0"/>
              <w:snapToGrid w:val="0"/>
              <w:jc w:val="left"/>
              <w:rPr>
                <w:rFonts w:ascii="宋体" w:hAnsi="宋体" w:cs="宋体" w:hint="eastAsia"/>
                <w:kern w:val="0"/>
                <w:szCs w:val="21"/>
              </w:rPr>
            </w:pPr>
            <w:r w:rsidRPr="00123108">
              <w:rPr>
                <w:rFonts w:ascii="宋体" w:hAnsi="宋体" w:cs="宋体" w:hint="eastAsia"/>
                <w:kern w:val="0"/>
                <w:szCs w:val="21"/>
              </w:rPr>
              <w:t>DCS具有高可用要求，一般不允许重启系统，所以部署前需要详尽的测试，在生产过程中的中断操作需要提前计划</w:t>
            </w:r>
          </w:p>
        </w:tc>
        <w:tc>
          <w:tcPr>
            <w:tcW w:w="1680" w:type="dxa"/>
            <w:vAlign w:val="center"/>
          </w:tcPr>
          <w:p w:rsidR="00F536D5" w:rsidRPr="00123108" w:rsidRDefault="00F536D5" w:rsidP="00F536D5">
            <w:pPr>
              <w:adjustRightInd w:val="0"/>
              <w:snapToGrid w:val="0"/>
              <w:jc w:val="center"/>
              <w:rPr>
                <w:rFonts w:ascii="宋体" w:hAnsi="宋体" w:cs="宋体" w:hint="eastAsia"/>
                <w:kern w:val="0"/>
                <w:szCs w:val="21"/>
              </w:rPr>
            </w:pPr>
            <w:r w:rsidRPr="00123108">
              <w:rPr>
                <w:rFonts w:ascii="宋体" w:hAnsi="宋体" w:cs="宋体" w:hint="eastAsia"/>
                <w:kern w:val="0"/>
                <w:szCs w:val="21"/>
              </w:rPr>
              <w:t>GB/T 33009.2-2016</w:t>
            </w:r>
          </w:p>
          <w:p w:rsidR="00F536D5" w:rsidRPr="00123108" w:rsidRDefault="00F536D5" w:rsidP="00F536D5">
            <w:pPr>
              <w:adjustRightInd w:val="0"/>
              <w:snapToGrid w:val="0"/>
              <w:jc w:val="center"/>
              <w:rPr>
                <w:rFonts w:ascii="宋体" w:hAnsi="宋体" w:cs="宋体" w:hint="eastAsia"/>
                <w:kern w:val="0"/>
                <w:szCs w:val="21"/>
              </w:rPr>
            </w:pPr>
            <w:r w:rsidRPr="00123108">
              <w:rPr>
                <w:rFonts w:ascii="宋体" w:hAnsi="宋体" w:cs="宋体" w:hint="eastAsia"/>
                <w:kern w:val="0"/>
                <w:szCs w:val="21"/>
              </w:rPr>
              <w:t>第4.1.2.2条</w:t>
            </w:r>
          </w:p>
        </w:tc>
        <w:tc>
          <w:tcPr>
            <w:tcW w:w="2205" w:type="dxa"/>
            <w:gridSpan w:val="2"/>
            <w:vAlign w:val="center"/>
          </w:tcPr>
          <w:p w:rsidR="00F536D5" w:rsidRPr="00123108" w:rsidRDefault="00F536D5">
            <w:pPr>
              <w:adjustRightInd w:val="0"/>
              <w:snapToGrid w:val="0"/>
              <w:rPr>
                <w:rFonts w:ascii="宋体" w:hAnsi="宋体" w:cs="宋体" w:hint="eastAsia"/>
                <w:kern w:val="0"/>
                <w:szCs w:val="21"/>
              </w:rPr>
            </w:pPr>
            <w:r w:rsidRPr="00123108">
              <w:rPr>
                <w:rFonts w:ascii="宋体" w:hAnsi="宋体" w:cs="宋体" w:hint="eastAsia"/>
                <w:kern w:val="0"/>
                <w:szCs w:val="21"/>
              </w:rPr>
              <w:t>自控系统由浙大中控根据企业需要设计完成，根据生产需要提前安全计划</w:t>
            </w:r>
          </w:p>
        </w:tc>
        <w:tc>
          <w:tcPr>
            <w:tcW w:w="787" w:type="dxa"/>
            <w:vAlign w:val="center"/>
          </w:tcPr>
          <w:p w:rsidR="00F536D5" w:rsidRPr="00123108" w:rsidRDefault="00F536D5">
            <w:pPr>
              <w:adjustRightInd w:val="0"/>
              <w:snapToGrid w:val="0"/>
              <w:jc w:val="center"/>
              <w:rPr>
                <w:rFonts w:ascii="宋体" w:hAnsi="宋体" w:cs="宋体" w:hint="eastAsia"/>
                <w:kern w:val="0"/>
                <w:szCs w:val="21"/>
              </w:rPr>
            </w:pPr>
            <w:r w:rsidRPr="00123108">
              <w:rPr>
                <w:rFonts w:ascii="宋体" w:hAnsi="宋体" w:cs="宋体" w:hint="eastAsia"/>
                <w:kern w:val="0"/>
                <w:szCs w:val="21"/>
              </w:rPr>
              <w:t>符合</w:t>
            </w:r>
          </w:p>
        </w:tc>
      </w:tr>
      <w:tr w:rsidR="00F536D5" w:rsidRPr="00123108">
        <w:trPr>
          <w:trHeight w:val="257"/>
          <w:jc w:val="center"/>
        </w:trPr>
        <w:tc>
          <w:tcPr>
            <w:tcW w:w="675" w:type="dxa"/>
            <w:vAlign w:val="center"/>
          </w:tcPr>
          <w:p w:rsidR="00F536D5" w:rsidRPr="00123108" w:rsidRDefault="00F536D5">
            <w:pPr>
              <w:adjustRightInd w:val="0"/>
              <w:snapToGrid w:val="0"/>
              <w:jc w:val="center"/>
              <w:rPr>
                <w:rFonts w:ascii="宋体" w:hAnsi="宋体" w:cs="宋体" w:hint="eastAsia"/>
                <w:kern w:val="0"/>
                <w:szCs w:val="21"/>
              </w:rPr>
            </w:pPr>
            <w:r w:rsidRPr="00123108">
              <w:rPr>
                <w:rFonts w:ascii="宋体" w:hAnsi="宋体" w:cs="宋体" w:hint="eastAsia"/>
                <w:kern w:val="0"/>
                <w:szCs w:val="21"/>
              </w:rPr>
              <w:t>24</w:t>
            </w:r>
          </w:p>
        </w:tc>
        <w:tc>
          <w:tcPr>
            <w:tcW w:w="4053" w:type="dxa"/>
            <w:vAlign w:val="center"/>
          </w:tcPr>
          <w:p w:rsidR="00F536D5" w:rsidRPr="00123108" w:rsidRDefault="001349AD">
            <w:pPr>
              <w:adjustRightInd w:val="0"/>
              <w:snapToGrid w:val="0"/>
              <w:jc w:val="left"/>
              <w:rPr>
                <w:rFonts w:ascii="宋体" w:hAnsi="宋体" w:cs="宋体" w:hint="eastAsia"/>
                <w:kern w:val="0"/>
                <w:szCs w:val="21"/>
              </w:rPr>
            </w:pPr>
            <w:r w:rsidRPr="00123108">
              <w:rPr>
                <w:rFonts w:ascii="宋体" w:hAnsi="宋体" w:cs="宋体" w:hint="eastAsia"/>
                <w:kern w:val="0"/>
                <w:szCs w:val="21"/>
              </w:rPr>
              <w:t>DCS具有安全性要求，DCS一般部署在重要的生产领域，系统不允许出现安全事故</w:t>
            </w:r>
          </w:p>
        </w:tc>
        <w:tc>
          <w:tcPr>
            <w:tcW w:w="1680" w:type="dxa"/>
            <w:vAlign w:val="center"/>
          </w:tcPr>
          <w:p w:rsidR="001349AD" w:rsidRPr="00123108" w:rsidRDefault="001349AD" w:rsidP="001349AD">
            <w:pPr>
              <w:adjustRightInd w:val="0"/>
              <w:snapToGrid w:val="0"/>
              <w:jc w:val="center"/>
              <w:rPr>
                <w:rFonts w:ascii="宋体" w:hAnsi="宋体" w:cs="宋体" w:hint="eastAsia"/>
                <w:kern w:val="0"/>
                <w:szCs w:val="21"/>
              </w:rPr>
            </w:pPr>
            <w:r w:rsidRPr="00123108">
              <w:rPr>
                <w:rFonts w:ascii="宋体" w:hAnsi="宋体" w:cs="宋体" w:hint="eastAsia"/>
                <w:kern w:val="0"/>
                <w:szCs w:val="21"/>
              </w:rPr>
              <w:t>GB/T 33009.2-2016</w:t>
            </w:r>
          </w:p>
          <w:p w:rsidR="00F536D5" w:rsidRPr="00123108" w:rsidRDefault="001349AD" w:rsidP="001349AD">
            <w:pPr>
              <w:adjustRightInd w:val="0"/>
              <w:snapToGrid w:val="0"/>
              <w:jc w:val="center"/>
              <w:rPr>
                <w:rFonts w:ascii="宋体" w:hAnsi="宋体" w:cs="宋体" w:hint="eastAsia"/>
                <w:kern w:val="0"/>
                <w:szCs w:val="21"/>
              </w:rPr>
            </w:pPr>
            <w:r w:rsidRPr="00123108">
              <w:rPr>
                <w:rFonts w:ascii="宋体" w:hAnsi="宋体" w:cs="宋体" w:hint="eastAsia"/>
                <w:kern w:val="0"/>
                <w:szCs w:val="21"/>
              </w:rPr>
              <w:t>第4.1.2.3条</w:t>
            </w:r>
          </w:p>
        </w:tc>
        <w:tc>
          <w:tcPr>
            <w:tcW w:w="2205" w:type="dxa"/>
            <w:gridSpan w:val="2"/>
            <w:vAlign w:val="center"/>
          </w:tcPr>
          <w:p w:rsidR="00F536D5" w:rsidRPr="00123108" w:rsidRDefault="001349AD" w:rsidP="001349AD">
            <w:pPr>
              <w:adjustRightInd w:val="0"/>
              <w:snapToGrid w:val="0"/>
              <w:rPr>
                <w:rFonts w:ascii="宋体" w:hAnsi="宋体" w:cs="宋体" w:hint="eastAsia"/>
                <w:kern w:val="0"/>
                <w:szCs w:val="21"/>
              </w:rPr>
            </w:pPr>
            <w:r w:rsidRPr="00123108">
              <w:rPr>
                <w:rFonts w:ascii="宋体" w:hAnsi="宋体" w:cs="宋体" w:hint="eastAsia"/>
                <w:kern w:val="0"/>
                <w:szCs w:val="21"/>
              </w:rPr>
              <w:t>生产装置、罐区等重要领域设置DCS系统</w:t>
            </w:r>
          </w:p>
        </w:tc>
        <w:tc>
          <w:tcPr>
            <w:tcW w:w="787" w:type="dxa"/>
            <w:vAlign w:val="center"/>
          </w:tcPr>
          <w:p w:rsidR="00F536D5" w:rsidRPr="00123108" w:rsidRDefault="001349AD">
            <w:pPr>
              <w:adjustRightInd w:val="0"/>
              <w:snapToGrid w:val="0"/>
              <w:jc w:val="center"/>
              <w:rPr>
                <w:rFonts w:ascii="宋体" w:hAnsi="宋体" w:cs="宋体" w:hint="eastAsia"/>
                <w:kern w:val="0"/>
                <w:szCs w:val="21"/>
              </w:rPr>
            </w:pPr>
            <w:r w:rsidRPr="00123108">
              <w:rPr>
                <w:rFonts w:ascii="宋体" w:hAnsi="宋体" w:cs="宋体" w:hint="eastAsia"/>
                <w:kern w:val="0"/>
                <w:szCs w:val="21"/>
              </w:rPr>
              <w:t>符合</w:t>
            </w:r>
          </w:p>
        </w:tc>
      </w:tr>
      <w:tr w:rsidR="00F536D5" w:rsidRPr="00123108">
        <w:trPr>
          <w:trHeight w:val="257"/>
          <w:jc w:val="center"/>
        </w:trPr>
        <w:tc>
          <w:tcPr>
            <w:tcW w:w="675" w:type="dxa"/>
            <w:vAlign w:val="center"/>
          </w:tcPr>
          <w:p w:rsidR="00F536D5" w:rsidRPr="00123108" w:rsidRDefault="00F536D5">
            <w:pPr>
              <w:adjustRightInd w:val="0"/>
              <w:snapToGrid w:val="0"/>
              <w:jc w:val="center"/>
              <w:rPr>
                <w:rFonts w:ascii="宋体" w:hAnsi="宋体" w:cs="宋体" w:hint="eastAsia"/>
                <w:kern w:val="0"/>
                <w:szCs w:val="21"/>
              </w:rPr>
            </w:pPr>
            <w:r w:rsidRPr="00123108">
              <w:rPr>
                <w:rFonts w:ascii="宋体" w:hAnsi="宋体" w:cs="宋体" w:hint="eastAsia"/>
                <w:kern w:val="0"/>
                <w:szCs w:val="21"/>
              </w:rPr>
              <w:t>25</w:t>
            </w:r>
          </w:p>
        </w:tc>
        <w:tc>
          <w:tcPr>
            <w:tcW w:w="4053" w:type="dxa"/>
            <w:vAlign w:val="center"/>
          </w:tcPr>
          <w:p w:rsidR="00F536D5" w:rsidRPr="00123108" w:rsidRDefault="001349AD">
            <w:pPr>
              <w:adjustRightInd w:val="0"/>
              <w:snapToGrid w:val="0"/>
              <w:jc w:val="left"/>
              <w:rPr>
                <w:rFonts w:ascii="宋体" w:hAnsi="宋体" w:cs="宋体" w:hint="eastAsia"/>
                <w:kern w:val="0"/>
                <w:szCs w:val="21"/>
              </w:rPr>
            </w:pPr>
            <w:r w:rsidRPr="00123108">
              <w:rPr>
                <w:rFonts w:ascii="宋体" w:hAnsi="宋体" w:cs="宋体" w:hint="eastAsia"/>
                <w:kern w:val="0"/>
                <w:szCs w:val="21"/>
              </w:rPr>
              <w:t>DCS具有完整性要求，不允许未授权用户或者恶意程序对信息和数据的修改</w:t>
            </w:r>
          </w:p>
        </w:tc>
        <w:tc>
          <w:tcPr>
            <w:tcW w:w="1680" w:type="dxa"/>
            <w:vAlign w:val="center"/>
          </w:tcPr>
          <w:p w:rsidR="001349AD" w:rsidRPr="00123108" w:rsidRDefault="001349AD" w:rsidP="001349AD">
            <w:pPr>
              <w:adjustRightInd w:val="0"/>
              <w:snapToGrid w:val="0"/>
              <w:jc w:val="center"/>
              <w:rPr>
                <w:rFonts w:ascii="宋体" w:hAnsi="宋体" w:cs="宋体" w:hint="eastAsia"/>
                <w:kern w:val="0"/>
                <w:szCs w:val="21"/>
              </w:rPr>
            </w:pPr>
            <w:r w:rsidRPr="00123108">
              <w:rPr>
                <w:rFonts w:ascii="宋体" w:hAnsi="宋体" w:cs="宋体" w:hint="eastAsia"/>
                <w:kern w:val="0"/>
                <w:szCs w:val="21"/>
              </w:rPr>
              <w:t>GB/T 33009.2-2016</w:t>
            </w:r>
          </w:p>
          <w:p w:rsidR="00F536D5" w:rsidRPr="00123108" w:rsidRDefault="001349AD" w:rsidP="001349AD">
            <w:pPr>
              <w:adjustRightInd w:val="0"/>
              <w:snapToGrid w:val="0"/>
              <w:jc w:val="center"/>
              <w:rPr>
                <w:rFonts w:ascii="宋体" w:hAnsi="宋体" w:cs="宋体" w:hint="eastAsia"/>
                <w:kern w:val="0"/>
                <w:szCs w:val="21"/>
              </w:rPr>
            </w:pPr>
            <w:r w:rsidRPr="00123108">
              <w:rPr>
                <w:rFonts w:ascii="宋体" w:hAnsi="宋体" w:cs="宋体" w:hint="eastAsia"/>
                <w:kern w:val="0"/>
                <w:szCs w:val="21"/>
              </w:rPr>
              <w:t>第4.1.2.4条</w:t>
            </w:r>
          </w:p>
        </w:tc>
        <w:tc>
          <w:tcPr>
            <w:tcW w:w="2205" w:type="dxa"/>
            <w:gridSpan w:val="2"/>
            <w:vAlign w:val="center"/>
          </w:tcPr>
          <w:p w:rsidR="00F536D5" w:rsidRPr="00123108" w:rsidRDefault="001349AD" w:rsidP="001349AD">
            <w:pPr>
              <w:adjustRightInd w:val="0"/>
              <w:snapToGrid w:val="0"/>
              <w:rPr>
                <w:rFonts w:ascii="宋体" w:hAnsi="宋体" w:cs="宋体" w:hint="eastAsia"/>
                <w:kern w:val="0"/>
                <w:szCs w:val="21"/>
              </w:rPr>
            </w:pPr>
            <w:r w:rsidRPr="00123108">
              <w:rPr>
                <w:rFonts w:ascii="宋体" w:hAnsi="宋体" w:cs="宋体" w:hint="eastAsia"/>
                <w:kern w:val="0"/>
                <w:szCs w:val="21"/>
              </w:rPr>
              <w:t>有相关制度要求程序修改权限</w:t>
            </w:r>
          </w:p>
        </w:tc>
        <w:tc>
          <w:tcPr>
            <w:tcW w:w="787" w:type="dxa"/>
            <w:vAlign w:val="center"/>
          </w:tcPr>
          <w:p w:rsidR="00F536D5" w:rsidRPr="00123108" w:rsidRDefault="001349AD">
            <w:pPr>
              <w:adjustRightInd w:val="0"/>
              <w:snapToGrid w:val="0"/>
              <w:jc w:val="center"/>
              <w:rPr>
                <w:rFonts w:ascii="宋体" w:hAnsi="宋体" w:cs="宋体" w:hint="eastAsia"/>
                <w:kern w:val="0"/>
                <w:szCs w:val="21"/>
              </w:rPr>
            </w:pPr>
            <w:r w:rsidRPr="00123108">
              <w:rPr>
                <w:rFonts w:ascii="宋体" w:hAnsi="宋体" w:cs="宋体" w:hint="eastAsia"/>
                <w:kern w:val="0"/>
                <w:szCs w:val="21"/>
              </w:rPr>
              <w:t>符合</w:t>
            </w:r>
          </w:p>
        </w:tc>
      </w:tr>
    </w:tbl>
    <w:p w:rsidR="004F34D9" w:rsidRPr="00123108" w:rsidRDefault="004F34D9">
      <w:pPr>
        <w:adjustRightInd w:val="0"/>
        <w:snapToGrid w:val="0"/>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小结：新桥化工采用的自动控制系统，</w:t>
      </w:r>
      <w:r w:rsidRPr="00123108">
        <w:rPr>
          <w:rFonts w:ascii="宋体" w:hAnsi="宋体" w:cs="宋体" w:hint="eastAsia"/>
          <w:kern w:val="0"/>
          <w:sz w:val="28"/>
          <w:szCs w:val="28"/>
        </w:rPr>
        <w:t>仪表的综合管理已建立相关管理制度；工艺过程的控制、检测、操作、报警、数据和事件记录、数据存储等均在DCS中；涉及“两重点一重大”的工艺装置已经进行了HAZOP分析及SIL评估，按需求配置了独立安全联锁系统。</w:t>
      </w:r>
    </w:p>
    <w:p w:rsidR="004F34D9" w:rsidRPr="00123108" w:rsidRDefault="004F34D9">
      <w:pPr>
        <w:snapToGrid w:val="0"/>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存在问题：</w:t>
      </w:r>
      <w:r w:rsidRPr="00123108">
        <w:rPr>
          <w:rFonts w:ascii="宋体" w:hAnsi="宋体" w:hint="eastAsia"/>
          <w:sz w:val="28"/>
          <w:szCs w:val="28"/>
        </w:rPr>
        <w:t>SIS回路：PID上联锁回路未体现联锁开</w:t>
      </w:r>
      <w:r w:rsidRPr="00123108">
        <w:rPr>
          <w:rFonts w:ascii="宋体" w:hAnsi="宋体" w:cs="Arial"/>
          <w:sz w:val="28"/>
          <w:szCs w:val="28"/>
        </w:rPr>
        <w:t>SOV201A</w:t>
      </w:r>
      <w:r w:rsidRPr="00123108">
        <w:rPr>
          <w:rFonts w:ascii="宋体" w:hAnsi="宋体" w:cs="Arial" w:hint="eastAsia"/>
          <w:sz w:val="28"/>
          <w:szCs w:val="28"/>
        </w:rPr>
        <w:t>/B。 PID上有两个温度测量，SIS组态程序未明确温度信号是取TT201A还是TT201B</w:t>
      </w:r>
      <w:r w:rsidRPr="00123108">
        <w:rPr>
          <w:rFonts w:ascii="宋体" w:hAnsi="宋体" w:hint="eastAsia"/>
          <w:sz w:val="28"/>
          <w:szCs w:val="28"/>
        </w:rPr>
        <w:t>。</w:t>
      </w:r>
    </w:p>
    <w:p w:rsidR="004F34D9" w:rsidRPr="00123108" w:rsidRDefault="004F34D9" w:rsidP="00E36E64">
      <w:pPr>
        <w:pStyle w:val="2"/>
        <w:spacing w:line="500" w:lineRule="exact"/>
        <w:jc w:val="both"/>
        <w:rPr>
          <w:rFonts w:ascii="宋体" w:eastAsia="宋体" w:cs="宋体" w:hint="eastAsia"/>
          <w:sz w:val="28"/>
          <w:szCs w:val="28"/>
        </w:rPr>
      </w:pPr>
      <w:bookmarkStart w:id="1772" w:name="_Toc3127"/>
      <w:bookmarkStart w:id="1773" w:name="_Toc190935909"/>
      <w:r w:rsidRPr="00123108">
        <w:rPr>
          <w:rFonts w:ascii="宋体" w:eastAsia="宋体" w:cs="宋体" w:hint="eastAsia"/>
          <w:sz w:val="28"/>
          <w:szCs w:val="28"/>
        </w:rPr>
        <w:t>附件2.6 职业危害</w:t>
      </w:r>
      <w:bookmarkEnd w:id="1772"/>
      <w:r w:rsidRPr="00123108">
        <w:rPr>
          <w:rFonts w:ascii="宋体" w:eastAsia="宋体" w:cs="宋体" w:hint="eastAsia"/>
          <w:sz w:val="28"/>
          <w:szCs w:val="28"/>
        </w:rPr>
        <w:t>评价</w:t>
      </w:r>
      <w:bookmarkEnd w:id="1773"/>
    </w:p>
    <w:p w:rsidR="004F34D9" w:rsidRPr="00123108" w:rsidRDefault="004F34D9">
      <w:pPr>
        <w:spacing w:line="500" w:lineRule="exact"/>
        <w:ind w:firstLineChars="200" w:firstLine="560"/>
        <w:rPr>
          <w:rFonts w:ascii="宋体" w:hAnsi="宋体" w:hint="eastAsia"/>
          <w:sz w:val="28"/>
          <w:szCs w:val="28"/>
        </w:rPr>
      </w:pPr>
      <w:bookmarkStart w:id="1774" w:name="_Toc344125713"/>
      <w:bookmarkStart w:id="1775" w:name="_Toc185918050"/>
      <w:bookmarkStart w:id="1776" w:name="_Toc18419461"/>
      <w:bookmarkStart w:id="1777" w:name="_Toc230773747"/>
      <w:r w:rsidRPr="00123108">
        <w:rPr>
          <w:rFonts w:ascii="宋体" w:hAnsi="宋体" w:hint="eastAsia"/>
          <w:sz w:val="28"/>
          <w:szCs w:val="28"/>
        </w:rPr>
        <w:t>（1）毒物防护措施评价</w:t>
      </w:r>
      <w:bookmarkEnd w:id="1774"/>
      <w:bookmarkEnd w:id="1775"/>
      <w:bookmarkEnd w:id="1776"/>
      <w:bookmarkEnd w:id="1777"/>
    </w:p>
    <w:p w:rsidR="004F34D9" w:rsidRPr="00123108" w:rsidRDefault="004F34D9">
      <w:pPr>
        <w:spacing w:line="500" w:lineRule="exact"/>
        <w:ind w:firstLineChars="200" w:firstLine="560"/>
        <w:rPr>
          <w:rFonts w:ascii="宋体" w:hAnsi="宋体" w:hint="eastAsia"/>
          <w:sz w:val="28"/>
          <w:szCs w:val="28"/>
        </w:rPr>
      </w:pPr>
      <w:r w:rsidRPr="00123108">
        <w:rPr>
          <w:rFonts w:ascii="宋体" w:hAnsi="宋体" w:hint="eastAsia"/>
          <w:sz w:val="28"/>
          <w:szCs w:val="28"/>
        </w:rPr>
        <w:t>生产过程虽为密闭自动化控制操作，但在操作和检修过程中不可避免地</w:t>
      </w:r>
      <w:r w:rsidRPr="00123108">
        <w:rPr>
          <w:rFonts w:ascii="宋体" w:hAnsi="宋体" w:hint="eastAsia"/>
          <w:sz w:val="28"/>
          <w:szCs w:val="28"/>
        </w:rPr>
        <w:lastRenderedPageBreak/>
        <w:t>会接触到有毒物质，对作业人员的身体健康造成危害。</w:t>
      </w:r>
    </w:p>
    <w:p w:rsidR="004F34D9" w:rsidRPr="00123108" w:rsidRDefault="004F34D9">
      <w:pPr>
        <w:spacing w:line="500" w:lineRule="exact"/>
        <w:ind w:firstLineChars="200" w:firstLine="560"/>
        <w:rPr>
          <w:rFonts w:ascii="宋体" w:hAnsi="宋体" w:hint="eastAsia"/>
          <w:sz w:val="28"/>
          <w:szCs w:val="28"/>
        </w:rPr>
      </w:pPr>
      <w:r w:rsidRPr="00123108">
        <w:rPr>
          <w:rFonts w:ascii="宋体" w:hAnsi="宋体" w:hint="eastAsia"/>
          <w:sz w:val="28"/>
          <w:szCs w:val="28"/>
        </w:rPr>
        <w:t>本项目采取的防毒措施有：车间通风良好，并设有强制通风设施，不易产生有害气体的积聚，减少了中毒、火灾和爆炸的危险。同时，</w:t>
      </w:r>
      <w:r w:rsidRPr="00123108">
        <w:rPr>
          <w:rFonts w:ascii="宋体" w:hAnsi="宋体"/>
          <w:sz w:val="28"/>
          <w:szCs w:val="28"/>
        </w:rPr>
        <w:t>作业场所</w:t>
      </w:r>
      <w:r w:rsidRPr="00123108">
        <w:rPr>
          <w:rFonts w:ascii="宋体" w:hAnsi="宋体" w:hint="eastAsia"/>
          <w:sz w:val="28"/>
          <w:szCs w:val="28"/>
        </w:rPr>
        <w:t>设置喷淋洗眼器。配置相关安全防护用品，如便携式气体检测仪、空气呼吸器、简易过滤式防毒口罩、化学防护服等，并加强员工培训，使其能够正确使用相关安全防护用品。设备检修和事故处理时，操作人员在进入作业场所必须佩戴相应的安全防护用品，并按操作规程进行操作。在醒目区域设置</w:t>
      </w:r>
      <w:r w:rsidRPr="00123108">
        <w:rPr>
          <w:rFonts w:ascii="宋体" w:hAnsi="宋体"/>
          <w:sz w:val="28"/>
          <w:szCs w:val="28"/>
        </w:rPr>
        <w:t>带有危险、有毒、窒息性等信息的危险化学品周知卡</w:t>
      </w:r>
      <w:r w:rsidRPr="00123108">
        <w:rPr>
          <w:rFonts w:ascii="宋体" w:hAnsi="宋体" w:hint="eastAsia"/>
          <w:sz w:val="28"/>
          <w:szCs w:val="28"/>
        </w:rPr>
        <w:t>。</w:t>
      </w:r>
      <w:bookmarkStart w:id="1778" w:name="_Toc185918051"/>
      <w:bookmarkStart w:id="1779" w:name="_Toc230773748"/>
      <w:bookmarkStart w:id="1780" w:name="_Toc344125714"/>
      <w:r w:rsidRPr="00123108">
        <w:rPr>
          <w:rFonts w:ascii="宋体" w:hAnsi="宋体" w:hint="eastAsia"/>
          <w:sz w:val="28"/>
          <w:szCs w:val="28"/>
        </w:rPr>
        <w:t>厂区设置了4个风向标，便于发生事故时确定撤离方向。</w:t>
      </w:r>
    </w:p>
    <w:p w:rsidR="004F34D9" w:rsidRPr="00123108" w:rsidRDefault="004F34D9">
      <w:pPr>
        <w:spacing w:line="500" w:lineRule="exact"/>
        <w:ind w:firstLineChars="200" w:firstLine="560"/>
        <w:rPr>
          <w:rFonts w:ascii="宋体" w:hAnsi="宋体" w:hint="eastAsia"/>
          <w:sz w:val="28"/>
          <w:szCs w:val="28"/>
        </w:rPr>
      </w:pPr>
      <w:r w:rsidRPr="00123108">
        <w:rPr>
          <w:rFonts w:ascii="宋体" w:hAnsi="宋体" w:hint="eastAsia"/>
          <w:sz w:val="28"/>
          <w:szCs w:val="28"/>
        </w:rPr>
        <w:t>依法参加工伤保险、安全生产责任险，并每年组织一次职业健康体检，建立职工健康档案。最近的一次职业健康检查时间是2023年11月，检查医院是宁波北仑大碶凯尔医院，编号：宁波北仑大碶凯尔医院职检字第20220375-21号，体检类别为：在岗期间。本次职业健康检查受检人数61人，发现职业禁忌症0人，疑似职业病0人。</w:t>
      </w:r>
    </w:p>
    <w:p w:rsidR="004F34D9" w:rsidRPr="00123108" w:rsidRDefault="004F34D9">
      <w:pPr>
        <w:spacing w:line="500" w:lineRule="exact"/>
        <w:ind w:firstLineChars="200" w:firstLine="560"/>
        <w:rPr>
          <w:rFonts w:ascii="宋体" w:hAnsi="宋体" w:hint="eastAsia"/>
          <w:sz w:val="28"/>
          <w:szCs w:val="28"/>
        </w:rPr>
      </w:pPr>
      <w:r w:rsidRPr="00123108">
        <w:rPr>
          <w:rFonts w:ascii="宋体" w:hAnsi="宋体" w:hint="eastAsia"/>
          <w:sz w:val="28"/>
          <w:szCs w:val="28"/>
        </w:rPr>
        <w:t>工伤保险费、职业健康检查报告书代表样张详见附件5。</w:t>
      </w:r>
    </w:p>
    <w:p w:rsidR="004F34D9" w:rsidRPr="00123108" w:rsidRDefault="004F34D9">
      <w:pPr>
        <w:spacing w:line="500" w:lineRule="exact"/>
        <w:ind w:firstLineChars="200" w:firstLine="560"/>
        <w:rPr>
          <w:rFonts w:ascii="宋体" w:hAnsi="宋体" w:hint="eastAsia"/>
          <w:sz w:val="28"/>
          <w:szCs w:val="28"/>
        </w:rPr>
      </w:pPr>
      <w:r w:rsidRPr="00123108">
        <w:rPr>
          <w:rFonts w:ascii="宋体" w:hAnsi="宋体" w:hint="eastAsia"/>
          <w:sz w:val="28"/>
          <w:szCs w:val="28"/>
        </w:rPr>
        <w:t>通过采取一系列防毒措施后，操作人员接触毒物浓度能控制在国家规定的最高允许浓度以下，可以达到安全作业。</w:t>
      </w:r>
    </w:p>
    <w:p w:rsidR="004F34D9" w:rsidRPr="00123108" w:rsidRDefault="004F34D9">
      <w:pPr>
        <w:spacing w:line="500" w:lineRule="exact"/>
        <w:ind w:firstLineChars="200" w:firstLine="560"/>
        <w:rPr>
          <w:rFonts w:ascii="宋体" w:hAnsi="宋体" w:hint="eastAsia"/>
          <w:sz w:val="28"/>
          <w:szCs w:val="28"/>
        </w:rPr>
      </w:pPr>
      <w:bookmarkStart w:id="1781" w:name="_Toc18419462"/>
      <w:r w:rsidRPr="00123108">
        <w:rPr>
          <w:rFonts w:ascii="宋体" w:hAnsi="宋体" w:hint="eastAsia"/>
          <w:sz w:val="28"/>
          <w:szCs w:val="28"/>
        </w:rPr>
        <w:t>（2）噪声防护措施评价</w:t>
      </w:r>
      <w:bookmarkEnd w:id="1778"/>
      <w:bookmarkEnd w:id="1779"/>
      <w:bookmarkEnd w:id="1780"/>
      <w:bookmarkEnd w:id="1781"/>
    </w:p>
    <w:p w:rsidR="004F34D9" w:rsidRPr="00123108" w:rsidRDefault="004F34D9">
      <w:pPr>
        <w:spacing w:line="500" w:lineRule="exact"/>
        <w:ind w:firstLineChars="200" w:firstLine="560"/>
        <w:rPr>
          <w:rFonts w:ascii="宋体" w:hAnsi="宋体" w:hint="eastAsia"/>
          <w:sz w:val="28"/>
        </w:rPr>
      </w:pPr>
      <w:r w:rsidRPr="00123108">
        <w:rPr>
          <w:rFonts w:hAnsi="宋体" w:hint="eastAsia"/>
          <w:sz w:val="28"/>
          <w:szCs w:val="28"/>
        </w:rPr>
        <w:t>本项目的噪声主要来自</w:t>
      </w:r>
      <w:r w:rsidRPr="00123108">
        <w:rPr>
          <w:rFonts w:hAnsi="宋体" w:hint="eastAsia"/>
          <w:sz w:val="28"/>
          <w:szCs w:val="28"/>
          <w:lang w:val="zh-CN"/>
        </w:rPr>
        <w:t>各类</w:t>
      </w:r>
      <w:r w:rsidRPr="00123108">
        <w:rPr>
          <w:rFonts w:hAnsi="宋体" w:hint="eastAsia"/>
          <w:sz w:val="28"/>
          <w:szCs w:val="28"/>
        </w:rPr>
        <w:t>风机、</w:t>
      </w:r>
      <w:r w:rsidRPr="00123108">
        <w:rPr>
          <w:rFonts w:hAnsi="宋体" w:hint="eastAsia"/>
          <w:sz w:val="28"/>
          <w:szCs w:val="28"/>
          <w:lang w:val="zh-CN"/>
        </w:rPr>
        <w:t>机泵等动力设备等</w:t>
      </w:r>
      <w:r w:rsidRPr="00123108">
        <w:rPr>
          <w:rFonts w:hAnsi="宋体" w:hint="eastAsia"/>
          <w:sz w:val="28"/>
          <w:szCs w:val="28"/>
        </w:rPr>
        <w:t>。</w:t>
      </w:r>
    </w:p>
    <w:p w:rsidR="004F34D9" w:rsidRPr="00123108" w:rsidRDefault="004F34D9">
      <w:pPr>
        <w:spacing w:line="500" w:lineRule="exact"/>
        <w:ind w:firstLineChars="200" w:firstLine="560"/>
        <w:rPr>
          <w:rFonts w:ascii="宋体" w:hAnsi="宋体" w:hint="eastAsia"/>
          <w:sz w:val="28"/>
        </w:rPr>
      </w:pPr>
      <w:r w:rsidRPr="00123108">
        <w:rPr>
          <w:rFonts w:ascii="宋体" w:hAnsi="宋体" w:hint="eastAsia"/>
          <w:sz w:val="28"/>
        </w:rPr>
        <w:t>本项目采取的噪声防护措施如下：在符合工艺要求的情况下，</w:t>
      </w:r>
      <w:r w:rsidRPr="00123108">
        <w:rPr>
          <w:rFonts w:ascii="宋体" w:hAnsi="宋体"/>
          <w:sz w:val="28"/>
        </w:rPr>
        <w:t>本项目</w:t>
      </w:r>
      <w:r w:rsidRPr="00123108">
        <w:rPr>
          <w:rFonts w:ascii="宋体" w:hAnsi="宋体" w:hint="eastAsia"/>
          <w:sz w:val="28"/>
        </w:rPr>
        <w:t>对易产生噪声的设备优先选用了低噪声设备，采取隔声、吸声、隔振、减震等措施来控制噪声水平；为可能接触高噪声的操作人员配备防噪声耳塞等防护用品，减少员工在噪声区域的停留时间等。操作人员进入噪声操作环境时佩戴防噪声耳塞，可减少噪声危害。</w:t>
      </w:r>
    </w:p>
    <w:p w:rsidR="004F34D9" w:rsidRPr="00123108" w:rsidRDefault="004F34D9">
      <w:pPr>
        <w:spacing w:line="500" w:lineRule="exact"/>
        <w:ind w:firstLineChars="200" w:firstLine="560"/>
        <w:rPr>
          <w:rFonts w:ascii="宋体" w:hAnsi="宋体" w:hint="eastAsia"/>
          <w:sz w:val="28"/>
        </w:rPr>
      </w:pPr>
      <w:r w:rsidRPr="00123108">
        <w:rPr>
          <w:rFonts w:ascii="宋体" w:hAnsi="宋体" w:hint="eastAsia"/>
          <w:sz w:val="28"/>
        </w:rPr>
        <w:t>通过以上分析，本项目噪声防护措施能够符合规范要求。</w:t>
      </w:r>
    </w:p>
    <w:p w:rsidR="004F34D9" w:rsidRPr="00123108" w:rsidRDefault="004F34D9">
      <w:pPr>
        <w:spacing w:line="500" w:lineRule="exact"/>
        <w:ind w:firstLineChars="200" w:firstLine="560"/>
        <w:rPr>
          <w:rFonts w:ascii="宋体" w:hAnsi="宋体" w:hint="eastAsia"/>
          <w:sz w:val="28"/>
          <w:szCs w:val="28"/>
        </w:rPr>
      </w:pPr>
      <w:bookmarkStart w:id="1782" w:name="_Toc344125715"/>
      <w:bookmarkStart w:id="1783" w:name="_Toc18419463"/>
      <w:r w:rsidRPr="00123108">
        <w:rPr>
          <w:rFonts w:ascii="宋体" w:hAnsi="宋体" w:hint="eastAsia"/>
          <w:sz w:val="28"/>
          <w:szCs w:val="28"/>
        </w:rPr>
        <w:t>（3）高低温防范措施评价</w:t>
      </w:r>
      <w:bookmarkEnd w:id="1782"/>
      <w:bookmarkEnd w:id="1783"/>
    </w:p>
    <w:p w:rsidR="004F34D9" w:rsidRPr="00123108" w:rsidRDefault="004F34D9">
      <w:pPr>
        <w:spacing w:line="500" w:lineRule="exact"/>
        <w:ind w:firstLineChars="200" w:firstLine="560"/>
        <w:rPr>
          <w:rFonts w:ascii="宋体" w:hAnsi="宋体" w:hint="eastAsia"/>
          <w:sz w:val="28"/>
        </w:rPr>
      </w:pPr>
      <w:r w:rsidRPr="00123108">
        <w:rPr>
          <w:rFonts w:ascii="宋体" w:hAnsi="宋体" w:hint="eastAsia"/>
          <w:sz w:val="28"/>
        </w:rPr>
        <w:t>高温危害主要是高温季节，员工在巡检、检修或其他露天作业及员工在高温设备（</w:t>
      </w:r>
      <w:r w:rsidRPr="00123108">
        <w:rPr>
          <w:rFonts w:ascii="宋体" w:hAnsi="宋体" w:cs="宋体" w:hint="eastAsia"/>
          <w:sz w:val="28"/>
          <w:szCs w:val="28"/>
        </w:rPr>
        <w:t>RTO</w:t>
      </w:r>
      <w:r w:rsidRPr="00123108">
        <w:rPr>
          <w:rFonts w:ascii="宋体" w:hAnsi="宋体" w:hint="eastAsia"/>
          <w:sz w:val="28"/>
        </w:rPr>
        <w:t>等）、蒸汽管道等温度较高区域作业，易发生中暑现象。低</w:t>
      </w:r>
      <w:r w:rsidRPr="00123108">
        <w:rPr>
          <w:rFonts w:ascii="宋体" w:hAnsi="宋体" w:hint="eastAsia"/>
          <w:sz w:val="28"/>
        </w:rPr>
        <w:lastRenderedPageBreak/>
        <w:t>温危害主要是员工在接触低温物料的工艺设备、管道。另外，本地区夏季气温较高（极端最高气</w:t>
      </w:r>
      <w:r w:rsidRPr="00123108">
        <w:rPr>
          <w:rFonts w:ascii="宋体" w:hint="eastAsia"/>
          <w:sz w:val="28"/>
        </w:rPr>
        <w:t>温：41.9℃），</w:t>
      </w:r>
      <w:r w:rsidRPr="00123108">
        <w:rPr>
          <w:rFonts w:ascii="宋体" w:hAnsi="宋体" w:hint="eastAsia"/>
          <w:sz w:val="28"/>
        </w:rPr>
        <w:t>冬季气温较低（极端最低气温：</w:t>
      </w:r>
      <w:r w:rsidRPr="00123108">
        <w:rPr>
          <w:rFonts w:ascii="宋体"/>
          <w:sz w:val="28"/>
        </w:rPr>
        <w:t>-</w:t>
      </w:r>
      <w:r w:rsidRPr="00123108">
        <w:rPr>
          <w:rFonts w:ascii="宋体" w:hint="eastAsia"/>
          <w:sz w:val="28"/>
        </w:rPr>
        <w:t>8.8</w:t>
      </w:r>
      <w:r w:rsidRPr="00123108">
        <w:rPr>
          <w:rFonts w:ascii="宋体" w:hAnsi="宋体" w:hint="eastAsia"/>
          <w:sz w:val="28"/>
        </w:rPr>
        <w:t>℃），给这些岗位上作业人员带来一定的危害。</w:t>
      </w:r>
    </w:p>
    <w:p w:rsidR="004F34D9" w:rsidRPr="00123108" w:rsidRDefault="004F34D9">
      <w:pPr>
        <w:spacing w:line="500" w:lineRule="exact"/>
        <w:ind w:firstLineChars="200" w:firstLine="560"/>
        <w:rPr>
          <w:rFonts w:ascii="宋体" w:hAnsi="宋体" w:hint="eastAsia"/>
          <w:sz w:val="28"/>
        </w:rPr>
      </w:pPr>
      <w:r w:rsidRPr="00123108">
        <w:rPr>
          <w:rFonts w:ascii="宋体" w:hAnsi="宋体" w:hint="eastAsia"/>
          <w:sz w:val="28"/>
        </w:rPr>
        <w:t>本项目对于防范高低温危害采取了以下措施：</w:t>
      </w:r>
    </w:p>
    <w:p w:rsidR="004F34D9" w:rsidRPr="00123108" w:rsidRDefault="004F34D9">
      <w:pPr>
        <w:spacing w:line="500" w:lineRule="exact"/>
        <w:ind w:firstLineChars="200" w:firstLine="560"/>
        <w:rPr>
          <w:rFonts w:ascii="宋体" w:hAnsi="宋体" w:hint="eastAsia"/>
          <w:sz w:val="28"/>
        </w:rPr>
      </w:pPr>
      <w:r w:rsidRPr="00123108">
        <w:rPr>
          <w:rFonts w:ascii="宋体" w:hAnsi="宋体"/>
          <w:sz w:val="28"/>
          <w:szCs w:val="28"/>
        </w:rPr>
        <w:t>本项目</w:t>
      </w:r>
      <w:r w:rsidRPr="00123108">
        <w:rPr>
          <w:rFonts w:ascii="宋体" w:hAnsi="宋体" w:hint="eastAsia"/>
          <w:sz w:val="28"/>
          <w:szCs w:val="28"/>
        </w:rPr>
        <w:t>涉及表面温度超过 60℃的设备和管道，在距地面或工作平台高度2.1m范围内或距操作平台周围0.75m范围内均设防烫伤隔热层</w:t>
      </w:r>
      <w:r w:rsidRPr="00123108">
        <w:rPr>
          <w:rFonts w:ascii="宋体" w:hAnsi="宋体"/>
          <w:sz w:val="28"/>
          <w:szCs w:val="28"/>
        </w:rPr>
        <w:t>。</w:t>
      </w:r>
      <w:r w:rsidRPr="00123108">
        <w:rPr>
          <w:rFonts w:ascii="宋体" w:hAnsi="宋体" w:hint="eastAsia"/>
          <w:sz w:val="28"/>
        </w:rPr>
        <w:t>除根据工艺需要对设备及管道进行保温、保冷，降低能耗，并在有高低温危险区域张贴安全警示标识。给员工配备了手套等防护用品，减少员工在高低温区域的停留时间等。高温季节，减少装卸等重体力作业的劳动强度，调整作业时间，供应防暑用品等。低温季节发放相应的防冻用品。</w:t>
      </w:r>
    </w:p>
    <w:p w:rsidR="004F34D9" w:rsidRPr="00123108" w:rsidRDefault="004F34D9">
      <w:pPr>
        <w:spacing w:line="500" w:lineRule="exact"/>
        <w:ind w:firstLineChars="200" w:firstLine="560"/>
        <w:rPr>
          <w:rFonts w:ascii="宋体" w:hAnsi="宋体" w:hint="eastAsia"/>
          <w:sz w:val="28"/>
        </w:rPr>
      </w:pPr>
      <w:r w:rsidRPr="00123108">
        <w:rPr>
          <w:rFonts w:ascii="宋体" w:hAnsi="宋体" w:hint="eastAsia"/>
          <w:sz w:val="28"/>
        </w:rPr>
        <w:t>通过以上分析，本项目高低温防范措施能够符合规范要求。</w:t>
      </w:r>
    </w:p>
    <w:p w:rsidR="004F34D9" w:rsidRPr="00123108" w:rsidRDefault="004F34D9">
      <w:pPr>
        <w:spacing w:line="500" w:lineRule="exact"/>
        <w:ind w:firstLineChars="200" w:firstLine="560"/>
        <w:rPr>
          <w:rFonts w:ascii="宋体" w:hAnsi="宋体" w:hint="eastAsia"/>
          <w:sz w:val="28"/>
          <w:szCs w:val="28"/>
        </w:rPr>
      </w:pPr>
      <w:bookmarkStart w:id="1784" w:name="_Toc18419464"/>
      <w:r w:rsidRPr="00123108">
        <w:rPr>
          <w:rFonts w:ascii="宋体" w:hAnsi="宋体" w:hint="eastAsia"/>
          <w:sz w:val="28"/>
          <w:szCs w:val="28"/>
        </w:rPr>
        <w:t>（4）粉尘防范措施评价</w:t>
      </w:r>
      <w:bookmarkEnd w:id="1784"/>
    </w:p>
    <w:p w:rsidR="004F34D9" w:rsidRPr="00123108" w:rsidRDefault="004F34D9">
      <w:pPr>
        <w:spacing w:line="500" w:lineRule="exact"/>
        <w:ind w:firstLineChars="200" w:firstLine="560"/>
        <w:rPr>
          <w:rFonts w:hint="eastAsia"/>
          <w:sz w:val="28"/>
          <w:szCs w:val="28"/>
        </w:rPr>
      </w:pPr>
      <w:r w:rsidRPr="00123108">
        <w:rPr>
          <w:rFonts w:ascii="宋体" w:hAnsi="宋体" w:hint="eastAsia"/>
          <w:sz w:val="28"/>
          <w:szCs w:val="28"/>
        </w:rPr>
        <w:t>本项目中的粉尘危害主要来自辅料投料及产品包装</w:t>
      </w:r>
      <w:r w:rsidRPr="00123108">
        <w:rPr>
          <w:sz w:val="28"/>
          <w:szCs w:val="28"/>
        </w:rPr>
        <w:t>。操作人员在装卸、</w:t>
      </w:r>
      <w:r w:rsidRPr="00123108">
        <w:rPr>
          <w:rFonts w:hint="eastAsia"/>
          <w:sz w:val="28"/>
          <w:szCs w:val="28"/>
        </w:rPr>
        <w:t>投料、包装</w:t>
      </w:r>
      <w:r w:rsidRPr="00123108">
        <w:rPr>
          <w:sz w:val="28"/>
          <w:szCs w:val="28"/>
        </w:rPr>
        <w:t>时</w:t>
      </w:r>
      <w:r w:rsidRPr="00123108">
        <w:rPr>
          <w:rFonts w:hint="eastAsia"/>
          <w:sz w:val="28"/>
          <w:szCs w:val="28"/>
        </w:rPr>
        <w:t>均按要求穿戴防护设施，能</w:t>
      </w:r>
      <w:r w:rsidRPr="00123108">
        <w:rPr>
          <w:sz w:val="28"/>
          <w:szCs w:val="28"/>
        </w:rPr>
        <w:t>防护对呼吸系统产生粉尘危害。</w:t>
      </w:r>
    </w:p>
    <w:p w:rsidR="004F34D9" w:rsidRPr="00123108" w:rsidRDefault="004F34D9">
      <w:pPr>
        <w:spacing w:line="500" w:lineRule="exact"/>
        <w:ind w:firstLineChars="200" w:firstLine="560"/>
        <w:rPr>
          <w:rFonts w:ascii="宋体" w:hAnsi="宋体" w:hint="eastAsia"/>
          <w:sz w:val="28"/>
          <w:szCs w:val="28"/>
        </w:rPr>
      </w:pPr>
      <w:r w:rsidRPr="00123108">
        <w:rPr>
          <w:rFonts w:ascii="宋体" w:hAnsi="宋体" w:hint="eastAsia"/>
          <w:sz w:val="28"/>
          <w:szCs w:val="28"/>
        </w:rPr>
        <w:t>通过以上分析，本项目粉尘防范措施能够符合规范要求。</w:t>
      </w:r>
    </w:p>
    <w:p w:rsidR="004F34D9" w:rsidRPr="00123108" w:rsidRDefault="004F34D9">
      <w:pPr>
        <w:spacing w:line="500" w:lineRule="exact"/>
        <w:ind w:firstLineChars="200" w:firstLine="560"/>
        <w:rPr>
          <w:rFonts w:ascii="宋体" w:hAnsi="宋体" w:hint="eastAsia"/>
          <w:sz w:val="28"/>
          <w:szCs w:val="28"/>
        </w:rPr>
      </w:pPr>
      <w:bookmarkStart w:id="1785" w:name="_Toc18419465"/>
      <w:bookmarkStart w:id="1786" w:name="_Toc344125716"/>
      <w:bookmarkStart w:id="1787" w:name="_Toc230773749"/>
      <w:r w:rsidRPr="00123108">
        <w:rPr>
          <w:rFonts w:ascii="宋体" w:hAnsi="宋体" w:hint="eastAsia"/>
          <w:sz w:val="28"/>
          <w:szCs w:val="28"/>
        </w:rPr>
        <w:t>（5）</w:t>
      </w:r>
      <w:bookmarkEnd w:id="1785"/>
      <w:bookmarkEnd w:id="1786"/>
      <w:bookmarkEnd w:id="1787"/>
      <w:r w:rsidRPr="00123108">
        <w:rPr>
          <w:rFonts w:ascii="宋体" w:hAnsi="宋体" w:hint="eastAsia"/>
          <w:sz w:val="28"/>
          <w:szCs w:val="28"/>
        </w:rPr>
        <w:t>职业危害监测情况</w:t>
      </w:r>
    </w:p>
    <w:p w:rsidR="004F34D9" w:rsidRPr="00123108" w:rsidRDefault="004F34D9">
      <w:pPr>
        <w:spacing w:line="500" w:lineRule="exact"/>
        <w:ind w:firstLineChars="200" w:firstLine="560"/>
        <w:rPr>
          <w:rFonts w:ascii="宋体" w:hAnsi="宋体" w:hint="eastAsia"/>
          <w:sz w:val="28"/>
          <w:szCs w:val="28"/>
        </w:rPr>
      </w:pPr>
      <w:r w:rsidRPr="00123108">
        <w:rPr>
          <w:rFonts w:ascii="宋体" w:hAnsi="宋体" w:hint="eastAsia"/>
          <w:sz w:val="28"/>
          <w:szCs w:val="28"/>
        </w:rPr>
        <w:t>新桥化工于2023年10月27日委托浙江中一检测研究院股份有限公司对反应部、筛析部、罐区、仓库、污水处理站等岗位职业病危害因素（化学因素、物理因素等）进行检测，检测结果能够符合要求。职业病危害因素检测报告代表样张详见附件。</w:t>
      </w:r>
    </w:p>
    <w:p w:rsidR="004F34D9" w:rsidRPr="00123108" w:rsidRDefault="004F34D9">
      <w:pPr>
        <w:spacing w:line="500" w:lineRule="exact"/>
        <w:ind w:firstLineChars="200" w:firstLine="560"/>
        <w:rPr>
          <w:rFonts w:ascii="宋体" w:hAnsi="宋体" w:hint="eastAsia"/>
          <w:sz w:val="28"/>
          <w:szCs w:val="28"/>
        </w:rPr>
      </w:pPr>
      <w:r w:rsidRPr="00123108">
        <w:rPr>
          <w:rFonts w:ascii="宋体" w:hAnsi="宋体" w:hint="eastAsia"/>
          <w:sz w:val="28"/>
          <w:szCs w:val="28"/>
        </w:rPr>
        <w:t>综上所述，本项目职业危害防护能够符合规范要求。</w:t>
      </w:r>
    </w:p>
    <w:p w:rsidR="004F34D9" w:rsidRPr="00123108" w:rsidRDefault="004F34D9" w:rsidP="00E36E64">
      <w:pPr>
        <w:pStyle w:val="2"/>
        <w:spacing w:line="500" w:lineRule="exact"/>
        <w:jc w:val="both"/>
        <w:rPr>
          <w:rFonts w:ascii="宋体" w:eastAsia="宋体" w:cs="宋体" w:hint="eastAsia"/>
          <w:sz w:val="28"/>
          <w:szCs w:val="28"/>
        </w:rPr>
      </w:pPr>
      <w:bookmarkStart w:id="1788" w:name="_Toc31207"/>
      <w:bookmarkStart w:id="1789" w:name="_Toc190935910"/>
      <w:r w:rsidRPr="00123108">
        <w:rPr>
          <w:rFonts w:ascii="宋体" w:eastAsia="宋体" w:cs="宋体" w:hint="eastAsia"/>
          <w:sz w:val="28"/>
          <w:szCs w:val="28"/>
        </w:rPr>
        <w:t>附件2.7 劳动防护用品</w:t>
      </w:r>
      <w:bookmarkEnd w:id="1788"/>
      <w:r w:rsidRPr="00123108">
        <w:rPr>
          <w:rFonts w:ascii="宋体" w:eastAsia="宋体" w:cs="宋体" w:hint="eastAsia"/>
          <w:sz w:val="28"/>
          <w:szCs w:val="28"/>
        </w:rPr>
        <w:t>评价</w:t>
      </w:r>
      <w:bookmarkEnd w:id="1789"/>
    </w:p>
    <w:p w:rsidR="004F34D9" w:rsidRPr="00123108" w:rsidRDefault="004F34D9">
      <w:pPr>
        <w:spacing w:line="500" w:lineRule="exact"/>
        <w:ind w:firstLineChars="200" w:firstLine="560"/>
        <w:rPr>
          <w:rFonts w:ascii="宋体" w:hAnsi="宋体" w:cs="Courier New" w:hint="eastAsia"/>
          <w:sz w:val="28"/>
          <w:szCs w:val="28"/>
        </w:rPr>
      </w:pPr>
      <w:r w:rsidRPr="00123108">
        <w:rPr>
          <w:rFonts w:ascii="宋体" w:hAnsi="宋体" w:cs="Courier New" w:hint="eastAsia"/>
          <w:sz w:val="28"/>
          <w:szCs w:val="28"/>
        </w:rPr>
        <w:t>企业能</w:t>
      </w:r>
      <w:r w:rsidRPr="00123108">
        <w:rPr>
          <w:rFonts w:ascii="宋体" w:hAnsi="宋体" w:cs="Courier New"/>
          <w:sz w:val="28"/>
          <w:szCs w:val="28"/>
        </w:rPr>
        <w:t>根据</w:t>
      </w:r>
      <w:r w:rsidRPr="00123108">
        <w:rPr>
          <w:rFonts w:ascii="宋体" w:hAnsi="宋体" w:cs="Courier New" w:hint="eastAsia"/>
          <w:sz w:val="28"/>
          <w:szCs w:val="28"/>
        </w:rPr>
        <w:t>本项目</w:t>
      </w:r>
      <w:r w:rsidRPr="00123108">
        <w:rPr>
          <w:rFonts w:ascii="宋体" w:hAnsi="宋体" w:cs="Courier New"/>
          <w:sz w:val="28"/>
          <w:szCs w:val="28"/>
        </w:rPr>
        <w:t>作业特点和防护要求，按有关标准和规定发放个体防护用品</w:t>
      </w:r>
      <w:r w:rsidRPr="00123108">
        <w:rPr>
          <w:rFonts w:ascii="宋体" w:hAnsi="宋体" w:cs="Courier New" w:hint="eastAsia"/>
          <w:sz w:val="28"/>
          <w:szCs w:val="28"/>
        </w:rPr>
        <w:t>。</w:t>
      </w:r>
      <w:r w:rsidRPr="00123108">
        <w:rPr>
          <w:rFonts w:ascii="宋体" w:hAnsi="宋体" w:cs="Courier New"/>
          <w:sz w:val="28"/>
          <w:szCs w:val="28"/>
        </w:rPr>
        <w:t>防护用品</w:t>
      </w:r>
      <w:r w:rsidRPr="00123108">
        <w:rPr>
          <w:rFonts w:ascii="宋体" w:hAnsi="宋体" w:cs="Courier New" w:hint="eastAsia"/>
          <w:sz w:val="28"/>
          <w:szCs w:val="28"/>
        </w:rPr>
        <w:t>均采购自有相关资质的正规厂家，特种防护用品持有产品生产许可证、出厂合格证、产品质量监督检验合格证、特种防护用品安全标志证书，其</w:t>
      </w:r>
      <w:r w:rsidRPr="00123108">
        <w:rPr>
          <w:rFonts w:ascii="宋体" w:hAnsi="宋体" w:cs="Courier New"/>
          <w:sz w:val="28"/>
          <w:szCs w:val="28"/>
        </w:rPr>
        <w:t>质量和性能均符合有关标准规定。</w:t>
      </w:r>
      <w:r w:rsidRPr="00123108">
        <w:rPr>
          <w:rFonts w:ascii="宋体" w:hAnsi="宋体" w:cs="Courier New" w:hint="eastAsia"/>
          <w:sz w:val="28"/>
          <w:szCs w:val="28"/>
        </w:rPr>
        <w:t>并且建立了《劳动防护用品管理规定》，规定了劳动防护用品采购、验收、保管、发放、使用、回收和报废的相关内容，符合安全生产要求。</w:t>
      </w:r>
    </w:p>
    <w:p w:rsidR="004F34D9" w:rsidRPr="00123108" w:rsidRDefault="004F34D9">
      <w:pPr>
        <w:spacing w:line="500" w:lineRule="exact"/>
        <w:ind w:firstLineChars="200" w:firstLine="560"/>
        <w:rPr>
          <w:rFonts w:ascii="宋体" w:hAnsi="宋体" w:cs="Courier New" w:hint="eastAsia"/>
          <w:sz w:val="28"/>
          <w:szCs w:val="28"/>
        </w:rPr>
      </w:pPr>
      <w:r w:rsidRPr="00123108">
        <w:rPr>
          <w:rFonts w:ascii="宋体" w:hAnsi="宋体" w:cs="Courier New" w:hint="eastAsia"/>
          <w:sz w:val="28"/>
          <w:szCs w:val="28"/>
        </w:rPr>
        <w:lastRenderedPageBreak/>
        <w:t>本项目涉及的主要危险岗位为易燃易爆场所作业、吸入性气相毒物作业、吸入性粉尘作业、沾染性毒物作业、腐蚀性作业等。根据</w:t>
      </w:r>
      <w:r w:rsidRPr="00123108">
        <w:rPr>
          <w:rFonts w:ascii="宋体" w:hAnsi="宋体" w:cs="宋体" w:hint="eastAsia"/>
          <w:sz w:val="28"/>
        </w:rPr>
        <w:t>《个体防护装备配备规范 第1部分：总则》GB 39800.1-2020、</w:t>
      </w:r>
      <w:r w:rsidRPr="00123108">
        <w:rPr>
          <w:rFonts w:ascii="宋体" w:hAnsi="宋体" w:cs="Courier New" w:hint="eastAsia"/>
          <w:sz w:val="28"/>
          <w:szCs w:val="28"/>
        </w:rPr>
        <w:t>《个体防护装备配备规范 第2部分：石油、化工、天然气》GB 39800.2-2020的要求，上述岗位劳动保护用品配备如下：</w:t>
      </w:r>
    </w:p>
    <w:p w:rsidR="004F34D9" w:rsidRPr="00123108" w:rsidRDefault="004F34D9">
      <w:pPr>
        <w:spacing w:line="500" w:lineRule="exact"/>
        <w:ind w:firstLineChars="200" w:firstLine="560"/>
        <w:rPr>
          <w:rFonts w:ascii="宋体" w:hAnsi="宋体" w:cs="Courier New" w:hint="eastAsia"/>
          <w:sz w:val="28"/>
          <w:szCs w:val="28"/>
        </w:rPr>
      </w:pPr>
      <w:r w:rsidRPr="00123108">
        <w:rPr>
          <w:rFonts w:ascii="宋体" w:hAnsi="宋体" w:cs="Courier New" w:hint="eastAsia"/>
          <w:sz w:val="28"/>
          <w:szCs w:val="28"/>
        </w:rPr>
        <w:t>（1）易燃易爆场所作业（B12）：可使用的防护用品为</w:t>
      </w:r>
      <w:r w:rsidRPr="00123108">
        <w:rPr>
          <w:rFonts w:ascii="宋体" w:hAnsi="宋体" w:cs="Courier New"/>
          <w:sz w:val="28"/>
          <w:szCs w:val="28"/>
          <w:lang w:val="zh-CN"/>
        </w:rPr>
        <w:t>TB-01安全帽</w:t>
      </w:r>
      <w:r w:rsidRPr="00123108">
        <w:rPr>
          <w:rFonts w:ascii="宋体" w:hAnsi="宋体" w:cs="Courier New" w:hint="eastAsia"/>
          <w:sz w:val="28"/>
          <w:szCs w:val="28"/>
        </w:rPr>
        <w:t>、</w:t>
      </w:r>
      <w:r w:rsidRPr="00123108">
        <w:rPr>
          <w:rFonts w:ascii="宋体" w:hAnsi="宋体" w:cs="Courier New"/>
          <w:sz w:val="28"/>
          <w:szCs w:val="28"/>
          <w:lang w:val="zh-CN"/>
        </w:rPr>
        <w:t>T-02防静电工作相</w:t>
      </w:r>
      <w:r w:rsidRPr="00123108">
        <w:rPr>
          <w:rFonts w:ascii="宋体" w:hAnsi="宋体" w:cs="Courier New" w:hint="eastAsia"/>
          <w:sz w:val="28"/>
          <w:szCs w:val="28"/>
          <w:lang w:val="zh-CN"/>
        </w:rPr>
        <w:t>、</w:t>
      </w:r>
      <w:r w:rsidRPr="00123108">
        <w:rPr>
          <w:rFonts w:ascii="宋体" w:hAnsi="宋体" w:cs="Courier New"/>
          <w:sz w:val="28"/>
          <w:szCs w:val="28"/>
          <w:lang w:val="zh-CN"/>
        </w:rPr>
        <w:t>HX-05自给开路式压缩空气呼吸器</w:t>
      </w:r>
      <w:r w:rsidRPr="00123108">
        <w:rPr>
          <w:rFonts w:ascii="宋体" w:hAnsi="宋体" w:cs="Courier New" w:hint="eastAsia"/>
          <w:sz w:val="28"/>
          <w:szCs w:val="28"/>
          <w:lang w:val="zh-CN"/>
        </w:rPr>
        <w:t>、</w:t>
      </w:r>
      <w:r w:rsidRPr="00123108">
        <w:rPr>
          <w:rFonts w:ascii="宋体" w:hAnsi="宋体" w:cs="Courier New"/>
          <w:sz w:val="28"/>
          <w:szCs w:val="28"/>
          <w:lang w:val="zh-CN"/>
        </w:rPr>
        <w:t>HX-06自吸过滤式防毒面具</w:t>
      </w:r>
      <w:r w:rsidRPr="00123108">
        <w:rPr>
          <w:rFonts w:ascii="宋体" w:hAnsi="宋体" w:cs="Courier New" w:hint="eastAsia"/>
          <w:sz w:val="28"/>
          <w:szCs w:val="28"/>
          <w:lang w:val="zh-CN"/>
        </w:rPr>
        <w:t>、</w:t>
      </w:r>
      <w:r w:rsidRPr="00123108">
        <w:rPr>
          <w:rFonts w:ascii="宋体" w:hAnsi="宋体" w:cs="Courier New"/>
          <w:sz w:val="28"/>
          <w:szCs w:val="28"/>
          <w:lang w:val="zh-CN"/>
        </w:rPr>
        <w:t>HX-08自吸过滤式防颗粒物呼吸器</w:t>
      </w:r>
      <w:r w:rsidRPr="00123108">
        <w:rPr>
          <w:rFonts w:ascii="宋体" w:hAnsi="宋体" w:cs="Courier New" w:hint="eastAsia"/>
          <w:sz w:val="28"/>
          <w:szCs w:val="28"/>
          <w:lang w:val="zh-CN"/>
        </w:rPr>
        <w:t>、</w:t>
      </w:r>
      <w:r w:rsidRPr="00123108">
        <w:rPr>
          <w:rFonts w:ascii="宋体" w:hAnsi="宋体" w:cs="Courier New"/>
          <w:sz w:val="28"/>
          <w:szCs w:val="28"/>
          <w:lang w:val="zh-CN"/>
        </w:rPr>
        <w:t>YM-04职业眼面部防护具</w:t>
      </w:r>
      <w:r w:rsidRPr="00123108">
        <w:rPr>
          <w:rFonts w:ascii="宋体" w:hAnsi="宋体" w:cs="Courier New" w:hint="eastAsia"/>
          <w:sz w:val="28"/>
          <w:szCs w:val="28"/>
          <w:lang w:val="zh-CN"/>
        </w:rPr>
        <w:t>、</w:t>
      </w:r>
      <w:r w:rsidRPr="00123108">
        <w:rPr>
          <w:rFonts w:ascii="宋体" w:hAnsi="宋体" w:cs="Courier New"/>
          <w:sz w:val="28"/>
          <w:szCs w:val="28"/>
          <w:lang w:val="zh-CN"/>
        </w:rPr>
        <w:t>ZB-01安全鞋</w:t>
      </w:r>
      <w:r w:rsidRPr="00123108">
        <w:rPr>
          <w:rFonts w:ascii="宋体" w:hAnsi="宋体" w:cs="Courier New" w:hint="eastAsia"/>
          <w:sz w:val="28"/>
          <w:szCs w:val="28"/>
          <w:lang w:val="zh-CN"/>
        </w:rPr>
        <w:t>、</w:t>
      </w:r>
      <w:r w:rsidRPr="00123108">
        <w:rPr>
          <w:rFonts w:ascii="宋体" w:hAnsi="宋体" w:cs="Courier New"/>
          <w:sz w:val="28"/>
          <w:szCs w:val="28"/>
          <w:lang w:val="zh-CN"/>
        </w:rPr>
        <w:t>FZ-02防静电服</w:t>
      </w:r>
      <w:r w:rsidRPr="00123108">
        <w:rPr>
          <w:rFonts w:ascii="宋体" w:hAnsi="宋体" w:cs="Courier New" w:hint="eastAsia"/>
          <w:sz w:val="28"/>
          <w:szCs w:val="28"/>
          <w:lang w:val="zh-CN"/>
        </w:rPr>
        <w:t>、</w:t>
      </w:r>
      <w:r w:rsidRPr="00123108">
        <w:rPr>
          <w:rFonts w:ascii="宋体" w:hAnsi="宋体" w:cs="Courier New"/>
          <w:sz w:val="28"/>
          <w:szCs w:val="28"/>
          <w:lang w:val="zh-CN"/>
        </w:rPr>
        <w:t>FZ-07化学防护服</w:t>
      </w:r>
      <w:r w:rsidRPr="00123108">
        <w:rPr>
          <w:rFonts w:ascii="宋体" w:hAnsi="宋体" w:cs="Courier New" w:hint="eastAsia"/>
          <w:sz w:val="28"/>
          <w:szCs w:val="28"/>
          <w:lang w:val="zh-CN"/>
        </w:rPr>
        <w:t>、</w:t>
      </w:r>
      <w:r w:rsidRPr="00123108">
        <w:rPr>
          <w:rFonts w:ascii="宋体" w:hAnsi="宋体" w:cs="Courier New"/>
          <w:sz w:val="28"/>
          <w:szCs w:val="28"/>
          <w:lang w:val="zh-CN"/>
        </w:rPr>
        <w:t>FZ-12阻燃服</w:t>
      </w:r>
      <w:r w:rsidRPr="00123108">
        <w:rPr>
          <w:rFonts w:ascii="宋体" w:hAnsi="宋体" w:cs="Courier New" w:hint="eastAsia"/>
          <w:sz w:val="28"/>
          <w:szCs w:val="28"/>
          <w:lang w:val="zh-CN"/>
        </w:rPr>
        <w:t>、</w:t>
      </w:r>
      <w:r w:rsidRPr="00123108">
        <w:rPr>
          <w:rFonts w:ascii="宋体" w:hAnsi="宋体" w:cs="Courier New"/>
          <w:sz w:val="28"/>
          <w:szCs w:val="28"/>
          <w:lang w:val="zh-CN"/>
        </w:rPr>
        <w:t>SF-03防化学品手套</w:t>
      </w:r>
      <w:r w:rsidRPr="00123108">
        <w:rPr>
          <w:rFonts w:ascii="宋体" w:hAnsi="宋体" w:cs="Courier New" w:hint="eastAsia"/>
          <w:sz w:val="28"/>
          <w:szCs w:val="28"/>
          <w:lang w:val="zh-CN"/>
        </w:rPr>
        <w:t>、</w:t>
      </w:r>
      <w:r w:rsidRPr="00123108">
        <w:rPr>
          <w:rFonts w:ascii="宋体" w:hAnsi="宋体" w:cs="Courier New"/>
          <w:sz w:val="28"/>
          <w:szCs w:val="28"/>
          <w:lang w:val="zh-CN"/>
        </w:rPr>
        <w:t>SF-04防静电手套</w:t>
      </w:r>
      <w:r w:rsidRPr="00123108">
        <w:rPr>
          <w:rFonts w:ascii="宋体" w:hAnsi="宋体" w:cs="Courier New" w:hint="eastAsia"/>
          <w:sz w:val="28"/>
          <w:szCs w:val="28"/>
        </w:rPr>
        <w:t>；</w:t>
      </w:r>
    </w:p>
    <w:p w:rsidR="004F34D9" w:rsidRPr="00123108" w:rsidRDefault="004F34D9">
      <w:pPr>
        <w:spacing w:line="500" w:lineRule="exact"/>
        <w:ind w:firstLineChars="200" w:firstLine="560"/>
        <w:rPr>
          <w:rFonts w:ascii="宋体" w:hAnsi="宋体" w:cs="Courier New" w:hint="eastAsia"/>
          <w:sz w:val="28"/>
          <w:szCs w:val="28"/>
        </w:rPr>
      </w:pPr>
      <w:r w:rsidRPr="00123108">
        <w:rPr>
          <w:rFonts w:ascii="宋体" w:hAnsi="宋体" w:cs="Courier New" w:hint="eastAsia"/>
          <w:sz w:val="28"/>
          <w:szCs w:val="28"/>
        </w:rPr>
        <w:t>（2）吸入性气相毒物作业（B17）：可使用的防护用品为</w:t>
      </w:r>
      <w:r w:rsidRPr="00123108">
        <w:rPr>
          <w:rFonts w:ascii="宋体" w:hAnsi="宋体" w:cs="Courier New"/>
          <w:sz w:val="28"/>
          <w:szCs w:val="28"/>
          <w:lang w:val="zh-CN"/>
        </w:rPr>
        <w:t>HX-01长管呼吸器</w:t>
      </w:r>
      <w:r w:rsidRPr="00123108">
        <w:rPr>
          <w:rFonts w:ascii="宋体" w:hAnsi="宋体" w:cs="Courier New" w:hint="eastAsia"/>
          <w:sz w:val="28"/>
          <w:szCs w:val="28"/>
          <w:lang w:val="zh-CN"/>
        </w:rPr>
        <w:t>、</w:t>
      </w:r>
      <w:r w:rsidRPr="00123108">
        <w:rPr>
          <w:rFonts w:ascii="宋体" w:hAnsi="宋体" w:cs="Courier New"/>
          <w:sz w:val="28"/>
          <w:szCs w:val="28"/>
          <w:lang w:val="zh-CN"/>
        </w:rPr>
        <w:t>HX-02动力送风过滤式呼吸器</w:t>
      </w:r>
      <w:r w:rsidRPr="00123108">
        <w:rPr>
          <w:rFonts w:ascii="宋体" w:hAnsi="宋体" w:cs="Courier New" w:hint="eastAsia"/>
          <w:sz w:val="28"/>
          <w:szCs w:val="28"/>
          <w:lang w:val="zh-CN"/>
        </w:rPr>
        <w:t>、</w:t>
      </w:r>
      <w:r w:rsidRPr="00123108">
        <w:rPr>
          <w:rFonts w:ascii="宋体" w:hAnsi="宋体" w:cs="Courier New"/>
          <w:sz w:val="28"/>
          <w:szCs w:val="28"/>
          <w:lang w:val="zh-CN"/>
        </w:rPr>
        <w:t>HX-03自给闭路式压缩氧气呼吸器</w:t>
      </w:r>
      <w:r w:rsidRPr="00123108">
        <w:rPr>
          <w:rFonts w:ascii="宋体" w:hAnsi="宋体" w:cs="Courier New" w:hint="eastAsia"/>
          <w:sz w:val="28"/>
          <w:szCs w:val="28"/>
          <w:lang w:val="zh-CN"/>
        </w:rPr>
        <w:t>、</w:t>
      </w:r>
      <w:r w:rsidRPr="00123108">
        <w:rPr>
          <w:rFonts w:ascii="宋体" w:hAnsi="宋体" w:cs="Courier New"/>
          <w:sz w:val="28"/>
          <w:szCs w:val="28"/>
          <w:lang w:val="zh-CN"/>
        </w:rPr>
        <w:t>HX-04自给闭路式氧气逃生呼吸器</w:t>
      </w:r>
      <w:r w:rsidRPr="00123108">
        <w:rPr>
          <w:rFonts w:ascii="宋体" w:hAnsi="宋体" w:cs="Courier New" w:hint="eastAsia"/>
          <w:sz w:val="28"/>
          <w:szCs w:val="28"/>
          <w:lang w:val="zh-CN"/>
        </w:rPr>
        <w:t>、</w:t>
      </w:r>
      <w:r w:rsidRPr="00123108">
        <w:rPr>
          <w:rFonts w:ascii="宋体" w:hAnsi="宋体" w:cs="Courier New"/>
          <w:sz w:val="28"/>
          <w:szCs w:val="28"/>
          <w:lang w:val="zh-CN"/>
        </w:rPr>
        <w:t>HX-05自给开路式压缩空气呼吸器</w:t>
      </w:r>
      <w:r w:rsidRPr="00123108">
        <w:rPr>
          <w:rFonts w:ascii="宋体" w:hAnsi="宋体" w:cs="Courier New" w:hint="eastAsia"/>
          <w:sz w:val="28"/>
          <w:szCs w:val="28"/>
          <w:lang w:val="zh-CN"/>
        </w:rPr>
        <w:t>、</w:t>
      </w:r>
      <w:r w:rsidRPr="00123108">
        <w:rPr>
          <w:rFonts w:ascii="宋体" w:hAnsi="宋体" w:cs="Courier New"/>
          <w:sz w:val="28"/>
          <w:szCs w:val="28"/>
          <w:lang w:val="zh-CN"/>
        </w:rPr>
        <w:t>HX-06自吸过滤式防毒面具</w:t>
      </w:r>
      <w:r w:rsidRPr="00123108">
        <w:rPr>
          <w:rFonts w:ascii="宋体" w:hAnsi="宋体" w:cs="Courier New" w:hint="eastAsia"/>
          <w:sz w:val="28"/>
          <w:szCs w:val="28"/>
          <w:lang w:val="zh-CN"/>
        </w:rPr>
        <w:t>、</w:t>
      </w:r>
      <w:r w:rsidRPr="00123108">
        <w:rPr>
          <w:rFonts w:ascii="宋体" w:hAnsi="宋体" w:cs="Courier New"/>
          <w:sz w:val="28"/>
          <w:szCs w:val="28"/>
          <w:lang w:val="zh-CN"/>
        </w:rPr>
        <w:t>HX-07自给开路式压缩空气逃生呼吸器</w:t>
      </w:r>
      <w:r w:rsidRPr="00123108">
        <w:rPr>
          <w:rFonts w:ascii="宋体" w:hAnsi="宋体" w:cs="Courier New" w:hint="eastAsia"/>
          <w:sz w:val="28"/>
          <w:szCs w:val="28"/>
          <w:lang w:val="zh-CN"/>
        </w:rPr>
        <w:t>、</w:t>
      </w:r>
      <w:r w:rsidRPr="00123108">
        <w:rPr>
          <w:rFonts w:ascii="宋体" w:hAnsi="宋体" w:cs="Courier New"/>
          <w:sz w:val="28"/>
          <w:szCs w:val="28"/>
          <w:lang w:val="zh-CN"/>
        </w:rPr>
        <w:t>YM-04职业眼面部防护具</w:t>
      </w:r>
      <w:r w:rsidRPr="00123108">
        <w:rPr>
          <w:rFonts w:ascii="宋体" w:hAnsi="宋体" w:cs="Courier New" w:hint="eastAsia"/>
          <w:sz w:val="28"/>
          <w:szCs w:val="28"/>
          <w:lang w:val="zh-CN"/>
        </w:rPr>
        <w:t>、</w:t>
      </w:r>
      <w:r w:rsidRPr="00123108">
        <w:rPr>
          <w:rFonts w:ascii="宋体" w:hAnsi="宋体" w:cs="Courier New"/>
          <w:sz w:val="28"/>
          <w:szCs w:val="28"/>
          <w:lang w:val="zh-CN"/>
        </w:rPr>
        <w:t>SF-03防化学品手套</w:t>
      </w:r>
      <w:r w:rsidRPr="00123108">
        <w:rPr>
          <w:rFonts w:ascii="宋体" w:hAnsi="宋体" w:cs="Courier New" w:hint="eastAsia"/>
          <w:sz w:val="28"/>
          <w:szCs w:val="28"/>
          <w:lang w:val="zh-CN"/>
        </w:rPr>
        <w:t>、</w:t>
      </w:r>
      <w:r w:rsidRPr="00123108">
        <w:rPr>
          <w:rFonts w:ascii="宋体" w:hAnsi="宋体" w:cs="Courier New"/>
          <w:sz w:val="28"/>
          <w:szCs w:val="28"/>
          <w:lang w:val="zh-CN"/>
        </w:rPr>
        <w:t>FZ-07化学防护服</w:t>
      </w:r>
      <w:r w:rsidRPr="00123108">
        <w:rPr>
          <w:rFonts w:ascii="宋体" w:hAnsi="宋体" w:cs="Courier New" w:hint="eastAsia"/>
          <w:sz w:val="28"/>
          <w:szCs w:val="28"/>
        </w:rPr>
        <w:t>；</w:t>
      </w:r>
    </w:p>
    <w:p w:rsidR="004F34D9" w:rsidRPr="00123108" w:rsidRDefault="004F34D9">
      <w:pPr>
        <w:spacing w:line="500" w:lineRule="exact"/>
        <w:ind w:firstLineChars="200" w:firstLine="560"/>
        <w:rPr>
          <w:rFonts w:ascii="宋体" w:hAnsi="宋体" w:cs="Courier New" w:hint="eastAsia"/>
          <w:sz w:val="28"/>
          <w:szCs w:val="28"/>
        </w:rPr>
      </w:pPr>
      <w:r w:rsidRPr="00123108">
        <w:rPr>
          <w:rFonts w:ascii="宋体" w:hAnsi="宋体" w:cs="Courier New" w:hint="eastAsia"/>
          <w:sz w:val="28"/>
          <w:szCs w:val="28"/>
        </w:rPr>
        <w:t>（3）吸入性粉尘作业（B19）：可使用的防护用品为</w:t>
      </w:r>
      <w:r w:rsidRPr="00123108">
        <w:rPr>
          <w:rFonts w:ascii="宋体" w:hAnsi="宋体" w:cs="Courier New"/>
          <w:sz w:val="28"/>
          <w:szCs w:val="28"/>
          <w:lang w:val="zh-CN"/>
        </w:rPr>
        <w:t>HX-O2动力送风过滤式呼吸器</w:t>
      </w:r>
      <w:r w:rsidRPr="00123108">
        <w:rPr>
          <w:rFonts w:ascii="宋体" w:hAnsi="宋体" w:cs="Courier New" w:hint="eastAsia"/>
          <w:sz w:val="28"/>
          <w:szCs w:val="28"/>
          <w:lang w:val="zh-CN"/>
        </w:rPr>
        <w:t>、</w:t>
      </w:r>
      <w:r w:rsidRPr="00123108">
        <w:rPr>
          <w:rFonts w:ascii="宋体" w:hAnsi="宋体" w:cs="Courier New"/>
          <w:sz w:val="28"/>
          <w:szCs w:val="28"/>
          <w:lang w:val="zh-CN"/>
        </w:rPr>
        <w:t>|HX-08自吸过滤式防颗粒物呼吸器</w:t>
      </w:r>
      <w:r w:rsidRPr="00123108">
        <w:rPr>
          <w:rFonts w:ascii="宋体" w:hAnsi="宋体" w:cs="Courier New" w:hint="eastAsia"/>
          <w:sz w:val="28"/>
          <w:szCs w:val="28"/>
          <w:lang w:val="zh-CN"/>
        </w:rPr>
        <w:t>、</w:t>
      </w:r>
      <w:r w:rsidRPr="00123108">
        <w:rPr>
          <w:rFonts w:ascii="宋体" w:hAnsi="宋体" w:cs="Courier New"/>
          <w:sz w:val="28"/>
          <w:szCs w:val="28"/>
          <w:lang w:val="zh-CN"/>
        </w:rPr>
        <w:t>YM-04职业眼面部防护具</w:t>
      </w:r>
      <w:r w:rsidRPr="00123108">
        <w:rPr>
          <w:rFonts w:ascii="宋体" w:hAnsi="宋体" w:cs="Courier New" w:hint="eastAsia"/>
          <w:sz w:val="28"/>
          <w:szCs w:val="28"/>
        </w:rPr>
        <w:t>；</w:t>
      </w:r>
    </w:p>
    <w:p w:rsidR="004F34D9" w:rsidRPr="00123108" w:rsidRDefault="004F34D9">
      <w:pPr>
        <w:spacing w:line="500" w:lineRule="exact"/>
        <w:ind w:firstLineChars="200" w:firstLine="560"/>
        <w:rPr>
          <w:rFonts w:ascii="宋体" w:hAnsi="宋体" w:cs="Courier New" w:hint="eastAsia"/>
          <w:sz w:val="28"/>
          <w:szCs w:val="28"/>
        </w:rPr>
      </w:pPr>
      <w:r w:rsidRPr="00123108">
        <w:rPr>
          <w:rFonts w:ascii="宋体" w:hAnsi="宋体" w:cs="Courier New" w:hint="eastAsia"/>
          <w:sz w:val="28"/>
          <w:szCs w:val="28"/>
        </w:rPr>
        <w:t>（4）沾染性毒物作业（B20）：可使用的防护用品为</w:t>
      </w:r>
      <w:r w:rsidRPr="00123108">
        <w:rPr>
          <w:rFonts w:ascii="宋体" w:hAnsi="宋体" w:cs="Courier New"/>
          <w:sz w:val="28"/>
          <w:szCs w:val="28"/>
          <w:lang w:val="zh-CN"/>
        </w:rPr>
        <w:t>HX-O1长管呼吸器</w:t>
      </w:r>
      <w:r w:rsidRPr="00123108">
        <w:rPr>
          <w:rFonts w:ascii="宋体" w:hAnsi="宋体" w:cs="Courier New" w:hint="eastAsia"/>
          <w:sz w:val="28"/>
          <w:szCs w:val="28"/>
          <w:lang w:val="zh-CN"/>
        </w:rPr>
        <w:t>、</w:t>
      </w:r>
      <w:r w:rsidRPr="00123108">
        <w:rPr>
          <w:rFonts w:ascii="宋体" w:hAnsi="宋体" w:cs="Courier New"/>
          <w:sz w:val="28"/>
          <w:szCs w:val="28"/>
          <w:lang w:val="zh-CN"/>
        </w:rPr>
        <w:t>HX-O2动力送风过滤式呼吸器</w:t>
      </w:r>
      <w:r w:rsidRPr="00123108">
        <w:rPr>
          <w:rFonts w:ascii="宋体" w:hAnsi="宋体" w:cs="Courier New" w:hint="eastAsia"/>
          <w:sz w:val="28"/>
          <w:szCs w:val="28"/>
          <w:lang w:val="zh-CN"/>
        </w:rPr>
        <w:t>、</w:t>
      </w:r>
      <w:r w:rsidRPr="00123108">
        <w:rPr>
          <w:rFonts w:ascii="宋体" w:hAnsi="宋体" w:cs="Courier New"/>
          <w:sz w:val="28"/>
          <w:szCs w:val="28"/>
          <w:lang w:val="zh-CN"/>
        </w:rPr>
        <w:t>HX-03自给闭路式压缩氧气呼吸器</w:t>
      </w:r>
      <w:r w:rsidRPr="00123108">
        <w:rPr>
          <w:rFonts w:ascii="宋体" w:hAnsi="宋体" w:cs="Courier New" w:hint="eastAsia"/>
          <w:sz w:val="28"/>
          <w:szCs w:val="28"/>
          <w:lang w:val="zh-CN"/>
        </w:rPr>
        <w:t>、</w:t>
      </w:r>
      <w:r w:rsidRPr="00123108">
        <w:rPr>
          <w:rFonts w:ascii="宋体" w:hAnsi="宋体" w:cs="Courier New"/>
          <w:sz w:val="28"/>
          <w:szCs w:val="28"/>
          <w:lang w:val="zh-CN"/>
        </w:rPr>
        <w:t>|HX-04自给闭路式氧气逃生呼吸器</w:t>
      </w:r>
      <w:r w:rsidRPr="00123108">
        <w:rPr>
          <w:rFonts w:ascii="宋体" w:hAnsi="宋体" w:cs="Courier New" w:hint="eastAsia"/>
          <w:sz w:val="28"/>
          <w:szCs w:val="28"/>
          <w:lang w:val="zh-CN"/>
        </w:rPr>
        <w:t>、</w:t>
      </w:r>
      <w:r w:rsidRPr="00123108">
        <w:rPr>
          <w:rFonts w:ascii="宋体" w:hAnsi="宋体" w:cs="Courier New"/>
          <w:sz w:val="28"/>
          <w:szCs w:val="28"/>
          <w:lang w:val="zh-CN"/>
        </w:rPr>
        <w:t>HX-05自给开路式压缩空气呼吸器</w:t>
      </w:r>
      <w:r w:rsidRPr="00123108">
        <w:rPr>
          <w:rFonts w:ascii="宋体" w:hAnsi="宋体" w:cs="Courier New" w:hint="eastAsia"/>
          <w:sz w:val="28"/>
          <w:szCs w:val="28"/>
          <w:lang w:val="zh-CN"/>
        </w:rPr>
        <w:t>、</w:t>
      </w:r>
      <w:r w:rsidRPr="00123108">
        <w:rPr>
          <w:rFonts w:ascii="宋体" w:hAnsi="宋体" w:cs="Courier New"/>
          <w:sz w:val="28"/>
          <w:szCs w:val="28"/>
          <w:lang w:val="zh-CN"/>
        </w:rPr>
        <w:t>HX-06自吸过滤式防毒面具</w:t>
      </w:r>
      <w:r w:rsidRPr="00123108">
        <w:rPr>
          <w:rFonts w:ascii="宋体" w:hAnsi="宋体" w:cs="Courier New" w:hint="eastAsia"/>
          <w:sz w:val="28"/>
          <w:szCs w:val="28"/>
          <w:lang w:val="zh-CN"/>
        </w:rPr>
        <w:t>、</w:t>
      </w:r>
      <w:r w:rsidRPr="00123108">
        <w:rPr>
          <w:rFonts w:ascii="宋体" w:hAnsi="宋体" w:cs="Courier New"/>
          <w:sz w:val="28"/>
          <w:szCs w:val="28"/>
          <w:lang w:val="zh-CN"/>
        </w:rPr>
        <w:t>HX-07自给开路式压缩空气逃生呼吸器</w:t>
      </w:r>
      <w:r w:rsidRPr="00123108">
        <w:rPr>
          <w:rFonts w:ascii="宋体" w:hAnsi="宋体" w:cs="Courier New" w:hint="eastAsia"/>
          <w:sz w:val="28"/>
          <w:szCs w:val="28"/>
          <w:lang w:val="zh-CN"/>
        </w:rPr>
        <w:t>、</w:t>
      </w:r>
      <w:r w:rsidRPr="00123108">
        <w:rPr>
          <w:rFonts w:ascii="宋体" w:hAnsi="宋体" w:cs="Courier New"/>
          <w:sz w:val="28"/>
          <w:szCs w:val="28"/>
          <w:lang w:val="zh-CN"/>
        </w:rPr>
        <w:t>YM-04职业眼面部防护具</w:t>
      </w:r>
      <w:r w:rsidRPr="00123108">
        <w:rPr>
          <w:rFonts w:ascii="宋体" w:hAnsi="宋体" w:cs="Courier New" w:hint="eastAsia"/>
          <w:sz w:val="28"/>
          <w:szCs w:val="28"/>
          <w:lang w:val="zh-CN"/>
        </w:rPr>
        <w:t>、</w:t>
      </w:r>
      <w:r w:rsidRPr="00123108">
        <w:rPr>
          <w:rFonts w:ascii="宋体" w:hAnsi="宋体" w:cs="Courier New"/>
          <w:sz w:val="28"/>
          <w:szCs w:val="28"/>
          <w:lang w:val="zh-CN"/>
        </w:rPr>
        <w:t>SF-03防化学品手套</w:t>
      </w:r>
      <w:r w:rsidRPr="00123108">
        <w:rPr>
          <w:rFonts w:ascii="宋体" w:hAnsi="宋体" w:cs="Courier New" w:hint="eastAsia"/>
          <w:sz w:val="28"/>
          <w:szCs w:val="28"/>
          <w:lang w:val="zh-CN"/>
        </w:rPr>
        <w:t>、</w:t>
      </w:r>
      <w:r w:rsidRPr="00123108">
        <w:rPr>
          <w:rFonts w:ascii="宋体" w:hAnsi="宋体" w:cs="Courier New"/>
          <w:sz w:val="28"/>
          <w:szCs w:val="28"/>
          <w:lang w:val="zh-CN"/>
        </w:rPr>
        <w:t>FZ-07化学防护服</w:t>
      </w:r>
      <w:r w:rsidRPr="00123108">
        <w:rPr>
          <w:rFonts w:ascii="宋体" w:hAnsi="宋体" w:cs="Courier New" w:hint="eastAsia"/>
          <w:sz w:val="28"/>
          <w:szCs w:val="28"/>
          <w:lang w:val="zh-CN"/>
        </w:rPr>
        <w:t>、</w:t>
      </w:r>
      <w:r w:rsidRPr="00123108">
        <w:rPr>
          <w:rFonts w:ascii="宋体" w:hAnsi="宋体" w:cs="Courier New"/>
          <w:sz w:val="28"/>
          <w:szCs w:val="28"/>
          <w:lang w:val="zh-CN"/>
        </w:rPr>
        <w:t>ZB-02防化学品鞋</w:t>
      </w:r>
      <w:r w:rsidRPr="00123108">
        <w:rPr>
          <w:rFonts w:ascii="宋体" w:hAnsi="宋体" w:cs="Courier New" w:hint="eastAsia"/>
          <w:sz w:val="28"/>
          <w:szCs w:val="28"/>
        </w:rPr>
        <w:t>；</w:t>
      </w:r>
    </w:p>
    <w:p w:rsidR="004F34D9" w:rsidRPr="00123108" w:rsidRDefault="004F34D9">
      <w:pPr>
        <w:spacing w:line="500" w:lineRule="exact"/>
        <w:ind w:firstLineChars="200" w:firstLine="560"/>
        <w:rPr>
          <w:rFonts w:ascii="宋体" w:hAnsi="宋体" w:cs="Courier New" w:hint="eastAsia"/>
          <w:sz w:val="28"/>
          <w:szCs w:val="28"/>
        </w:rPr>
      </w:pPr>
      <w:r w:rsidRPr="00123108">
        <w:rPr>
          <w:rFonts w:ascii="宋体" w:hAnsi="宋体" w:cs="Courier New" w:hint="eastAsia"/>
          <w:sz w:val="28"/>
          <w:szCs w:val="28"/>
        </w:rPr>
        <w:t>（5）腐蚀性作业（B27）：可使用的防护用品为</w:t>
      </w:r>
      <w:r w:rsidRPr="00123108">
        <w:rPr>
          <w:rFonts w:ascii="宋体" w:hAnsi="宋体" w:cs="Courier New"/>
          <w:sz w:val="28"/>
          <w:szCs w:val="28"/>
          <w:lang w:val="zh-CN"/>
        </w:rPr>
        <w:t>YM-O4职业眼面部防护具</w:t>
      </w:r>
      <w:r w:rsidRPr="00123108">
        <w:rPr>
          <w:rFonts w:ascii="宋体" w:hAnsi="宋体" w:cs="Courier New" w:hint="eastAsia"/>
          <w:sz w:val="28"/>
          <w:szCs w:val="28"/>
          <w:lang w:val="zh-CN"/>
        </w:rPr>
        <w:t>、</w:t>
      </w:r>
      <w:r w:rsidRPr="00123108">
        <w:rPr>
          <w:rFonts w:ascii="宋体" w:hAnsi="宋体" w:cs="Courier New"/>
          <w:sz w:val="28"/>
          <w:szCs w:val="28"/>
          <w:lang w:val="zh-CN"/>
        </w:rPr>
        <w:t>SF-03防化学品手套</w:t>
      </w:r>
      <w:r w:rsidRPr="00123108">
        <w:rPr>
          <w:rFonts w:ascii="宋体" w:hAnsi="宋体" w:cs="Courier New" w:hint="eastAsia"/>
          <w:sz w:val="28"/>
          <w:szCs w:val="28"/>
          <w:lang w:val="zh-CN"/>
        </w:rPr>
        <w:t>、</w:t>
      </w:r>
      <w:r w:rsidRPr="00123108">
        <w:rPr>
          <w:rFonts w:ascii="宋体" w:hAnsi="宋体" w:cs="Courier New"/>
          <w:sz w:val="28"/>
          <w:szCs w:val="28"/>
          <w:lang w:val="zh-CN"/>
        </w:rPr>
        <w:t>ZB-02防化学品鞋</w:t>
      </w:r>
      <w:r w:rsidRPr="00123108">
        <w:rPr>
          <w:rFonts w:ascii="宋体" w:hAnsi="宋体" w:cs="Courier New" w:hint="eastAsia"/>
          <w:sz w:val="28"/>
          <w:szCs w:val="28"/>
          <w:lang w:val="zh-CN"/>
        </w:rPr>
        <w:t>、</w:t>
      </w:r>
      <w:r w:rsidRPr="00123108">
        <w:rPr>
          <w:rFonts w:ascii="宋体" w:hAnsi="宋体" w:cs="Courier New"/>
          <w:sz w:val="28"/>
          <w:szCs w:val="28"/>
          <w:lang w:val="zh-CN"/>
        </w:rPr>
        <w:t>FZ-07化学防护服</w:t>
      </w:r>
      <w:r w:rsidRPr="00123108">
        <w:rPr>
          <w:rFonts w:ascii="宋体" w:hAnsi="宋体" w:cs="Courier New" w:hint="eastAsia"/>
          <w:sz w:val="28"/>
          <w:szCs w:val="28"/>
        </w:rPr>
        <w:t>。</w:t>
      </w:r>
    </w:p>
    <w:p w:rsidR="004F34D9" w:rsidRPr="00123108" w:rsidRDefault="004F34D9">
      <w:pPr>
        <w:spacing w:line="500" w:lineRule="exact"/>
        <w:ind w:firstLineChars="200" w:firstLine="560"/>
        <w:rPr>
          <w:rFonts w:ascii="宋体" w:hAnsi="宋体" w:cs="Courier New" w:hint="eastAsia"/>
          <w:sz w:val="28"/>
          <w:szCs w:val="28"/>
        </w:rPr>
      </w:pPr>
      <w:r w:rsidRPr="00123108">
        <w:rPr>
          <w:rFonts w:ascii="宋体" w:hAnsi="宋体" w:cs="Courier New" w:hint="eastAsia"/>
          <w:sz w:val="28"/>
          <w:szCs w:val="28"/>
        </w:rPr>
        <w:t>企业已根据不同岗位分别配备了各种劳动防护用品和应急物资装备，劳动防护用品发放标准见表2.13-10，应急物资储备清单</w:t>
      </w:r>
      <w:r w:rsidRPr="00123108">
        <w:rPr>
          <w:rFonts w:ascii="宋体" w:hAnsi="宋体" w:cs="Courier New" w:hint="eastAsia"/>
          <w:sz w:val="28"/>
          <w:szCs w:val="28"/>
          <w:lang w:val="zh-CN"/>
        </w:rPr>
        <w:t>见</w:t>
      </w:r>
      <w:r w:rsidRPr="00123108">
        <w:rPr>
          <w:rFonts w:ascii="宋体" w:hAnsi="宋体" w:cs="Courier New" w:hint="eastAsia"/>
          <w:sz w:val="28"/>
          <w:szCs w:val="28"/>
        </w:rPr>
        <w:t>表2.13-8，消防、气防设施见2.11章节。通过比对，能够符合《个体防护装备配备规范 第1部分：总则》GB 39800.1-2020、《个体防护装备配备规范 第2部分：石油、</w:t>
      </w:r>
      <w:r w:rsidRPr="00123108">
        <w:rPr>
          <w:rFonts w:ascii="宋体" w:hAnsi="宋体" w:cs="Courier New" w:hint="eastAsia"/>
          <w:sz w:val="28"/>
          <w:szCs w:val="28"/>
        </w:rPr>
        <w:lastRenderedPageBreak/>
        <w:t>化工、天然气》GB 39800.2-2020的要求。</w:t>
      </w:r>
    </w:p>
    <w:p w:rsidR="004F34D9" w:rsidRPr="00123108" w:rsidRDefault="004F34D9" w:rsidP="00E36E64">
      <w:pPr>
        <w:pStyle w:val="2"/>
        <w:spacing w:line="500" w:lineRule="exact"/>
        <w:jc w:val="both"/>
        <w:rPr>
          <w:rFonts w:ascii="宋体" w:eastAsia="宋体" w:cs="宋体" w:hint="eastAsia"/>
          <w:sz w:val="28"/>
          <w:szCs w:val="28"/>
        </w:rPr>
      </w:pPr>
      <w:bookmarkStart w:id="1790" w:name="_Toc14620"/>
      <w:bookmarkStart w:id="1791" w:name="_Toc15835"/>
      <w:bookmarkStart w:id="1792" w:name="_Toc30829"/>
      <w:bookmarkStart w:id="1793" w:name="_Toc6865"/>
      <w:bookmarkStart w:id="1794" w:name="_Toc11722"/>
      <w:bookmarkStart w:id="1795" w:name="_Toc15189"/>
      <w:bookmarkStart w:id="1796" w:name="_Toc190935911"/>
      <w:r w:rsidRPr="00123108">
        <w:rPr>
          <w:rFonts w:ascii="宋体" w:eastAsia="宋体" w:cs="宋体" w:hint="eastAsia"/>
          <w:sz w:val="28"/>
          <w:szCs w:val="28"/>
        </w:rPr>
        <w:t>附件2.8 《化工企业安全检查重点指导目录》符合性检查</w:t>
      </w:r>
      <w:bookmarkEnd w:id="1790"/>
      <w:bookmarkEnd w:id="1791"/>
      <w:bookmarkEnd w:id="1792"/>
      <w:bookmarkEnd w:id="1793"/>
      <w:bookmarkEnd w:id="1794"/>
      <w:bookmarkEnd w:id="1795"/>
      <w:bookmarkEnd w:id="1796"/>
    </w:p>
    <w:p w:rsidR="004F34D9" w:rsidRPr="00123108" w:rsidRDefault="004F34D9">
      <w:pPr>
        <w:spacing w:line="500" w:lineRule="exact"/>
        <w:ind w:firstLine="560"/>
        <w:rPr>
          <w:rFonts w:ascii="宋体" w:hAnsi="宋体" w:cs="宋体" w:hint="eastAsia"/>
          <w:sz w:val="28"/>
        </w:rPr>
      </w:pPr>
      <w:r w:rsidRPr="00123108">
        <w:rPr>
          <w:rFonts w:ascii="宋体" w:hAnsi="宋体" w:cs="宋体" w:hint="eastAsia"/>
          <w:sz w:val="28"/>
        </w:rPr>
        <w:t>依据《国家安监总局关于印发&lt;化工（危险化学品）企业安全检查重点指导目录》的通知&gt;安监总管三〔2015〕113号对企业安全生产管理情况进行检查，见附表2.8-1。</w:t>
      </w:r>
    </w:p>
    <w:p w:rsidR="004F34D9" w:rsidRPr="00123108" w:rsidRDefault="004F34D9">
      <w:pPr>
        <w:spacing w:line="500" w:lineRule="exact"/>
        <w:jc w:val="center"/>
        <w:rPr>
          <w:rFonts w:ascii="宋体" w:hAnsi="宋体" w:cs="宋体" w:hint="eastAsia"/>
          <w:b/>
          <w:sz w:val="28"/>
          <w:szCs w:val="22"/>
        </w:rPr>
      </w:pPr>
      <w:r w:rsidRPr="00123108">
        <w:rPr>
          <w:rFonts w:ascii="宋体" w:hAnsi="宋体" w:cs="宋体" w:hint="eastAsia"/>
          <w:b/>
          <w:sz w:val="28"/>
          <w:szCs w:val="22"/>
        </w:rPr>
        <w:t>附表</w:t>
      </w:r>
      <w:r w:rsidRPr="00123108">
        <w:rPr>
          <w:rFonts w:ascii="宋体" w:hAnsi="宋体" w:cs="宋体" w:hint="eastAsia"/>
          <w:b/>
          <w:sz w:val="28"/>
          <w:szCs w:val="28"/>
        </w:rPr>
        <w:t xml:space="preserve">2.8-1 </w:t>
      </w:r>
      <w:r w:rsidRPr="00123108">
        <w:rPr>
          <w:rFonts w:ascii="宋体" w:hAnsi="宋体" w:cs="宋体" w:hint="eastAsia"/>
          <w:b/>
          <w:sz w:val="28"/>
          <w:szCs w:val="22"/>
        </w:rPr>
        <w:t>《化工企业安全检查重点指导目录》符合性检查</w:t>
      </w: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82"/>
        <w:gridCol w:w="3591"/>
        <w:gridCol w:w="2224"/>
        <w:gridCol w:w="1923"/>
        <w:gridCol w:w="855"/>
      </w:tblGrid>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b/>
                <w:szCs w:val="21"/>
              </w:rPr>
              <w:t>序号</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b/>
                <w:szCs w:val="21"/>
              </w:rPr>
              <w:t>检查重点内容</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b/>
                <w:szCs w:val="21"/>
              </w:rPr>
              <w:t>依据条文</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b/>
                <w:szCs w:val="21"/>
              </w:rPr>
              <w:t>检查情况描述</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b/>
                <w:szCs w:val="21"/>
              </w:rPr>
              <w:t>检查结论</w:t>
            </w:r>
          </w:p>
        </w:tc>
      </w:tr>
      <w:tr w:rsidR="004F34D9" w:rsidRPr="00123108">
        <w:trPr>
          <w:trHeight w:val="9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b/>
                <w:szCs w:val="21"/>
              </w:rPr>
            </w:pPr>
            <w:r w:rsidRPr="00123108">
              <w:rPr>
                <w:rFonts w:ascii="宋体" w:hAnsi="宋体" w:cs="宋体" w:hint="eastAsia"/>
                <w:b/>
                <w:szCs w:val="21"/>
              </w:rPr>
              <w:t>一</w:t>
            </w:r>
          </w:p>
        </w:tc>
        <w:tc>
          <w:tcPr>
            <w:tcW w:w="8813" w:type="dxa"/>
            <w:gridSpan w:val="4"/>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b/>
                <w:szCs w:val="21"/>
              </w:rPr>
            </w:pPr>
            <w:r w:rsidRPr="00123108">
              <w:rPr>
                <w:rFonts w:ascii="宋体" w:hAnsi="宋体" w:cs="宋体" w:hint="eastAsia"/>
                <w:b/>
                <w:szCs w:val="21"/>
              </w:rPr>
              <w:t>人员和资质管理</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szCs w:val="21"/>
              </w:rPr>
              <w:t>1</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utoSpaceDE w:val="0"/>
              <w:autoSpaceDN w:val="0"/>
              <w:adjustRightInd w:val="0"/>
              <w:snapToGrid w:val="0"/>
              <w:jc w:val="left"/>
              <w:rPr>
                <w:rFonts w:ascii="宋体" w:hAnsi="宋体" w:cs="宋体" w:hint="eastAsia"/>
                <w:szCs w:val="21"/>
              </w:rPr>
            </w:pPr>
            <w:r w:rsidRPr="00123108">
              <w:rPr>
                <w:rFonts w:ascii="宋体" w:hAnsi="宋体" w:cs="宋体" w:hint="eastAsia"/>
                <w:szCs w:val="21"/>
              </w:rPr>
              <w:t>企业安全生产行政许可手续不齐全或不在有效期内的。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szCs w:val="21"/>
              </w:rPr>
              <w:t>《危险化学品安全管理条例》第十四条、第二十九条、第三十三条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270" w:lineRule="exact"/>
              <w:rPr>
                <w:rFonts w:ascii="宋体" w:hAnsi="宋体" w:cs="宋体" w:hint="eastAsia"/>
                <w:szCs w:val="21"/>
              </w:rPr>
            </w:pPr>
            <w:r w:rsidRPr="00123108">
              <w:rPr>
                <w:rFonts w:ascii="宋体" w:hAnsi="宋体" w:cs="宋体" w:hint="eastAsia"/>
                <w:szCs w:val="21"/>
              </w:rPr>
              <w:t>已取得安全生产许可证</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27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szCs w:val="21"/>
              </w:rPr>
              <w:t>2</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utoSpaceDE w:val="0"/>
              <w:autoSpaceDN w:val="0"/>
              <w:adjustRightInd w:val="0"/>
              <w:snapToGrid w:val="0"/>
              <w:jc w:val="left"/>
              <w:rPr>
                <w:rFonts w:ascii="宋体" w:hAnsi="宋体" w:cs="宋体" w:hint="eastAsia"/>
                <w:szCs w:val="21"/>
              </w:rPr>
            </w:pPr>
            <w:r w:rsidRPr="00123108">
              <w:rPr>
                <w:rFonts w:ascii="宋体" w:hAnsi="宋体" w:cs="宋体" w:hint="eastAsia"/>
                <w:szCs w:val="21"/>
              </w:rPr>
              <w:t>企业未依法明确主要负责人、分管负责人安全生产职责或主要负责人、</w:t>
            </w:r>
            <w:r w:rsidRPr="00123108">
              <w:rPr>
                <w:rFonts w:ascii="宋体" w:hAnsi="宋体" w:cs="宋体" w:hint="eastAsia"/>
                <w:kern w:val="0"/>
                <w:szCs w:val="21"/>
              </w:rPr>
              <w:t>分管负责人未依法履行其安全生产职责的</w:t>
            </w:r>
            <w:r w:rsidRPr="00123108">
              <w:rPr>
                <w:rFonts w:ascii="宋体" w:hAnsi="宋体" w:cs="宋体" w:hint="eastAsia"/>
                <w:szCs w:val="21"/>
              </w:rPr>
              <w:t>。</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szCs w:val="21"/>
              </w:rPr>
              <w:t>《安全生产法》第十九条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310" w:lineRule="exact"/>
              <w:rPr>
                <w:rFonts w:ascii="宋体" w:hAnsi="宋体" w:cs="宋体" w:hint="eastAsia"/>
                <w:szCs w:val="21"/>
              </w:rPr>
            </w:pPr>
            <w:r w:rsidRPr="00123108">
              <w:rPr>
                <w:rFonts w:ascii="宋体" w:hAnsi="宋体" w:cs="宋体" w:hint="eastAsia"/>
                <w:szCs w:val="21"/>
              </w:rPr>
              <w:t>已明确主要负责人、分管负责人安全生产职责</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31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szCs w:val="21"/>
              </w:rPr>
              <w:t>3</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utoSpaceDE w:val="0"/>
              <w:autoSpaceDN w:val="0"/>
              <w:adjustRightInd w:val="0"/>
              <w:snapToGrid w:val="0"/>
              <w:jc w:val="left"/>
              <w:rPr>
                <w:rFonts w:ascii="宋体" w:hAnsi="宋体" w:cs="宋体" w:hint="eastAsia"/>
                <w:szCs w:val="21"/>
              </w:rPr>
            </w:pPr>
            <w:r w:rsidRPr="00123108">
              <w:rPr>
                <w:rFonts w:ascii="宋体" w:hAnsi="宋体" w:cs="宋体" w:hint="eastAsia"/>
                <w:kern w:val="0"/>
                <w:szCs w:val="21"/>
              </w:rPr>
              <w:t>企业未设置安全生产管理机构或配备专职安全生产管理人员的</w:t>
            </w:r>
            <w:r w:rsidRPr="00123108">
              <w:rPr>
                <w:rFonts w:ascii="宋体" w:hAnsi="宋体" w:cs="宋体" w:hint="eastAsia"/>
                <w:szCs w:val="21"/>
              </w:rPr>
              <w:t>。</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szCs w:val="21"/>
              </w:rPr>
              <w:t>《安全生产法》第二十一条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310" w:lineRule="exact"/>
              <w:rPr>
                <w:rFonts w:ascii="宋体" w:hAnsi="宋体" w:cs="宋体" w:hint="eastAsia"/>
                <w:szCs w:val="21"/>
              </w:rPr>
            </w:pPr>
            <w:r w:rsidRPr="00123108">
              <w:rPr>
                <w:rFonts w:ascii="宋体" w:hAnsi="宋体" w:cs="宋体" w:hint="eastAsia"/>
                <w:szCs w:val="21"/>
              </w:rPr>
              <w:t>已设置安全生产管理机构，已配备专职安全生产管理人员</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27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szCs w:val="21"/>
              </w:rPr>
              <w:t>4</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utoSpaceDE w:val="0"/>
              <w:autoSpaceDN w:val="0"/>
              <w:adjustRightInd w:val="0"/>
              <w:snapToGrid w:val="0"/>
              <w:jc w:val="left"/>
              <w:rPr>
                <w:rFonts w:ascii="宋体" w:hAnsi="宋体" w:cs="宋体" w:hint="eastAsia"/>
                <w:szCs w:val="21"/>
              </w:rPr>
            </w:pPr>
            <w:r w:rsidRPr="00123108">
              <w:rPr>
                <w:rFonts w:ascii="宋体" w:hAnsi="宋体" w:cs="宋体" w:hint="eastAsia"/>
                <w:szCs w:val="21"/>
              </w:rPr>
              <w:t>企业的主要负责人、</w:t>
            </w:r>
            <w:r w:rsidRPr="00123108">
              <w:rPr>
                <w:rFonts w:ascii="宋体" w:hAnsi="宋体" w:cs="宋体" w:hint="eastAsia"/>
                <w:kern w:val="0"/>
                <w:szCs w:val="21"/>
              </w:rPr>
              <w:t>安全负责人及其他安全生产管理人员未按照规定经考核合格的</w:t>
            </w:r>
            <w:r w:rsidRPr="00123108">
              <w:rPr>
                <w:rFonts w:ascii="宋体" w:hAnsi="宋体" w:cs="宋体" w:hint="eastAsia"/>
                <w:szCs w:val="21"/>
              </w:rPr>
              <w:t>。</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szCs w:val="21"/>
              </w:rPr>
              <w:t>《安全生产法》第二十四条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310" w:lineRule="exact"/>
              <w:rPr>
                <w:rFonts w:ascii="宋体" w:hAnsi="宋体" w:cs="宋体" w:hint="eastAsia"/>
                <w:szCs w:val="21"/>
              </w:rPr>
            </w:pPr>
            <w:r w:rsidRPr="00123108">
              <w:rPr>
                <w:rFonts w:ascii="宋体" w:hAnsi="宋体" w:cs="宋体" w:hint="eastAsia"/>
                <w:szCs w:val="21"/>
              </w:rPr>
              <w:t>企业主要负责人、安全生产管理人员已取证</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31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szCs w:val="21"/>
              </w:rPr>
              <w:t>5</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left"/>
              <w:rPr>
                <w:rFonts w:ascii="宋体" w:hAnsi="宋体" w:cs="宋体" w:hint="eastAsia"/>
                <w:szCs w:val="21"/>
              </w:rPr>
            </w:pPr>
            <w:r w:rsidRPr="00123108">
              <w:rPr>
                <w:rFonts w:ascii="宋体" w:hAnsi="宋体" w:cs="宋体" w:hint="eastAsia"/>
                <w:szCs w:val="21"/>
              </w:rPr>
              <w:t>企业未对从业人员进行安全生产教育培训或者安排未经安全生产教育和培训合格的从业人员上岗作业的。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szCs w:val="21"/>
              </w:rPr>
              <w:t>《安全生产法》第二十五条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310" w:lineRule="exact"/>
              <w:rPr>
                <w:rFonts w:ascii="宋体" w:hAnsi="宋体" w:cs="宋体" w:hint="eastAsia"/>
                <w:szCs w:val="21"/>
              </w:rPr>
            </w:pPr>
            <w:r w:rsidRPr="00123108">
              <w:rPr>
                <w:rFonts w:ascii="宋体" w:hAnsi="宋体" w:cs="宋体" w:hint="eastAsia"/>
                <w:szCs w:val="21"/>
              </w:rPr>
              <w:t>企业从业人员已进行安全生产教育培训</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27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szCs w:val="21"/>
              </w:rPr>
              <w:t>6</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left"/>
              <w:rPr>
                <w:rFonts w:ascii="宋体" w:hAnsi="宋体" w:cs="宋体" w:hint="eastAsia"/>
                <w:szCs w:val="21"/>
              </w:rPr>
            </w:pPr>
            <w:r w:rsidRPr="00123108">
              <w:rPr>
                <w:rFonts w:ascii="宋体" w:hAnsi="宋体" w:cs="宋体" w:hint="eastAsia"/>
                <w:szCs w:val="21"/>
              </w:rPr>
              <w:t>从业人员对本岗位涉及的危险化学品危险特性不熟悉的。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szCs w:val="21"/>
              </w:rPr>
              <w:t>《安全生产法》第二十五条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260" w:lineRule="exact"/>
              <w:rPr>
                <w:rFonts w:ascii="宋体" w:hAnsi="宋体" w:cs="宋体" w:hint="eastAsia"/>
                <w:szCs w:val="21"/>
              </w:rPr>
            </w:pPr>
            <w:r w:rsidRPr="00123108">
              <w:rPr>
                <w:rFonts w:ascii="宋体" w:hAnsi="宋体" w:cs="宋体" w:hint="eastAsia"/>
                <w:szCs w:val="21"/>
              </w:rPr>
              <w:t>已对作业岗位人员进行岗位培训，告知危险化学品特性</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31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szCs w:val="21"/>
              </w:rPr>
              <w:t>7</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left"/>
              <w:rPr>
                <w:rFonts w:ascii="宋体" w:hAnsi="宋体" w:cs="宋体" w:hint="eastAsia"/>
                <w:szCs w:val="21"/>
              </w:rPr>
            </w:pPr>
            <w:r w:rsidRPr="00123108">
              <w:rPr>
                <w:rFonts w:ascii="宋体" w:hAnsi="宋体" w:cs="宋体" w:hint="eastAsia"/>
                <w:szCs w:val="21"/>
              </w:rPr>
              <w:t>特种作业人员未按照国家有关规定经专门的安全作业培训并取得相应资格上岗作业的。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szCs w:val="21"/>
              </w:rPr>
              <w:t>《安全生产法》第二十七条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rPr>
                <w:rFonts w:ascii="宋体" w:hAnsi="宋体" w:cs="宋体" w:hint="eastAsia"/>
                <w:szCs w:val="21"/>
              </w:rPr>
            </w:pPr>
            <w:r w:rsidRPr="00123108">
              <w:rPr>
                <w:rFonts w:ascii="宋体" w:hAnsi="宋体" w:cs="宋体" w:hint="eastAsia"/>
                <w:szCs w:val="21"/>
              </w:rPr>
              <w:t>特种作业人员已取得相应资质证书</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27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szCs w:val="21"/>
              </w:rPr>
              <w:t>8</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tabs>
                <w:tab w:val="center" w:pos="4153"/>
                <w:tab w:val="right" w:pos="8306"/>
              </w:tabs>
              <w:adjustRightInd w:val="0"/>
              <w:snapToGrid w:val="0"/>
              <w:spacing w:line="280" w:lineRule="exact"/>
              <w:jc w:val="left"/>
              <w:rPr>
                <w:rFonts w:ascii="宋体" w:hAnsi="宋体" w:cs="宋体" w:hint="eastAsia"/>
                <w:szCs w:val="21"/>
              </w:rPr>
            </w:pPr>
            <w:r w:rsidRPr="00123108">
              <w:rPr>
                <w:rFonts w:ascii="宋体" w:hAnsi="宋体" w:cs="宋体" w:hint="eastAsia"/>
                <w:szCs w:val="21"/>
              </w:rPr>
              <w:t>选用不符合资质的承包商或未对承包商的安全生产工作统一协调、管理的。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tabs>
                <w:tab w:val="center" w:pos="4153"/>
                <w:tab w:val="right" w:pos="8306"/>
              </w:tabs>
              <w:adjustRightInd w:val="0"/>
              <w:snapToGrid w:val="0"/>
              <w:spacing w:line="280" w:lineRule="exact"/>
              <w:jc w:val="center"/>
              <w:rPr>
                <w:rFonts w:ascii="宋体" w:hAnsi="宋体" w:cs="宋体" w:hint="eastAsia"/>
                <w:szCs w:val="21"/>
              </w:rPr>
            </w:pPr>
            <w:r w:rsidRPr="00123108">
              <w:rPr>
                <w:rFonts w:ascii="宋体" w:hAnsi="宋体" w:cs="宋体" w:hint="eastAsia"/>
                <w:szCs w:val="21"/>
              </w:rPr>
              <w:t>《安全生产法》第四十六条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280" w:lineRule="exact"/>
              <w:rPr>
                <w:rFonts w:ascii="宋体" w:hAnsi="宋体" w:cs="宋体" w:hint="eastAsia"/>
                <w:szCs w:val="21"/>
              </w:rPr>
            </w:pPr>
            <w:r w:rsidRPr="00123108">
              <w:rPr>
                <w:rFonts w:ascii="宋体" w:hAnsi="宋体" w:cs="宋体" w:hint="eastAsia"/>
                <w:szCs w:val="21"/>
              </w:rPr>
              <w:t>制定有承包商管理制度，按要求对承包商进行培训</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31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szCs w:val="21"/>
              </w:rPr>
              <w:t>9</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tabs>
                <w:tab w:val="center" w:pos="4153"/>
                <w:tab w:val="right" w:pos="8306"/>
              </w:tabs>
              <w:adjustRightInd w:val="0"/>
              <w:snapToGrid w:val="0"/>
              <w:spacing w:line="300" w:lineRule="exact"/>
              <w:jc w:val="left"/>
              <w:rPr>
                <w:rFonts w:ascii="宋体" w:hAnsi="宋体" w:cs="宋体" w:hint="eastAsia"/>
                <w:szCs w:val="21"/>
              </w:rPr>
            </w:pPr>
            <w:r w:rsidRPr="00123108">
              <w:rPr>
                <w:rFonts w:ascii="宋体" w:hAnsi="宋体" w:cs="宋体" w:hint="eastAsia"/>
                <w:szCs w:val="21"/>
              </w:rPr>
              <w:t>将火种带入易燃易爆场所或存在脱岗、睡岗、酒后上岗行为的。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tabs>
                <w:tab w:val="center" w:pos="4153"/>
                <w:tab w:val="right" w:pos="8306"/>
              </w:tabs>
              <w:adjustRightInd w:val="0"/>
              <w:snapToGrid w:val="0"/>
              <w:spacing w:line="300" w:lineRule="exact"/>
              <w:jc w:val="center"/>
              <w:rPr>
                <w:rFonts w:ascii="宋体" w:hAnsi="宋体" w:cs="宋体" w:hint="eastAsia"/>
                <w:szCs w:val="21"/>
              </w:rPr>
            </w:pPr>
            <w:r w:rsidRPr="00123108">
              <w:rPr>
                <w:rFonts w:ascii="宋体" w:hAnsi="宋体" w:cs="宋体" w:hint="eastAsia"/>
                <w:szCs w:val="21"/>
              </w:rPr>
              <w:t>《安全生产法》第五十四条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tabs>
                <w:tab w:val="center" w:pos="4153"/>
                <w:tab w:val="right" w:pos="8306"/>
              </w:tabs>
              <w:adjustRightInd w:val="0"/>
              <w:snapToGrid w:val="0"/>
              <w:spacing w:line="300" w:lineRule="exact"/>
              <w:rPr>
                <w:rFonts w:ascii="宋体" w:hAnsi="宋体" w:cs="宋体" w:hint="eastAsia"/>
                <w:szCs w:val="21"/>
              </w:rPr>
            </w:pPr>
            <w:r w:rsidRPr="00123108">
              <w:rPr>
                <w:rFonts w:ascii="宋体" w:hAnsi="宋体" w:cs="宋体" w:hint="eastAsia"/>
                <w:szCs w:val="21"/>
              </w:rPr>
              <w:t>生产区隔离管理，未发现脱岗、睡岗、酒后上岗行为</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tabs>
                <w:tab w:val="center" w:pos="4153"/>
                <w:tab w:val="right" w:pos="8306"/>
              </w:tabs>
              <w:adjustRightInd w:val="0"/>
              <w:snapToGrid w:val="0"/>
              <w:spacing w:line="300" w:lineRule="exact"/>
              <w:jc w:val="center"/>
              <w:rPr>
                <w:rFonts w:ascii="宋体" w:hAnsi="宋体" w:cs="宋体" w:hint="eastAsia"/>
                <w:kern w:val="0"/>
                <w:szCs w:val="21"/>
              </w:rPr>
            </w:pPr>
            <w:r w:rsidRPr="00123108">
              <w:rPr>
                <w:rFonts w:ascii="宋体" w:hAnsi="宋体" w:cs="宋体" w:hint="eastAsia"/>
                <w:szCs w:val="21"/>
              </w:rPr>
              <w:t>符合</w:t>
            </w:r>
          </w:p>
        </w:tc>
      </w:tr>
      <w:tr w:rsidR="004F34D9" w:rsidRPr="00123108">
        <w:trPr>
          <w:trHeight w:val="9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szCs w:val="21"/>
              </w:rPr>
              <w:t>二</w:t>
            </w:r>
          </w:p>
        </w:tc>
        <w:tc>
          <w:tcPr>
            <w:tcW w:w="8813" w:type="dxa"/>
            <w:gridSpan w:val="4"/>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tabs>
                <w:tab w:val="center" w:pos="4153"/>
                <w:tab w:val="right" w:pos="8306"/>
              </w:tabs>
              <w:adjustRightInd w:val="0"/>
              <w:snapToGrid w:val="0"/>
              <w:spacing w:line="300" w:lineRule="exact"/>
              <w:jc w:val="center"/>
              <w:rPr>
                <w:rFonts w:ascii="宋体" w:hAnsi="宋体" w:cs="宋体" w:hint="eastAsia"/>
                <w:kern w:val="0"/>
                <w:szCs w:val="21"/>
              </w:rPr>
            </w:pPr>
            <w:r w:rsidRPr="00123108">
              <w:rPr>
                <w:rFonts w:ascii="宋体" w:hAnsi="宋体" w:cs="宋体" w:hint="eastAsia"/>
                <w:b/>
                <w:szCs w:val="21"/>
              </w:rPr>
              <w:t>工艺管理</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10</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tabs>
                <w:tab w:val="center" w:pos="4153"/>
                <w:tab w:val="right" w:pos="8306"/>
              </w:tabs>
              <w:adjustRightInd w:val="0"/>
              <w:snapToGrid w:val="0"/>
              <w:spacing w:line="300" w:lineRule="exact"/>
              <w:jc w:val="left"/>
              <w:rPr>
                <w:rFonts w:ascii="宋体" w:hAnsi="宋体" w:cs="宋体" w:hint="eastAsia"/>
                <w:kern w:val="0"/>
                <w:szCs w:val="21"/>
              </w:rPr>
            </w:pPr>
            <w:r w:rsidRPr="00123108">
              <w:rPr>
                <w:rFonts w:ascii="宋体" w:hAnsi="宋体" w:cs="宋体" w:hint="eastAsia"/>
                <w:kern w:val="0"/>
                <w:szCs w:val="21"/>
              </w:rPr>
              <w:t>在役化工装置未经正规设计且未进行安全设计诊断的。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tabs>
                <w:tab w:val="center" w:pos="4153"/>
                <w:tab w:val="right" w:pos="8306"/>
              </w:tabs>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《安全生产法》第三十八条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tabs>
                <w:tab w:val="center" w:pos="4153"/>
                <w:tab w:val="right" w:pos="8306"/>
              </w:tabs>
              <w:adjustRightInd w:val="0"/>
              <w:snapToGrid w:val="0"/>
              <w:spacing w:line="320" w:lineRule="exact"/>
              <w:rPr>
                <w:rFonts w:ascii="宋体" w:hAnsi="宋体" w:cs="宋体" w:hint="eastAsia"/>
                <w:kern w:val="0"/>
                <w:szCs w:val="21"/>
              </w:rPr>
            </w:pPr>
            <w:r w:rsidRPr="00123108">
              <w:rPr>
                <w:rFonts w:ascii="宋体" w:hAnsi="宋体" w:cs="宋体" w:hint="eastAsia"/>
                <w:kern w:val="0"/>
                <w:szCs w:val="21"/>
              </w:rPr>
              <w:t>生产装置经有资质单位进行设计</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27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lastRenderedPageBreak/>
              <w:t>11</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left"/>
              <w:rPr>
                <w:rFonts w:ascii="宋体" w:hAnsi="宋体" w:cs="宋体" w:hint="eastAsia"/>
                <w:kern w:val="0"/>
                <w:szCs w:val="21"/>
              </w:rPr>
            </w:pPr>
            <w:r w:rsidRPr="00123108">
              <w:rPr>
                <w:rFonts w:ascii="宋体" w:hAnsi="宋体" w:cs="宋体" w:hint="eastAsia"/>
                <w:kern w:val="0"/>
                <w:szCs w:val="21"/>
              </w:rPr>
              <w:t>新开发的危险化学品生产工艺未经逐级放大试验到工业化生产或首次使用的化工工艺未经省级人民政府有关部门组织安全可靠性论证的。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《危险化学品生产企业安全生产许可证实施办法》（国家安全监管总局令第41号</w:t>
            </w:r>
            <w:r w:rsidR="007A1DBC" w:rsidRPr="00123108">
              <w:rPr>
                <w:rFonts w:ascii="宋体" w:hAnsi="宋体" w:cs="宋体" w:hint="eastAsia"/>
                <w:kern w:val="0"/>
                <w:szCs w:val="21"/>
              </w:rPr>
              <w:t>修正</w:t>
            </w:r>
            <w:r w:rsidRPr="00123108">
              <w:rPr>
                <w:rFonts w:ascii="宋体" w:hAnsi="宋体" w:cs="宋体" w:hint="eastAsia"/>
                <w:kern w:val="0"/>
                <w:szCs w:val="21"/>
              </w:rPr>
              <w:t>）</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20" w:lineRule="exact"/>
              <w:rPr>
                <w:rFonts w:ascii="宋体" w:hAnsi="宋体" w:cs="宋体" w:hint="eastAsia"/>
                <w:kern w:val="0"/>
                <w:szCs w:val="21"/>
              </w:rPr>
            </w:pPr>
            <w:r w:rsidRPr="00123108">
              <w:rPr>
                <w:rFonts w:ascii="宋体" w:hAnsi="宋体" w:cs="宋体" w:hint="eastAsia"/>
                <w:kern w:val="0"/>
                <w:szCs w:val="21"/>
              </w:rPr>
              <w:t>不涉及新开发的危险化学品生产工艺、首次使用的化工工艺</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310" w:lineRule="exact"/>
              <w:jc w:val="center"/>
              <w:rPr>
                <w:rFonts w:ascii="宋体" w:hAnsi="宋体" w:cs="宋体" w:hint="eastAsia"/>
                <w:szCs w:val="21"/>
              </w:rPr>
            </w:pPr>
            <w:r w:rsidRPr="00123108">
              <w:rPr>
                <w:rFonts w:ascii="宋体" w:hAnsi="宋体" w:cs="宋体" w:hint="eastAsia"/>
                <w:szCs w:val="21"/>
              </w:rPr>
              <w:t>/</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12</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left"/>
              <w:rPr>
                <w:rFonts w:ascii="宋体" w:hAnsi="宋体" w:cs="宋体" w:hint="eastAsia"/>
                <w:kern w:val="0"/>
                <w:szCs w:val="21"/>
              </w:rPr>
            </w:pPr>
            <w:r w:rsidRPr="00123108">
              <w:rPr>
                <w:rFonts w:ascii="宋体" w:hAnsi="宋体" w:cs="宋体" w:hint="eastAsia"/>
                <w:kern w:val="0"/>
                <w:szCs w:val="21"/>
              </w:rPr>
              <w:t>未按规定制定操作规程和工艺控制指标的。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《安全生产法》第十八条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20" w:lineRule="exact"/>
              <w:rPr>
                <w:rFonts w:ascii="宋体" w:hAnsi="宋体" w:cs="宋体" w:hint="eastAsia"/>
                <w:szCs w:val="21"/>
              </w:rPr>
            </w:pPr>
            <w:r w:rsidRPr="00123108">
              <w:rPr>
                <w:rFonts w:ascii="宋体" w:hAnsi="宋体" w:cs="宋体" w:hint="eastAsia"/>
                <w:szCs w:val="21"/>
              </w:rPr>
              <w:t>已制定岗位安全操作规程</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27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9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kern w:val="0"/>
                <w:szCs w:val="21"/>
              </w:rPr>
            </w:pPr>
            <w:r w:rsidRPr="00123108">
              <w:rPr>
                <w:rFonts w:ascii="宋体" w:hAnsi="宋体" w:cs="宋体" w:hint="eastAsia"/>
                <w:kern w:val="0"/>
                <w:szCs w:val="21"/>
              </w:rPr>
              <w:t>13</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tabs>
                <w:tab w:val="center" w:pos="4153"/>
                <w:tab w:val="right" w:pos="8306"/>
              </w:tabs>
              <w:adjustRightInd w:val="0"/>
              <w:snapToGrid w:val="0"/>
              <w:spacing w:line="280" w:lineRule="exact"/>
              <w:jc w:val="left"/>
              <w:rPr>
                <w:rFonts w:ascii="宋体" w:hAnsi="宋体" w:cs="宋体" w:hint="eastAsia"/>
                <w:kern w:val="0"/>
                <w:szCs w:val="21"/>
              </w:rPr>
            </w:pPr>
            <w:r w:rsidRPr="00123108">
              <w:rPr>
                <w:rFonts w:ascii="宋体" w:hAnsi="宋体" w:cs="宋体" w:hint="eastAsia"/>
                <w:kern w:val="0"/>
                <w:szCs w:val="21"/>
              </w:rPr>
              <w:t>生产、储存装置及设施超温、超压、超液位运行的。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tabs>
                <w:tab w:val="center" w:pos="4153"/>
                <w:tab w:val="right" w:pos="8306"/>
              </w:tabs>
              <w:adjustRightInd w:val="0"/>
              <w:snapToGrid w:val="0"/>
              <w:spacing w:line="280" w:lineRule="exact"/>
              <w:jc w:val="center"/>
              <w:rPr>
                <w:rFonts w:ascii="宋体" w:hAnsi="宋体" w:cs="宋体" w:hint="eastAsia"/>
                <w:kern w:val="0"/>
                <w:szCs w:val="21"/>
              </w:rPr>
            </w:pPr>
            <w:r w:rsidRPr="00123108">
              <w:rPr>
                <w:rFonts w:ascii="宋体" w:hAnsi="宋体" w:cs="宋体" w:hint="eastAsia"/>
                <w:kern w:val="0"/>
                <w:szCs w:val="21"/>
              </w:rPr>
              <w:t>《安全生产法》第三十八条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tabs>
                <w:tab w:val="center" w:pos="4153"/>
                <w:tab w:val="right" w:pos="8306"/>
              </w:tabs>
              <w:adjustRightInd w:val="0"/>
              <w:snapToGrid w:val="0"/>
              <w:spacing w:line="290" w:lineRule="exact"/>
              <w:rPr>
                <w:rFonts w:ascii="宋体" w:hAnsi="宋体" w:cs="宋体"/>
                <w:kern w:val="0"/>
                <w:szCs w:val="21"/>
              </w:rPr>
            </w:pPr>
            <w:r w:rsidRPr="00123108">
              <w:rPr>
                <w:rFonts w:ascii="宋体" w:hAnsi="宋体" w:cs="宋体" w:hint="eastAsia"/>
                <w:kern w:val="0"/>
                <w:szCs w:val="21"/>
              </w:rPr>
              <w:t>设有控制室，现场勘查时生产、储存装置及设施未有 超温、超压、超液位运行</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31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kern w:val="0"/>
                <w:szCs w:val="21"/>
              </w:rPr>
            </w:pPr>
            <w:r w:rsidRPr="00123108">
              <w:rPr>
                <w:rFonts w:ascii="宋体" w:hAnsi="宋体" w:cs="宋体" w:hint="eastAsia"/>
                <w:kern w:val="0"/>
                <w:szCs w:val="21"/>
              </w:rPr>
              <w:t>14</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tabs>
                <w:tab w:val="center" w:pos="4153"/>
                <w:tab w:val="right" w:pos="8306"/>
              </w:tabs>
              <w:adjustRightInd w:val="0"/>
              <w:snapToGrid w:val="0"/>
              <w:spacing w:line="280" w:lineRule="exact"/>
              <w:jc w:val="left"/>
              <w:rPr>
                <w:rFonts w:ascii="宋体" w:hAnsi="宋体" w:cs="宋体" w:hint="eastAsia"/>
                <w:kern w:val="0"/>
                <w:szCs w:val="21"/>
              </w:rPr>
            </w:pPr>
            <w:r w:rsidRPr="00123108">
              <w:rPr>
                <w:rFonts w:ascii="宋体" w:hAnsi="宋体" w:cs="宋体" w:hint="eastAsia"/>
                <w:kern w:val="0"/>
                <w:szCs w:val="21"/>
              </w:rPr>
              <w:t>在厂房、围堤、窨井等场所内设置有毒有害气体排放口且未采取有效防范措施的。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kern w:val="0"/>
                <w:szCs w:val="21"/>
              </w:rPr>
            </w:pPr>
            <w:r w:rsidRPr="00123108">
              <w:rPr>
                <w:rFonts w:ascii="宋体" w:hAnsi="宋体" w:cs="宋体" w:hint="eastAsia"/>
                <w:kern w:val="0"/>
                <w:szCs w:val="21"/>
              </w:rPr>
              <w:t>《安全生产法》第三十八条、</w:t>
            </w:r>
          </w:p>
          <w:p w:rsidR="004F34D9" w:rsidRPr="00123108" w:rsidRDefault="004F34D9">
            <w:pPr>
              <w:adjustRightInd w:val="0"/>
              <w:snapToGrid w:val="0"/>
              <w:spacing w:line="280" w:lineRule="exact"/>
              <w:jc w:val="center"/>
              <w:rPr>
                <w:rFonts w:ascii="宋体" w:hAnsi="宋体" w:cs="宋体" w:hint="eastAsia"/>
                <w:kern w:val="0"/>
                <w:szCs w:val="21"/>
              </w:rPr>
            </w:pPr>
            <w:r w:rsidRPr="00123108">
              <w:rPr>
                <w:rFonts w:ascii="宋体" w:hAnsi="宋体" w:cs="宋体" w:hint="eastAsia"/>
                <w:kern w:val="0"/>
                <w:szCs w:val="21"/>
              </w:rPr>
              <w:t>《工业企业设计卫生标准》（GBZ1）第6.1.5.1条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tabs>
                <w:tab w:val="center" w:pos="4153"/>
                <w:tab w:val="right" w:pos="8306"/>
              </w:tabs>
              <w:adjustRightInd w:val="0"/>
              <w:snapToGrid w:val="0"/>
              <w:spacing w:line="290" w:lineRule="exact"/>
              <w:rPr>
                <w:rFonts w:ascii="宋体" w:hAnsi="宋体" w:cs="宋体" w:hint="eastAsia"/>
                <w:kern w:val="0"/>
                <w:szCs w:val="21"/>
              </w:rPr>
            </w:pPr>
            <w:r w:rsidRPr="00123108">
              <w:rPr>
                <w:rFonts w:ascii="宋体" w:hAnsi="宋体" w:cs="宋体" w:hint="eastAsia"/>
                <w:kern w:val="0"/>
                <w:szCs w:val="21"/>
              </w:rPr>
              <w:t>生产装置、围堤等区域设有可燃气体检测报警仪</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27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kern w:val="0"/>
                <w:szCs w:val="21"/>
              </w:rPr>
            </w:pPr>
            <w:r w:rsidRPr="00123108">
              <w:rPr>
                <w:rFonts w:ascii="宋体" w:hAnsi="宋体" w:cs="宋体" w:hint="eastAsia"/>
                <w:kern w:val="0"/>
                <w:szCs w:val="21"/>
              </w:rPr>
              <w:t>15</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left"/>
              <w:rPr>
                <w:rFonts w:ascii="宋体" w:hAnsi="宋体" w:cs="宋体" w:hint="eastAsia"/>
                <w:kern w:val="0"/>
                <w:szCs w:val="21"/>
              </w:rPr>
            </w:pPr>
            <w:r w:rsidRPr="00123108">
              <w:rPr>
                <w:rFonts w:ascii="宋体" w:hAnsi="宋体" w:cs="宋体" w:hint="eastAsia"/>
                <w:kern w:val="0"/>
                <w:szCs w:val="21"/>
              </w:rPr>
              <w:t>涉及液化烃、液氨、液氯、硫化氢等易燃易爆及有毒介质的安全阀及其他泄放设施直排大气的（环氧乙烷的排放应采取安全措施）。</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kern w:val="0"/>
                <w:szCs w:val="21"/>
              </w:rPr>
            </w:pPr>
            <w:r w:rsidRPr="00123108">
              <w:rPr>
                <w:rFonts w:ascii="宋体" w:hAnsi="宋体" w:cs="宋体" w:hint="eastAsia"/>
                <w:kern w:val="0"/>
                <w:szCs w:val="21"/>
              </w:rPr>
              <w:t>《安全生产法》第三十三条、《固定式压力容器安全技术监察规程》（TSG R0004-2009）第8.2（3）条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tabs>
                <w:tab w:val="center" w:pos="4153"/>
                <w:tab w:val="right" w:pos="8306"/>
              </w:tabs>
              <w:adjustRightInd w:val="0"/>
              <w:snapToGrid w:val="0"/>
              <w:spacing w:line="290" w:lineRule="exact"/>
              <w:rPr>
                <w:rFonts w:ascii="宋体" w:hAnsi="宋体" w:cs="宋体"/>
                <w:kern w:val="0"/>
                <w:szCs w:val="21"/>
              </w:rPr>
            </w:pPr>
            <w:r w:rsidRPr="00123108">
              <w:rPr>
                <w:rFonts w:ascii="宋体" w:hAnsi="宋体" w:cs="宋体" w:hint="eastAsia"/>
                <w:kern w:val="0"/>
                <w:szCs w:val="21"/>
              </w:rPr>
              <w:t>不涉及液化烃、液氨、液氯、硫化氢</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310" w:lineRule="exact"/>
              <w:jc w:val="center"/>
              <w:rPr>
                <w:rFonts w:ascii="宋体" w:hAnsi="宋体" w:cs="宋体" w:hint="eastAsia"/>
                <w:szCs w:val="21"/>
              </w:rPr>
            </w:pPr>
            <w:r w:rsidRPr="00123108">
              <w:rPr>
                <w:rFonts w:ascii="宋体" w:hAnsi="宋体" w:cs="宋体" w:hint="eastAsia"/>
                <w:szCs w:val="21"/>
              </w:rPr>
              <w:t>/</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kern w:val="0"/>
                <w:szCs w:val="21"/>
              </w:rPr>
            </w:pPr>
            <w:r w:rsidRPr="00123108">
              <w:rPr>
                <w:rFonts w:ascii="宋体" w:hAnsi="宋体" w:cs="宋体" w:hint="eastAsia"/>
                <w:kern w:val="0"/>
                <w:szCs w:val="21"/>
              </w:rPr>
              <w:t>16</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left"/>
              <w:rPr>
                <w:rFonts w:ascii="宋体" w:hAnsi="宋体" w:cs="宋体" w:hint="eastAsia"/>
                <w:kern w:val="0"/>
                <w:szCs w:val="21"/>
              </w:rPr>
            </w:pPr>
            <w:r w:rsidRPr="00123108">
              <w:rPr>
                <w:rFonts w:ascii="宋体" w:hAnsi="宋体" w:cs="宋体" w:hint="eastAsia"/>
                <w:kern w:val="0"/>
                <w:szCs w:val="21"/>
              </w:rPr>
              <w:t>液化烃、液氨、液氯等易燃易爆、有毒有害液化气体的充装未使用万向节管道充装系统的。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kern w:val="0"/>
                <w:szCs w:val="21"/>
              </w:rPr>
            </w:pPr>
            <w:r w:rsidRPr="00123108">
              <w:rPr>
                <w:rFonts w:ascii="宋体" w:hAnsi="宋体" w:cs="宋体" w:hint="eastAsia"/>
                <w:kern w:val="0"/>
                <w:szCs w:val="21"/>
              </w:rPr>
              <w:t>《安全生产法》第三十八条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tabs>
                <w:tab w:val="center" w:pos="4153"/>
                <w:tab w:val="right" w:pos="8306"/>
              </w:tabs>
              <w:adjustRightInd w:val="0"/>
              <w:snapToGrid w:val="0"/>
              <w:spacing w:line="290" w:lineRule="exact"/>
              <w:rPr>
                <w:rFonts w:ascii="宋体" w:hAnsi="宋体" w:cs="宋体" w:hint="eastAsia"/>
                <w:kern w:val="0"/>
                <w:szCs w:val="21"/>
              </w:rPr>
            </w:pPr>
            <w:r w:rsidRPr="00123108">
              <w:rPr>
                <w:rFonts w:ascii="宋体" w:hAnsi="宋体" w:cs="宋体" w:hint="eastAsia"/>
                <w:kern w:val="0"/>
                <w:szCs w:val="21"/>
              </w:rPr>
              <w:t>不涉及液化烃、液氨、液氯</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310" w:lineRule="exact"/>
              <w:jc w:val="center"/>
              <w:rPr>
                <w:rFonts w:ascii="宋体" w:hAnsi="宋体" w:cs="宋体" w:hint="eastAsia"/>
                <w:szCs w:val="21"/>
              </w:rPr>
            </w:pPr>
            <w:r w:rsidRPr="00123108">
              <w:rPr>
                <w:rFonts w:ascii="宋体" w:hAnsi="宋体" w:cs="宋体" w:hint="eastAsia"/>
                <w:szCs w:val="21"/>
              </w:rPr>
              <w:t>/</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kern w:val="0"/>
                <w:szCs w:val="21"/>
              </w:rPr>
            </w:pPr>
            <w:r w:rsidRPr="00123108">
              <w:rPr>
                <w:rFonts w:ascii="宋体" w:hAnsi="宋体" w:cs="宋体" w:hint="eastAsia"/>
                <w:kern w:val="0"/>
                <w:szCs w:val="21"/>
              </w:rPr>
              <w:t>17</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tabs>
                <w:tab w:val="center" w:pos="4153"/>
                <w:tab w:val="right" w:pos="8306"/>
              </w:tabs>
              <w:adjustRightInd w:val="0"/>
              <w:snapToGrid w:val="0"/>
              <w:spacing w:line="280" w:lineRule="exact"/>
              <w:jc w:val="left"/>
              <w:rPr>
                <w:rFonts w:ascii="宋体" w:hAnsi="宋体" w:cs="宋体" w:hint="eastAsia"/>
                <w:kern w:val="0"/>
                <w:szCs w:val="21"/>
              </w:rPr>
            </w:pPr>
            <w:r w:rsidRPr="00123108">
              <w:rPr>
                <w:rFonts w:ascii="宋体" w:hAnsi="宋体" w:cs="宋体" w:hint="eastAsia"/>
                <w:kern w:val="0"/>
                <w:szCs w:val="21"/>
              </w:rPr>
              <w:t>浮顶储罐运行中浮盘落底的。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tabs>
                <w:tab w:val="center" w:pos="4153"/>
                <w:tab w:val="right" w:pos="8306"/>
              </w:tabs>
              <w:adjustRightInd w:val="0"/>
              <w:snapToGrid w:val="0"/>
              <w:spacing w:line="280" w:lineRule="exact"/>
              <w:jc w:val="center"/>
              <w:rPr>
                <w:rFonts w:ascii="宋体" w:hAnsi="宋体" w:cs="宋体" w:hint="eastAsia"/>
                <w:kern w:val="0"/>
                <w:szCs w:val="21"/>
              </w:rPr>
            </w:pPr>
            <w:r w:rsidRPr="00123108">
              <w:rPr>
                <w:rFonts w:ascii="宋体" w:hAnsi="宋体" w:cs="宋体" w:hint="eastAsia"/>
                <w:kern w:val="0"/>
                <w:szCs w:val="21"/>
              </w:rPr>
              <w:t>《安全生产法》第三十八条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tabs>
                <w:tab w:val="center" w:pos="4153"/>
                <w:tab w:val="right" w:pos="8306"/>
              </w:tabs>
              <w:adjustRightInd w:val="0"/>
              <w:snapToGrid w:val="0"/>
              <w:spacing w:line="290" w:lineRule="exact"/>
              <w:rPr>
                <w:rFonts w:ascii="宋体" w:hAnsi="宋体" w:cs="宋体"/>
                <w:kern w:val="0"/>
                <w:szCs w:val="21"/>
              </w:rPr>
            </w:pPr>
            <w:r w:rsidRPr="00123108">
              <w:rPr>
                <w:rFonts w:ascii="宋体" w:hAnsi="宋体" w:cs="宋体" w:hint="eastAsia"/>
                <w:kern w:val="0"/>
                <w:szCs w:val="21"/>
              </w:rPr>
              <w:t>浮盘落地高度1.6m,低低液位联锁值1.7m高于浮盘落地高度</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31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9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szCs w:val="21"/>
              </w:rPr>
              <w:t>三</w:t>
            </w:r>
          </w:p>
        </w:tc>
        <w:tc>
          <w:tcPr>
            <w:tcW w:w="8813" w:type="dxa"/>
            <w:gridSpan w:val="4"/>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tabs>
                <w:tab w:val="center" w:pos="4153"/>
                <w:tab w:val="right" w:pos="8306"/>
              </w:tabs>
              <w:adjustRightInd w:val="0"/>
              <w:snapToGrid w:val="0"/>
              <w:spacing w:line="290" w:lineRule="exact"/>
              <w:jc w:val="center"/>
              <w:rPr>
                <w:rFonts w:ascii="宋体" w:hAnsi="宋体" w:cs="宋体" w:hint="eastAsia"/>
                <w:kern w:val="0"/>
                <w:szCs w:val="21"/>
              </w:rPr>
            </w:pPr>
            <w:r w:rsidRPr="00123108">
              <w:rPr>
                <w:rFonts w:ascii="宋体" w:hAnsi="宋体" w:cs="宋体" w:hint="eastAsia"/>
                <w:b/>
                <w:szCs w:val="21"/>
              </w:rPr>
              <w:t>设备设施管理</w:t>
            </w:r>
          </w:p>
        </w:tc>
      </w:tr>
      <w:tr w:rsidR="004F34D9" w:rsidRPr="00123108">
        <w:trPr>
          <w:trHeight w:val="9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18</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left"/>
              <w:rPr>
                <w:rFonts w:ascii="宋体" w:hAnsi="宋体" w:cs="宋体" w:hint="eastAsia"/>
                <w:kern w:val="0"/>
                <w:szCs w:val="21"/>
              </w:rPr>
            </w:pPr>
            <w:r w:rsidRPr="00123108">
              <w:rPr>
                <w:rFonts w:ascii="宋体" w:hAnsi="宋体" w:cs="宋体" w:hint="eastAsia"/>
                <w:kern w:val="0"/>
                <w:szCs w:val="21"/>
              </w:rPr>
              <w:t>安全设备的安装、使用、检测、维修、改造和报废不符合国家标准或行业标准；或使用国家明令淘汰的危及生产安全的工艺、设备的。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《安全生产法》第三十三条、第三十五条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rPr>
                <w:rFonts w:ascii="宋体" w:hAnsi="宋体" w:cs="宋体" w:hint="eastAsia"/>
                <w:szCs w:val="21"/>
              </w:rPr>
            </w:pPr>
            <w:r w:rsidRPr="00123108">
              <w:rPr>
                <w:rFonts w:ascii="宋体" w:hAnsi="宋体" w:cs="宋体" w:hint="eastAsia"/>
                <w:kern w:val="0"/>
                <w:szCs w:val="21"/>
              </w:rPr>
              <w:t>安全设备由有资质单位进行设计、安装、检测，未使用国家明令淘汰的工艺、设备</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27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19</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tabs>
                <w:tab w:val="center" w:pos="4153"/>
                <w:tab w:val="right" w:pos="8306"/>
              </w:tabs>
              <w:adjustRightInd w:val="0"/>
              <w:snapToGrid w:val="0"/>
              <w:spacing w:line="300" w:lineRule="exact"/>
              <w:jc w:val="left"/>
              <w:rPr>
                <w:rFonts w:ascii="宋体" w:hAnsi="宋体" w:cs="宋体" w:hint="eastAsia"/>
                <w:kern w:val="0"/>
                <w:szCs w:val="21"/>
              </w:rPr>
            </w:pPr>
            <w:r w:rsidRPr="00123108">
              <w:rPr>
                <w:rFonts w:ascii="宋体" w:hAnsi="宋体" w:cs="宋体" w:hint="eastAsia"/>
                <w:kern w:val="0"/>
                <w:szCs w:val="21"/>
              </w:rPr>
              <w:t>油气储罐未按规定达到以下要求的：</w:t>
            </w:r>
          </w:p>
          <w:p w:rsidR="004F34D9" w:rsidRPr="00123108" w:rsidRDefault="004F34D9">
            <w:pPr>
              <w:tabs>
                <w:tab w:val="center" w:pos="4153"/>
                <w:tab w:val="right" w:pos="8306"/>
              </w:tabs>
              <w:adjustRightInd w:val="0"/>
              <w:snapToGrid w:val="0"/>
              <w:spacing w:line="300" w:lineRule="exact"/>
              <w:jc w:val="left"/>
              <w:rPr>
                <w:rFonts w:ascii="宋体" w:hAnsi="宋体" w:cs="宋体" w:hint="eastAsia"/>
                <w:kern w:val="0"/>
                <w:szCs w:val="21"/>
              </w:rPr>
            </w:pPr>
            <w:r w:rsidRPr="00123108">
              <w:rPr>
                <w:rFonts w:ascii="宋体" w:hAnsi="宋体" w:cs="宋体" w:hint="eastAsia"/>
                <w:kern w:val="0"/>
                <w:szCs w:val="21"/>
              </w:rPr>
              <w:t>（1）液化烃的储罐应设液位计、温度计、压力表、安全阀，以及高液位报警和高高液位自动连锁切断进料措施；全冷冻式液化烃储罐还应设真空泄放设施和高、低温度检测，并应与自动控制系统相联；</w:t>
            </w:r>
          </w:p>
          <w:p w:rsidR="004F34D9" w:rsidRPr="00123108" w:rsidRDefault="004F34D9">
            <w:pPr>
              <w:tabs>
                <w:tab w:val="center" w:pos="4153"/>
                <w:tab w:val="right" w:pos="8306"/>
              </w:tabs>
              <w:adjustRightInd w:val="0"/>
              <w:snapToGrid w:val="0"/>
              <w:spacing w:line="300" w:lineRule="exact"/>
              <w:jc w:val="left"/>
              <w:rPr>
                <w:rFonts w:ascii="宋体" w:hAnsi="宋体" w:cs="宋体" w:hint="eastAsia"/>
                <w:kern w:val="0"/>
                <w:szCs w:val="21"/>
              </w:rPr>
            </w:pPr>
            <w:r w:rsidRPr="00123108">
              <w:rPr>
                <w:rFonts w:ascii="宋体" w:hAnsi="宋体" w:cs="宋体" w:hint="eastAsia"/>
                <w:kern w:val="0"/>
                <w:szCs w:val="21"/>
              </w:rPr>
              <w:t xml:space="preserve">（2）气柜应设上、下限位报警装置，并宜设进出管道自动联锁切断装置； </w:t>
            </w:r>
          </w:p>
          <w:p w:rsidR="004F34D9" w:rsidRPr="00123108" w:rsidRDefault="004F34D9">
            <w:pPr>
              <w:tabs>
                <w:tab w:val="center" w:pos="4153"/>
                <w:tab w:val="right" w:pos="8306"/>
              </w:tabs>
              <w:adjustRightInd w:val="0"/>
              <w:snapToGrid w:val="0"/>
              <w:spacing w:line="300" w:lineRule="exact"/>
              <w:jc w:val="left"/>
              <w:rPr>
                <w:rFonts w:ascii="宋体" w:hAnsi="宋体" w:cs="宋体" w:hint="eastAsia"/>
                <w:kern w:val="0"/>
                <w:szCs w:val="21"/>
              </w:rPr>
            </w:pPr>
            <w:r w:rsidRPr="00123108">
              <w:rPr>
                <w:rFonts w:ascii="宋体" w:hAnsi="宋体" w:cs="宋体" w:hint="eastAsia"/>
                <w:kern w:val="0"/>
                <w:szCs w:val="21"/>
              </w:rPr>
              <w:t>（3）液化石油气球形储罐液相进出口应设置紧急切断阀，其位置宜靠近</w:t>
            </w:r>
            <w:r w:rsidRPr="00123108">
              <w:rPr>
                <w:rFonts w:ascii="宋体" w:hAnsi="宋体" w:cs="宋体" w:hint="eastAsia"/>
                <w:kern w:val="0"/>
                <w:szCs w:val="21"/>
              </w:rPr>
              <w:lastRenderedPageBreak/>
              <w:t>球形储罐；</w:t>
            </w:r>
          </w:p>
          <w:p w:rsidR="004F34D9" w:rsidRPr="00123108" w:rsidRDefault="004F34D9">
            <w:pPr>
              <w:tabs>
                <w:tab w:val="center" w:pos="4153"/>
                <w:tab w:val="right" w:pos="8306"/>
              </w:tabs>
              <w:adjustRightInd w:val="0"/>
              <w:snapToGrid w:val="0"/>
              <w:spacing w:line="300" w:lineRule="exact"/>
              <w:jc w:val="left"/>
              <w:rPr>
                <w:rFonts w:ascii="宋体" w:hAnsi="宋体" w:cs="宋体" w:hint="eastAsia"/>
                <w:kern w:val="0"/>
                <w:szCs w:val="21"/>
              </w:rPr>
            </w:pPr>
            <w:r w:rsidRPr="00123108">
              <w:rPr>
                <w:rFonts w:ascii="宋体" w:hAnsi="宋体" w:cs="宋体" w:hint="eastAsia"/>
                <w:kern w:val="0"/>
                <w:szCs w:val="21"/>
              </w:rPr>
              <w:t>（4）丙烯、丙烷、混合C4、抽余C4及液化石油气的球形储罐应设置注水措施。</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tabs>
                <w:tab w:val="center" w:pos="4153"/>
                <w:tab w:val="right" w:pos="8306"/>
              </w:tabs>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lastRenderedPageBreak/>
              <w:t>《安全生产法》第三十三条；</w:t>
            </w:r>
          </w:p>
          <w:p w:rsidR="004F34D9" w:rsidRPr="00123108" w:rsidRDefault="004F34D9">
            <w:pPr>
              <w:tabs>
                <w:tab w:val="center" w:pos="4153"/>
                <w:tab w:val="right" w:pos="8306"/>
              </w:tabs>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《石油化工企业设计防火标准》（GB 50160）第6.3.11条、第6.3.12条；《液化烃球形储罐安全设计规范》（SH3136）第6.1条、第7.4条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tabs>
                <w:tab w:val="center" w:pos="4153"/>
                <w:tab w:val="right" w:pos="8306"/>
              </w:tabs>
              <w:adjustRightInd w:val="0"/>
              <w:snapToGrid w:val="0"/>
              <w:spacing w:line="290" w:lineRule="exact"/>
              <w:rPr>
                <w:rFonts w:ascii="宋体" w:hAnsi="宋体" w:cs="宋体" w:hint="eastAsia"/>
                <w:szCs w:val="21"/>
              </w:rPr>
            </w:pPr>
            <w:r w:rsidRPr="00123108">
              <w:rPr>
                <w:rFonts w:ascii="宋体" w:hAnsi="宋体" w:cs="宋体" w:hint="eastAsia"/>
                <w:kern w:val="0"/>
                <w:szCs w:val="21"/>
              </w:rPr>
              <w:t>不涉及液化烃储罐、气柜、液化石油气球形储罐等</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310" w:lineRule="exact"/>
              <w:jc w:val="center"/>
              <w:rPr>
                <w:rFonts w:ascii="宋体" w:hAnsi="宋体" w:cs="宋体" w:hint="eastAsia"/>
                <w:szCs w:val="21"/>
              </w:rPr>
            </w:pPr>
            <w:r w:rsidRPr="00123108">
              <w:rPr>
                <w:rFonts w:ascii="宋体" w:hAnsi="宋体" w:cs="宋体" w:hint="eastAsia"/>
                <w:szCs w:val="21"/>
              </w:rPr>
              <w:t>/</w:t>
            </w:r>
          </w:p>
        </w:tc>
      </w:tr>
      <w:tr w:rsidR="004F34D9" w:rsidRPr="00123108">
        <w:trPr>
          <w:trHeight w:val="9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20</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rPr>
                <w:rFonts w:ascii="宋体" w:hAnsi="宋体" w:cs="宋体" w:hint="eastAsia"/>
                <w:szCs w:val="21"/>
              </w:rPr>
            </w:pPr>
            <w:r w:rsidRPr="00123108">
              <w:rPr>
                <w:rFonts w:ascii="宋体" w:hAnsi="宋体" w:cs="宋体" w:hint="eastAsia"/>
                <w:szCs w:val="21"/>
              </w:rPr>
              <w:t>涉及危险化工工艺、重点监管危险化学品的装置未设置自动化控制系统；或者涉及危险化工工艺的大型化工装置未设置紧急停车系统的。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szCs w:val="21"/>
              </w:rPr>
              <w:t>《危险化学品生产企业安全生产许可证实施办法》（国家安全监管总局令第41号）第九条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rPr>
                <w:rFonts w:ascii="宋体" w:hAnsi="宋体" w:cs="宋体" w:hint="eastAsia"/>
                <w:szCs w:val="21"/>
              </w:rPr>
            </w:pPr>
            <w:r w:rsidRPr="00123108">
              <w:rPr>
                <w:rFonts w:ascii="宋体" w:hAnsi="宋体" w:cs="宋体" w:hint="eastAsia"/>
                <w:szCs w:val="21"/>
              </w:rPr>
              <w:t>涉及危险化工工艺、重点监管危险化学品的装置均设置有自动控制系统，按要求设有紧急停车系统及SIS系统</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27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21</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rPr>
                <w:rFonts w:ascii="宋体" w:hAnsi="宋体" w:cs="宋体" w:hint="eastAsia"/>
                <w:szCs w:val="21"/>
              </w:rPr>
            </w:pPr>
            <w:r w:rsidRPr="00123108">
              <w:rPr>
                <w:rFonts w:ascii="宋体" w:hAnsi="宋体" w:cs="宋体" w:hint="eastAsia"/>
                <w:szCs w:val="21"/>
              </w:rPr>
              <w:t>有毒有害、可燃气体泄漏检测报警系统未按照标准设置、使用或定期检测校验；以及报警信号未发送至有操作人员常驻的控制室、现场操作室进行报警的。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rsidP="007A1DBC">
            <w:pPr>
              <w:adjustRightInd w:val="0"/>
              <w:snapToGrid w:val="0"/>
              <w:spacing w:line="280" w:lineRule="exact"/>
              <w:jc w:val="center"/>
              <w:rPr>
                <w:rFonts w:ascii="宋体" w:hAnsi="宋体" w:cs="宋体" w:hint="eastAsia"/>
                <w:szCs w:val="21"/>
              </w:rPr>
            </w:pPr>
            <w:r w:rsidRPr="00123108">
              <w:rPr>
                <w:rFonts w:ascii="宋体" w:hAnsi="宋体" w:cs="宋体" w:hint="eastAsia"/>
                <w:szCs w:val="21"/>
              </w:rPr>
              <w:t>《安全生产法》第三十三条、《石油化工可燃气体和有毒气体检测报警设计</w:t>
            </w:r>
            <w:r w:rsidR="007A1DBC" w:rsidRPr="00123108">
              <w:rPr>
                <w:rFonts w:ascii="宋体" w:hAnsi="宋体" w:cs="宋体" w:hint="eastAsia"/>
                <w:szCs w:val="21"/>
              </w:rPr>
              <w:t>标准》</w:t>
            </w:r>
            <w:r w:rsidRPr="00123108">
              <w:rPr>
                <w:rFonts w:ascii="宋体" w:hAnsi="宋体" w:cs="宋体" w:hint="eastAsia"/>
                <w:szCs w:val="21"/>
              </w:rPr>
              <w:t>（GB50493）</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rPr>
                <w:rFonts w:ascii="宋体" w:hAnsi="宋体" w:cs="宋体" w:hint="eastAsia"/>
                <w:szCs w:val="21"/>
              </w:rPr>
            </w:pPr>
            <w:r w:rsidRPr="00123108">
              <w:rPr>
                <w:rFonts w:ascii="宋体" w:hAnsi="宋体" w:cs="宋体" w:hint="eastAsia"/>
                <w:szCs w:val="21"/>
              </w:rPr>
              <w:t>按要求设置有可燃气体检测报警仪，控制信号进入消控室及控制室</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31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22</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rPr>
                <w:rFonts w:ascii="宋体" w:hAnsi="宋体" w:cs="宋体" w:hint="eastAsia"/>
                <w:szCs w:val="21"/>
              </w:rPr>
            </w:pPr>
            <w:r w:rsidRPr="00123108">
              <w:rPr>
                <w:rFonts w:ascii="宋体" w:hAnsi="宋体" w:cs="宋体" w:hint="eastAsia"/>
                <w:szCs w:val="21"/>
              </w:rPr>
              <w:t>安全联锁未正常投用或未经审批摘除以及经审批后临时摘除超过一个月未恢复的。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szCs w:val="21"/>
              </w:rPr>
              <w:t>《安全生产法》第三十三条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rPr>
                <w:rFonts w:ascii="宋体" w:hAnsi="宋体" w:cs="宋体" w:hint="eastAsia"/>
                <w:szCs w:val="21"/>
              </w:rPr>
            </w:pPr>
            <w:r w:rsidRPr="00123108">
              <w:rPr>
                <w:rFonts w:ascii="宋体" w:hAnsi="宋体" w:cs="宋体" w:hint="eastAsia"/>
                <w:szCs w:val="21"/>
              </w:rPr>
              <w:t>安全联锁摘除有相应的审批制度</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27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23</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rPr>
                <w:rFonts w:ascii="宋体" w:hAnsi="宋体" w:cs="宋体" w:hint="eastAsia"/>
                <w:szCs w:val="21"/>
              </w:rPr>
            </w:pPr>
            <w:r w:rsidRPr="00123108">
              <w:rPr>
                <w:rFonts w:ascii="宋体" w:hAnsi="宋体" w:cs="宋体" w:hint="eastAsia"/>
                <w:szCs w:val="21"/>
              </w:rPr>
              <w:t>工艺或安全仪表报警时未及时处置的。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szCs w:val="21"/>
              </w:rPr>
              <w:t>《安全生产法》第三十八条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rPr>
                <w:rFonts w:ascii="宋体" w:hAnsi="宋体" w:cs="宋体" w:hint="eastAsia"/>
                <w:szCs w:val="21"/>
              </w:rPr>
            </w:pPr>
            <w:r w:rsidRPr="00123108">
              <w:rPr>
                <w:rFonts w:ascii="宋体" w:hAnsi="宋体" w:cs="宋体" w:hint="eastAsia"/>
                <w:szCs w:val="21"/>
              </w:rPr>
              <w:t>制定有相应管理制度，工艺报警后，安排外操人员进行现场确认</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31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24</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left"/>
              <w:rPr>
                <w:rFonts w:ascii="宋体" w:hAnsi="宋体" w:cs="宋体" w:hint="eastAsia"/>
                <w:kern w:val="0"/>
                <w:szCs w:val="21"/>
              </w:rPr>
            </w:pPr>
            <w:r w:rsidRPr="00123108">
              <w:rPr>
                <w:rFonts w:ascii="宋体" w:hAnsi="宋体" w:cs="宋体" w:hint="eastAsia"/>
                <w:kern w:val="0"/>
                <w:szCs w:val="21"/>
              </w:rPr>
              <w:t>在用装置（设施）安全阀或泄压排放系统未正常投用的。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《安全生产法》第三十三条、《固定式压力容器安全技术监察规程》（TSG R0004-2009）第8.3.5条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90" w:lineRule="exact"/>
              <w:rPr>
                <w:rFonts w:ascii="宋体" w:hAnsi="宋体" w:cs="宋体" w:hint="eastAsia"/>
                <w:szCs w:val="21"/>
              </w:rPr>
            </w:pPr>
            <w:r w:rsidRPr="00123108">
              <w:rPr>
                <w:rFonts w:ascii="宋体" w:hAnsi="宋体" w:cs="宋体" w:hint="eastAsia"/>
                <w:kern w:val="0"/>
                <w:szCs w:val="21"/>
              </w:rPr>
              <w:t>安全阀或泄压排放系统正常投用</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27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25</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left"/>
              <w:rPr>
                <w:rFonts w:ascii="宋体" w:hAnsi="宋体" w:cs="宋体" w:hint="eastAsia"/>
                <w:kern w:val="0"/>
                <w:szCs w:val="21"/>
              </w:rPr>
            </w:pPr>
            <w:r w:rsidRPr="00123108">
              <w:rPr>
                <w:rFonts w:ascii="宋体" w:hAnsi="宋体" w:cs="宋体" w:hint="eastAsia"/>
                <w:kern w:val="0"/>
                <w:szCs w:val="21"/>
              </w:rPr>
              <w:t>涉及放热反应的危险化工工艺生产装置未设置双重电源供电或控制系统未设置不间断电源（UPS）的。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《安全生产法》第三十八条、《石油化工装置电力设计技术规范》（SH3038）、</w:t>
            </w:r>
          </w:p>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《供配电系统设计规范》（GB50052）</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60" w:lineRule="exact"/>
              <w:rPr>
                <w:rFonts w:ascii="宋体" w:hAnsi="宋体" w:cs="宋体" w:hint="eastAsia"/>
                <w:kern w:val="0"/>
                <w:szCs w:val="21"/>
              </w:rPr>
            </w:pPr>
            <w:r w:rsidRPr="00123108">
              <w:rPr>
                <w:rFonts w:ascii="宋体" w:hAnsi="宋体" w:cs="宋体" w:hint="eastAsia"/>
                <w:kern w:val="0"/>
                <w:szCs w:val="21"/>
              </w:rPr>
              <w:t>放热反应的危险化工工艺生产装置双重电源供电，控制系统设有UPS</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31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9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szCs w:val="21"/>
              </w:rPr>
              <w:t>四</w:t>
            </w:r>
          </w:p>
        </w:tc>
        <w:tc>
          <w:tcPr>
            <w:tcW w:w="8813" w:type="dxa"/>
            <w:gridSpan w:val="4"/>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60" w:lineRule="exact"/>
              <w:jc w:val="center"/>
              <w:rPr>
                <w:rFonts w:ascii="宋体" w:hAnsi="宋体" w:cs="宋体" w:hint="eastAsia"/>
                <w:kern w:val="0"/>
                <w:szCs w:val="21"/>
              </w:rPr>
            </w:pPr>
            <w:r w:rsidRPr="00123108">
              <w:rPr>
                <w:rFonts w:ascii="宋体" w:hAnsi="宋体" w:cs="宋体" w:hint="eastAsia"/>
                <w:b/>
                <w:szCs w:val="21"/>
              </w:rPr>
              <w:t>安全管理</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26</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left"/>
              <w:rPr>
                <w:rFonts w:ascii="宋体" w:hAnsi="宋体" w:cs="宋体" w:hint="eastAsia"/>
                <w:kern w:val="0"/>
                <w:szCs w:val="21"/>
              </w:rPr>
            </w:pPr>
            <w:r w:rsidRPr="00123108">
              <w:rPr>
                <w:rFonts w:ascii="宋体" w:hAnsi="宋体" w:cs="宋体" w:hint="eastAsia"/>
                <w:kern w:val="0"/>
                <w:szCs w:val="21"/>
              </w:rPr>
              <w:t>未建立变更管理制度或未严格执行的。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《安全生产法》第四条、第四十一条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50" w:lineRule="exact"/>
              <w:rPr>
                <w:rFonts w:ascii="宋体" w:hAnsi="宋体" w:cs="宋体" w:hint="eastAsia"/>
                <w:szCs w:val="21"/>
              </w:rPr>
            </w:pPr>
            <w:r w:rsidRPr="00123108">
              <w:rPr>
                <w:rFonts w:ascii="宋体" w:hAnsi="宋体" w:cs="宋体" w:hint="eastAsia"/>
                <w:szCs w:val="21"/>
              </w:rPr>
              <w:t>已建立变更管理制度，建立有变更管理台账</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27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27</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left"/>
              <w:rPr>
                <w:rFonts w:ascii="宋体" w:hAnsi="宋体" w:cs="宋体" w:hint="eastAsia"/>
                <w:kern w:val="0"/>
                <w:szCs w:val="21"/>
              </w:rPr>
            </w:pPr>
            <w:r w:rsidRPr="00123108">
              <w:rPr>
                <w:rFonts w:ascii="宋体" w:hAnsi="宋体" w:cs="宋体" w:hint="eastAsia"/>
                <w:kern w:val="0"/>
                <w:szCs w:val="21"/>
              </w:rPr>
              <w:t>危险化学品生产装置、罐区、仓库等设施与周边的安全距离不符合要求的。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《安全生产法》第三十八条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50" w:lineRule="exact"/>
              <w:rPr>
                <w:rFonts w:ascii="宋体" w:hAnsi="宋体" w:cs="宋体" w:hint="eastAsia"/>
                <w:kern w:val="0"/>
                <w:szCs w:val="21"/>
              </w:rPr>
            </w:pPr>
            <w:r w:rsidRPr="00123108">
              <w:rPr>
                <w:rFonts w:ascii="宋体" w:hAnsi="宋体" w:cs="宋体" w:hint="eastAsia"/>
                <w:kern w:val="0"/>
                <w:szCs w:val="21"/>
              </w:rPr>
              <w:t>二甲苯罐区与主要道路及与冷库间距不足</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310" w:lineRule="exact"/>
              <w:jc w:val="center"/>
              <w:rPr>
                <w:rFonts w:ascii="宋体" w:hAnsi="宋体" w:cs="宋体" w:hint="eastAsia"/>
                <w:szCs w:val="21"/>
              </w:rPr>
            </w:pPr>
            <w:r w:rsidRPr="00123108">
              <w:rPr>
                <w:rFonts w:ascii="宋体" w:hAnsi="宋体" w:cs="宋体" w:hint="eastAsia"/>
                <w:szCs w:val="21"/>
              </w:rPr>
              <w:t>不符合</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28</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left"/>
              <w:rPr>
                <w:rFonts w:ascii="宋体" w:hAnsi="宋体" w:cs="宋体" w:hint="eastAsia"/>
                <w:kern w:val="0"/>
                <w:szCs w:val="21"/>
              </w:rPr>
            </w:pPr>
            <w:r w:rsidRPr="00123108">
              <w:rPr>
                <w:rFonts w:ascii="宋体" w:hAnsi="宋体" w:cs="宋体" w:hint="eastAsia"/>
                <w:kern w:val="0"/>
                <w:szCs w:val="21"/>
              </w:rPr>
              <w:t>控制室或机柜间面向具有火灾、爆炸危险性装置一侧有门窗的。（2017年前必须整改完成）</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《安全生产法》第三十八条、《石油化工企业设计防火标准》（GB 50160）第5.2.18条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50" w:lineRule="exact"/>
              <w:rPr>
                <w:rFonts w:ascii="宋体" w:hAnsi="宋体" w:cs="宋体"/>
                <w:kern w:val="0"/>
                <w:szCs w:val="21"/>
              </w:rPr>
            </w:pPr>
            <w:r w:rsidRPr="00123108">
              <w:rPr>
                <w:rFonts w:ascii="宋体" w:hAnsi="宋体" w:cs="宋体" w:hint="eastAsia"/>
                <w:kern w:val="0"/>
                <w:szCs w:val="21"/>
              </w:rPr>
              <w:t>控制室北面面向丙类仓库</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27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29</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left"/>
              <w:rPr>
                <w:rFonts w:ascii="宋体" w:hAnsi="宋体" w:cs="宋体" w:hint="eastAsia"/>
                <w:kern w:val="0"/>
                <w:szCs w:val="21"/>
              </w:rPr>
            </w:pPr>
            <w:r w:rsidRPr="00123108">
              <w:rPr>
                <w:rFonts w:ascii="宋体" w:hAnsi="宋体" w:cs="宋体" w:hint="eastAsia"/>
                <w:kern w:val="0"/>
                <w:szCs w:val="21"/>
              </w:rPr>
              <w:t>生产、经营、储存、使用危险化学品的车间、仓库与员工宿舍在同一座建</w:t>
            </w:r>
            <w:r w:rsidRPr="00123108">
              <w:rPr>
                <w:rFonts w:ascii="宋体" w:hAnsi="宋体" w:cs="宋体" w:hint="eastAsia"/>
                <w:kern w:val="0"/>
                <w:szCs w:val="21"/>
              </w:rPr>
              <w:lastRenderedPageBreak/>
              <w:t>筑内或与员工宿舍的距离不符合安全要求的。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lastRenderedPageBreak/>
              <w:t>《安全生产法》第三十九条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50" w:lineRule="exact"/>
              <w:rPr>
                <w:rFonts w:ascii="宋体" w:hAnsi="宋体" w:cs="宋体" w:hint="eastAsia"/>
                <w:szCs w:val="21"/>
              </w:rPr>
            </w:pPr>
            <w:r w:rsidRPr="00123108">
              <w:rPr>
                <w:rFonts w:ascii="宋体" w:hAnsi="宋体" w:cs="宋体" w:hint="eastAsia"/>
                <w:szCs w:val="21"/>
              </w:rPr>
              <w:t>生产场所不涉及员工宿舍</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31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1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30</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left"/>
              <w:rPr>
                <w:rFonts w:ascii="宋体" w:hAnsi="宋体" w:cs="宋体" w:hint="eastAsia"/>
                <w:kern w:val="0"/>
                <w:szCs w:val="21"/>
              </w:rPr>
            </w:pPr>
            <w:r w:rsidRPr="00123108">
              <w:rPr>
                <w:rFonts w:ascii="宋体" w:hAnsi="宋体" w:cs="宋体" w:hint="eastAsia"/>
                <w:kern w:val="0"/>
                <w:szCs w:val="21"/>
              </w:rPr>
              <w:t>危险化学品未按照标准分区、分类、分库存放，或存在超量、超品种以及相互禁忌物质混放混存的。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《危险化学品安全管理条例》第二十四条、</w:t>
            </w:r>
          </w:p>
          <w:p w:rsidR="004F34D9" w:rsidRPr="00123108" w:rsidRDefault="004F34D9" w:rsidP="007A1DBC">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w:t>
            </w:r>
            <w:r w:rsidR="007A1DBC" w:rsidRPr="00123108">
              <w:rPr>
                <w:rFonts w:ascii="宋体" w:hAnsi="宋体" w:cs="宋体" w:hint="eastAsia"/>
                <w:kern w:val="0"/>
                <w:szCs w:val="21"/>
              </w:rPr>
              <w:t>危险化学品仓库储存通则</w:t>
            </w:r>
            <w:r w:rsidRPr="00123108">
              <w:rPr>
                <w:rFonts w:ascii="宋体" w:hAnsi="宋体" w:cs="宋体" w:hint="eastAsia"/>
                <w:kern w:val="0"/>
                <w:szCs w:val="21"/>
              </w:rPr>
              <w:t>（GB 15603）</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60" w:lineRule="exact"/>
              <w:rPr>
                <w:rFonts w:ascii="宋体" w:hAnsi="宋体" w:cs="宋体" w:hint="eastAsia"/>
                <w:szCs w:val="21"/>
              </w:rPr>
            </w:pPr>
            <w:r w:rsidRPr="00123108">
              <w:rPr>
                <w:rFonts w:ascii="宋体" w:hAnsi="宋体" w:cs="宋体" w:hint="eastAsia"/>
                <w:szCs w:val="21"/>
              </w:rPr>
              <w:t>按要求进行分类存放</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27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31</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rPr>
                <w:rFonts w:ascii="宋体" w:hAnsi="宋体" w:cs="宋体" w:hint="eastAsia"/>
                <w:kern w:val="0"/>
                <w:szCs w:val="21"/>
              </w:rPr>
            </w:pPr>
            <w:r w:rsidRPr="00123108">
              <w:rPr>
                <w:rFonts w:ascii="宋体" w:hAnsi="宋体" w:cs="宋体" w:hint="eastAsia"/>
                <w:kern w:val="0"/>
                <w:szCs w:val="21"/>
              </w:rPr>
              <w:t>危险化学品厂际输送管道存在违章占压、安全距离不足和违规交叉穿越问题的。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《安全生产法》第三十八条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60" w:lineRule="exact"/>
              <w:rPr>
                <w:rFonts w:ascii="宋体" w:hAnsi="宋体" w:cs="宋体" w:hint="eastAsia"/>
                <w:kern w:val="0"/>
                <w:szCs w:val="21"/>
              </w:rPr>
            </w:pPr>
            <w:r w:rsidRPr="00123108">
              <w:rPr>
                <w:rFonts w:ascii="宋体" w:hAnsi="宋体" w:cs="宋体" w:hint="eastAsia"/>
                <w:kern w:val="0"/>
                <w:szCs w:val="21"/>
              </w:rPr>
              <w:t>不涉及</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310" w:lineRule="exact"/>
              <w:jc w:val="center"/>
              <w:rPr>
                <w:rFonts w:ascii="宋体" w:hAnsi="宋体" w:cs="宋体" w:hint="eastAsia"/>
                <w:szCs w:val="21"/>
              </w:rPr>
            </w:pPr>
            <w:r w:rsidRPr="00123108">
              <w:rPr>
                <w:rFonts w:ascii="宋体" w:hAnsi="宋体" w:cs="宋体" w:hint="eastAsia"/>
                <w:szCs w:val="21"/>
              </w:rPr>
              <w:t>/</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32</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rPr>
                <w:rFonts w:ascii="宋体" w:hAnsi="宋体" w:cs="宋体" w:hint="eastAsia"/>
                <w:kern w:val="0"/>
                <w:szCs w:val="21"/>
              </w:rPr>
            </w:pPr>
            <w:r w:rsidRPr="00123108">
              <w:rPr>
                <w:rFonts w:ascii="宋体" w:hAnsi="宋体" w:cs="宋体" w:hint="eastAsia"/>
                <w:kern w:val="0"/>
                <w:szCs w:val="21"/>
              </w:rPr>
              <w:t>光气、氯气（液氯）等剧毒化学品管道穿（跨）越公共区域的。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《危险化学品输送管道安全管理规定》（国家安全监管总局令第43号</w:t>
            </w:r>
            <w:r w:rsidR="007A1DBC" w:rsidRPr="00123108">
              <w:rPr>
                <w:rFonts w:ascii="宋体" w:hAnsi="宋体" w:cs="宋体" w:hint="eastAsia"/>
                <w:kern w:val="0"/>
                <w:szCs w:val="21"/>
              </w:rPr>
              <w:t>修正</w:t>
            </w:r>
            <w:r w:rsidRPr="00123108">
              <w:rPr>
                <w:rFonts w:ascii="宋体" w:hAnsi="宋体" w:cs="宋体" w:hint="eastAsia"/>
                <w:kern w:val="0"/>
                <w:szCs w:val="21"/>
              </w:rPr>
              <w:t>）</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left"/>
              <w:rPr>
                <w:rFonts w:ascii="宋体" w:hAnsi="宋体" w:cs="宋体" w:hint="eastAsia"/>
                <w:kern w:val="0"/>
                <w:szCs w:val="21"/>
              </w:rPr>
            </w:pPr>
            <w:r w:rsidRPr="00123108">
              <w:rPr>
                <w:rFonts w:ascii="宋体" w:hAnsi="宋体" w:cs="宋体" w:hint="eastAsia"/>
                <w:kern w:val="0"/>
                <w:szCs w:val="21"/>
              </w:rPr>
              <w:t>不涉及光气、氯气（液氯）等剧毒化学品管道</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270" w:lineRule="exact"/>
              <w:jc w:val="center"/>
              <w:rPr>
                <w:rFonts w:ascii="宋体" w:hAnsi="宋体" w:cs="宋体" w:hint="eastAsia"/>
                <w:szCs w:val="21"/>
              </w:rPr>
            </w:pPr>
            <w:r w:rsidRPr="00123108">
              <w:rPr>
                <w:rFonts w:ascii="宋体" w:hAnsi="宋体" w:cs="宋体" w:hint="eastAsia"/>
                <w:szCs w:val="21"/>
              </w:rPr>
              <w:t>/</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33</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rPr>
                <w:rFonts w:ascii="宋体" w:hAnsi="宋体" w:cs="宋体" w:hint="eastAsia"/>
                <w:kern w:val="0"/>
                <w:szCs w:val="21"/>
              </w:rPr>
            </w:pPr>
            <w:r w:rsidRPr="00123108">
              <w:rPr>
                <w:rFonts w:ascii="宋体" w:hAnsi="宋体" w:cs="宋体" w:hint="eastAsia"/>
                <w:kern w:val="0"/>
                <w:szCs w:val="21"/>
              </w:rPr>
              <w:t>动火作业未按规定进行可燃气体分析；受限空间作业未按规定进行可燃气体、氧含量和有毒气体分析；以及作业过程无人监护的。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《安全生产法》第四十条、</w:t>
            </w:r>
          </w:p>
          <w:p w:rsidR="004F34D9" w:rsidRPr="00123108" w:rsidRDefault="004F34D9" w:rsidP="007A1DBC">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w:t>
            </w:r>
            <w:r w:rsidR="007A1DBC" w:rsidRPr="00123108">
              <w:rPr>
                <w:rFonts w:ascii="宋体" w:hAnsi="宋体" w:cs="宋体" w:hint="eastAsia"/>
                <w:kern w:val="0"/>
                <w:szCs w:val="21"/>
              </w:rPr>
              <w:t>危险化学品特殊作业安全管理规范</w:t>
            </w:r>
            <w:r w:rsidRPr="00123108">
              <w:rPr>
                <w:rFonts w:ascii="宋体" w:hAnsi="宋体" w:cs="宋体" w:hint="eastAsia"/>
                <w:kern w:val="0"/>
                <w:szCs w:val="21"/>
              </w:rPr>
              <w:t>（GB30871）</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rPr>
                <w:rFonts w:ascii="宋体" w:hAnsi="宋体" w:cs="宋体" w:hint="eastAsia"/>
                <w:szCs w:val="21"/>
              </w:rPr>
            </w:pPr>
            <w:r w:rsidRPr="00123108">
              <w:rPr>
                <w:rFonts w:ascii="宋体" w:hAnsi="宋体" w:cs="宋体" w:hint="eastAsia"/>
                <w:szCs w:val="21"/>
              </w:rPr>
              <w:t>制定有动火、受限空间等管理制度，配备有便携式可燃气体、氧含量、有毒气体检测报警仪，现场检查施工作业过程设有监护</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31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34</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rPr>
                <w:rFonts w:ascii="宋体" w:hAnsi="宋体" w:cs="宋体" w:hint="eastAsia"/>
                <w:kern w:val="0"/>
                <w:szCs w:val="21"/>
              </w:rPr>
            </w:pPr>
            <w:r w:rsidRPr="00123108">
              <w:rPr>
                <w:rFonts w:ascii="宋体" w:hAnsi="宋体" w:cs="宋体" w:hint="eastAsia"/>
                <w:kern w:val="0"/>
                <w:szCs w:val="21"/>
              </w:rPr>
              <w:t>脱水、装卸、倒罐作业时，作业人员离开现场或油气罐区同一防火堤内切水和动火作业同时进行的。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《安全生产法》第三十八条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rPr>
                <w:rFonts w:ascii="宋体" w:hAnsi="宋体" w:cs="宋体" w:hint="eastAsia"/>
                <w:szCs w:val="21"/>
              </w:rPr>
            </w:pPr>
            <w:r w:rsidRPr="00123108">
              <w:rPr>
                <w:rFonts w:ascii="宋体" w:hAnsi="宋体" w:cs="宋体" w:hint="eastAsia"/>
                <w:szCs w:val="21"/>
              </w:rPr>
              <w:t>现场勘查时未见不符合的操作</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27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35</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rPr>
                <w:rFonts w:ascii="宋体" w:hAnsi="宋体" w:cs="宋体" w:hint="eastAsia"/>
                <w:kern w:val="0"/>
                <w:szCs w:val="21"/>
              </w:rPr>
            </w:pPr>
            <w:r w:rsidRPr="00123108">
              <w:rPr>
                <w:rFonts w:ascii="宋体" w:hAnsi="宋体" w:cs="宋体" w:hint="eastAsia"/>
                <w:kern w:val="0"/>
                <w:szCs w:val="21"/>
              </w:rPr>
              <w:t>在有较大危险因素的生产经营场所和有关设施、设备上未设置明显的安全警示标志的。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《安全生产法》第三十二条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rPr>
                <w:rFonts w:ascii="宋体" w:hAnsi="宋体" w:cs="宋体" w:hint="eastAsia"/>
                <w:szCs w:val="21"/>
              </w:rPr>
            </w:pPr>
            <w:r w:rsidRPr="00123108">
              <w:rPr>
                <w:rFonts w:ascii="宋体" w:hAnsi="宋体" w:cs="宋体" w:hint="eastAsia"/>
                <w:szCs w:val="21"/>
              </w:rPr>
              <w:t>已设置各类安全警示标志</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31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36</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rPr>
                <w:rFonts w:ascii="宋体" w:hAnsi="宋体" w:cs="宋体" w:hint="eastAsia"/>
                <w:kern w:val="0"/>
                <w:szCs w:val="21"/>
              </w:rPr>
            </w:pPr>
            <w:r w:rsidRPr="00123108">
              <w:rPr>
                <w:rFonts w:ascii="宋体" w:hAnsi="宋体" w:cs="宋体" w:hint="eastAsia"/>
                <w:kern w:val="0"/>
                <w:szCs w:val="21"/>
              </w:rPr>
              <w:t>危险化学品生产企业未提供化学品安全技术说明书，未在包装（包括外包装件）上粘贴、拴挂化学品安全标签的。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《危险化学品安全管理条例》第十五条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tabs>
                <w:tab w:val="center" w:pos="4153"/>
                <w:tab w:val="right" w:pos="8306"/>
              </w:tabs>
              <w:adjustRightInd w:val="0"/>
              <w:snapToGrid w:val="0"/>
              <w:spacing w:line="300" w:lineRule="exact"/>
              <w:rPr>
                <w:rFonts w:ascii="宋体" w:hAnsi="宋体" w:cs="宋体" w:hint="eastAsia"/>
                <w:szCs w:val="21"/>
              </w:rPr>
            </w:pPr>
            <w:r w:rsidRPr="00123108">
              <w:rPr>
                <w:rFonts w:ascii="宋体" w:hAnsi="宋体" w:cs="宋体" w:hint="eastAsia"/>
                <w:szCs w:val="21"/>
              </w:rPr>
              <w:t>已编制危险化学品安全技术说明书、安全标签</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27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37</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rPr>
                <w:rFonts w:ascii="宋体" w:hAnsi="宋体" w:cs="宋体" w:hint="eastAsia"/>
                <w:kern w:val="0"/>
                <w:szCs w:val="21"/>
              </w:rPr>
            </w:pPr>
            <w:r w:rsidRPr="00123108">
              <w:rPr>
                <w:rFonts w:ascii="宋体" w:hAnsi="宋体" w:cs="宋体" w:hint="eastAsia"/>
                <w:kern w:val="0"/>
                <w:szCs w:val="21"/>
              </w:rPr>
              <w:t>对重大危险源未登记建档，或者未进行评估、有效监控的。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《安全生产法》第三十七条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rPr>
                <w:rFonts w:ascii="宋体" w:hAnsi="宋体" w:cs="宋体" w:hint="eastAsia"/>
                <w:szCs w:val="21"/>
              </w:rPr>
            </w:pPr>
            <w:r w:rsidRPr="00123108">
              <w:rPr>
                <w:rFonts w:ascii="宋体" w:hAnsi="宋体" w:cs="宋体" w:hint="eastAsia"/>
                <w:szCs w:val="21"/>
              </w:rPr>
              <w:t>已建立重大危险源档案，并进行监控、评估</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31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38</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rPr>
                <w:rFonts w:ascii="宋体" w:hAnsi="宋体" w:cs="宋体" w:hint="eastAsia"/>
                <w:kern w:val="0"/>
                <w:szCs w:val="21"/>
              </w:rPr>
            </w:pPr>
            <w:r w:rsidRPr="00123108">
              <w:rPr>
                <w:rFonts w:ascii="宋体" w:hAnsi="宋体" w:cs="宋体" w:hint="eastAsia"/>
                <w:kern w:val="0"/>
                <w:szCs w:val="21"/>
              </w:rPr>
              <w:t>未对重大危险源的安全生产状况进行定期检查，采取措施消除事故隐患的。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《危险化学品重大危险源监督管理暂行规定》（国家安全监管总局令第40号</w:t>
            </w:r>
            <w:r w:rsidR="007A1DBC" w:rsidRPr="00123108">
              <w:rPr>
                <w:rFonts w:ascii="宋体" w:hAnsi="宋体" w:cs="宋体" w:hint="eastAsia"/>
                <w:kern w:val="0"/>
                <w:szCs w:val="21"/>
              </w:rPr>
              <w:t>修正</w:t>
            </w:r>
            <w:r w:rsidRPr="00123108">
              <w:rPr>
                <w:rFonts w:ascii="宋体" w:hAnsi="宋体" w:cs="宋体" w:hint="eastAsia"/>
                <w:kern w:val="0"/>
                <w:szCs w:val="21"/>
              </w:rPr>
              <w:t>）第十六条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40" w:lineRule="exact"/>
              <w:rPr>
                <w:rFonts w:ascii="宋体" w:hAnsi="宋体" w:cs="宋体" w:hint="eastAsia"/>
                <w:szCs w:val="21"/>
              </w:rPr>
            </w:pPr>
            <w:r w:rsidRPr="00123108">
              <w:rPr>
                <w:rFonts w:ascii="宋体" w:hAnsi="宋体" w:cs="宋体" w:hint="eastAsia"/>
                <w:szCs w:val="21"/>
              </w:rPr>
              <w:t>已对重大危险源进行定期检查</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27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51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39</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rPr>
                <w:rFonts w:ascii="宋体" w:hAnsi="宋体" w:cs="宋体" w:hint="eastAsia"/>
                <w:szCs w:val="21"/>
              </w:rPr>
            </w:pPr>
            <w:r w:rsidRPr="00123108">
              <w:rPr>
                <w:rFonts w:ascii="宋体" w:hAnsi="宋体" w:cs="宋体" w:hint="eastAsia"/>
                <w:szCs w:val="21"/>
              </w:rPr>
              <w:t>易燃易爆区域使用非防爆工具或电器的。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《安全生产法》第三十八条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widowControl/>
              <w:shd w:val="clear" w:color="auto" w:fill="FFFFFF"/>
              <w:adjustRightInd w:val="0"/>
              <w:snapToGrid w:val="0"/>
              <w:spacing w:line="300" w:lineRule="exact"/>
              <w:jc w:val="left"/>
              <w:rPr>
                <w:rFonts w:ascii="宋体" w:hAnsi="宋体" w:cs="宋体" w:hint="eastAsia"/>
                <w:kern w:val="0"/>
                <w:szCs w:val="21"/>
              </w:rPr>
            </w:pPr>
            <w:r w:rsidRPr="00123108">
              <w:rPr>
                <w:rFonts w:ascii="宋体" w:hAnsi="宋体" w:cs="宋体" w:hint="eastAsia"/>
                <w:kern w:val="0"/>
                <w:szCs w:val="21"/>
              </w:rPr>
              <w:t>配备有防爆工具或电器</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31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90"/>
          <w:jc w:val="center"/>
        </w:trPr>
        <w:tc>
          <w:tcPr>
            <w:tcW w:w="588"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300" w:lineRule="exact"/>
              <w:jc w:val="center"/>
              <w:rPr>
                <w:rFonts w:ascii="宋体" w:hAnsi="宋体" w:cs="宋体" w:hint="eastAsia"/>
                <w:kern w:val="0"/>
                <w:szCs w:val="21"/>
              </w:rPr>
            </w:pPr>
            <w:r w:rsidRPr="00123108">
              <w:rPr>
                <w:rFonts w:ascii="宋体" w:hAnsi="宋体" w:cs="宋体" w:hint="eastAsia"/>
                <w:kern w:val="0"/>
                <w:szCs w:val="21"/>
              </w:rPr>
              <w:t>40</w:t>
            </w:r>
          </w:p>
        </w:tc>
        <w:tc>
          <w:tcPr>
            <w:tcW w:w="370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rPr>
                <w:rFonts w:ascii="宋体" w:hAnsi="宋体" w:cs="宋体" w:hint="eastAsia"/>
                <w:szCs w:val="21"/>
              </w:rPr>
            </w:pPr>
            <w:r w:rsidRPr="00123108">
              <w:rPr>
                <w:rFonts w:ascii="宋体" w:hAnsi="宋体" w:cs="宋体" w:hint="eastAsia"/>
                <w:szCs w:val="21"/>
              </w:rPr>
              <w:t>未在存在有毒气体的区域配备便携式检测仪、空气呼吸器等器材和设备或者不能正确佩戴、使用个体防护用品和应急救援器材的。</w:t>
            </w:r>
          </w:p>
        </w:tc>
        <w:tc>
          <w:tcPr>
            <w:tcW w:w="225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jc w:val="center"/>
              <w:rPr>
                <w:rFonts w:ascii="宋体" w:hAnsi="宋体" w:cs="宋体" w:hint="eastAsia"/>
                <w:szCs w:val="21"/>
              </w:rPr>
            </w:pPr>
            <w:r w:rsidRPr="00123108">
              <w:rPr>
                <w:rFonts w:ascii="宋体" w:hAnsi="宋体" w:cs="宋体" w:hint="eastAsia"/>
                <w:szCs w:val="21"/>
              </w:rPr>
              <w:t>《安全生产法》第三十八条、第七十九条</w:t>
            </w:r>
          </w:p>
        </w:tc>
        <w:tc>
          <w:tcPr>
            <w:tcW w:w="1975"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adjustRightInd w:val="0"/>
              <w:snapToGrid w:val="0"/>
              <w:spacing w:line="280" w:lineRule="exact"/>
              <w:rPr>
                <w:rFonts w:ascii="宋体" w:hAnsi="宋体" w:cs="宋体" w:hint="eastAsia"/>
                <w:szCs w:val="21"/>
              </w:rPr>
            </w:pPr>
            <w:r w:rsidRPr="00123108">
              <w:rPr>
                <w:rFonts w:ascii="宋体" w:hAnsi="宋体" w:cs="宋体" w:hint="eastAsia"/>
                <w:szCs w:val="21"/>
              </w:rPr>
              <w:t>已配备便携式检测仪、空气呼吸器等器材和设备</w:t>
            </w:r>
          </w:p>
        </w:tc>
        <w:tc>
          <w:tcPr>
            <w:tcW w:w="87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pacing w:line="270" w:lineRule="exact"/>
              <w:jc w:val="center"/>
              <w:rPr>
                <w:rFonts w:ascii="宋体" w:hAnsi="宋体" w:cs="宋体" w:hint="eastAsia"/>
                <w:szCs w:val="21"/>
              </w:rPr>
            </w:pPr>
            <w:r w:rsidRPr="00123108">
              <w:rPr>
                <w:rFonts w:ascii="宋体" w:hAnsi="宋体" w:cs="宋体" w:hint="eastAsia"/>
                <w:szCs w:val="21"/>
              </w:rPr>
              <w:t>符合</w:t>
            </w:r>
          </w:p>
        </w:tc>
      </w:tr>
    </w:tbl>
    <w:p w:rsidR="004F34D9" w:rsidRPr="00123108" w:rsidRDefault="004F34D9">
      <w:pPr>
        <w:pStyle w:val="aff4"/>
        <w:widowControl w:val="0"/>
        <w:adjustRightInd w:val="0"/>
        <w:spacing w:before="0" w:beforeAutospacing="0" w:after="0" w:afterAutospacing="0"/>
        <w:jc w:val="both"/>
        <w:rPr>
          <w:rFonts w:cs="宋体" w:hint="eastAsia"/>
          <w:b/>
          <w:bCs/>
          <w:sz w:val="28"/>
          <w:szCs w:val="28"/>
        </w:rPr>
      </w:pPr>
      <w:bookmarkStart w:id="1797" w:name="_Toc14441"/>
      <w:bookmarkStart w:id="1798" w:name="_Toc13588"/>
      <w:bookmarkStart w:id="1799" w:name="_Toc20171"/>
      <w:bookmarkStart w:id="1800" w:name="_Toc23875"/>
      <w:bookmarkStart w:id="1801" w:name="_Toc22762"/>
      <w:bookmarkStart w:id="1802" w:name="_Toc22481"/>
    </w:p>
    <w:p w:rsidR="004F34D9" w:rsidRPr="00123108" w:rsidRDefault="004F34D9">
      <w:pPr>
        <w:pStyle w:val="aff4"/>
        <w:widowControl w:val="0"/>
        <w:adjustRightInd w:val="0"/>
        <w:spacing w:before="0" w:beforeAutospacing="0" w:after="0" w:afterAutospacing="0" w:line="360" w:lineRule="auto"/>
        <w:ind w:firstLineChars="200" w:firstLine="560"/>
        <w:rPr>
          <w:rFonts w:cs="宋体" w:hint="eastAsia"/>
          <w:sz w:val="28"/>
          <w:szCs w:val="28"/>
        </w:rPr>
      </w:pPr>
      <w:r w:rsidRPr="00123108">
        <w:rPr>
          <w:rFonts w:cs="宋体" w:hint="eastAsia"/>
          <w:sz w:val="28"/>
          <w:szCs w:val="28"/>
        </w:rPr>
        <w:lastRenderedPageBreak/>
        <w:t>小结：经《化工企业安全检查重点指导目录》符合性检查，存在问题有二甲苯罐区与主要道路及与冷库间距不足。</w:t>
      </w:r>
    </w:p>
    <w:p w:rsidR="004F34D9" w:rsidRPr="00123108" w:rsidRDefault="004F34D9" w:rsidP="00E36E64">
      <w:pPr>
        <w:pStyle w:val="2"/>
        <w:spacing w:line="500" w:lineRule="exact"/>
        <w:jc w:val="both"/>
        <w:rPr>
          <w:rFonts w:ascii="宋体" w:eastAsia="宋体" w:cs="宋体" w:hint="eastAsia"/>
          <w:sz w:val="28"/>
          <w:szCs w:val="28"/>
        </w:rPr>
      </w:pPr>
      <w:bookmarkStart w:id="1803" w:name="_Toc190935912"/>
      <w:r w:rsidRPr="00123108">
        <w:rPr>
          <w:rFonts w:ascii="宋体" w:eastAsia="宋体" w:cs="宋体" w:hint="eastAsia"/>
          <w:sz w:val="28"/>
          <w:szCs w:val="28"/>
        </w:rPr>
        <w:t>附件2.9重大生产安全事故隐患判定</w:t>
      </w:r>
      <w:bookmarkEnd w:id="1797"/>
      <w:bookmarkEnd w:id="1798"/>
      <w:bookmarkEnd w:id="1799"/>
      <w:bookmarkEnd w:id="1800"/>
      <w:bookmarkEnd w:id="1801"/>
      <w:bookmarkEnd w:id="1802"/>
      <w:bookmarkEnd w:id="1803"/>
    </w:p>
    <w:p w:rsidR="004F34D9" w:rsidRPr="00123108" w:rsidRDefault="004F34D9">
      <w:pPr>
        <w:pStyle w:val="aff4"/>
        <w:widowControl w:val="0"/>
        <w:adjustRightInd w:val="0"/>
        <w:spacing w:before="0" w:beforeAutospacing="0" w:after="0" w:afterAutospacing="0" w:line="360" w:lineRule="auto"/>
        <w:ind w:firstLineChars="200" w:firstLine="560"/>
        <w:jc w:val="both"/>
        <w:rPr>
          <w:rFonts w:cs="宋体" w:hint="eastAsia"/>
          <w:sz w:val="28"/>
          <w:szCs w:val="28"/>
        </w:rPr>
      </w:pPr>
      <w:r w:rsidRPr="00123108">
        <w:rPr>
          <w:rFonts w:cs="宋体" w:hint="eastAsia"/>
          <w:sz w:val="28"/>
          <w:szCs w:val="28"/>
        </w:rPr>
        <w:t>为准确判定及时整改危险化学品生产单位重大生产安全事故隐患，有效防范遏制重特大生产安全事故，根据《国家安全监管总局关于印发</w:t>
      </w:r>
      <w:r w:rsidRPr="00123108">
        <w:rPr>
          <w:rFonts w:cs="宋体" w:hint="eastAsia"/>
          <w:sz w:val="28"/>
        </w:rPr>
        <w:t>&lt;</w:t>
      </w:r>
      <w:r w:rsidRPr="00123108">
        <w:rPr>
          <w:rFonts w:cs="宋体" w:hint="eastAsia"/>
          <w:sz w:val="28"/>
          <w:szCs w:val="28"/>
        </w:rPr>
        <w:t>化工和危险化学品生产经营单位重大生产安全事故隐患判定标准（试行）</w:t>
      </w:r>
      <w:r w:rsidRPr="00123108">
        <w:rPr>
          <w:rFonts w:cs="宋体" w:hint="eastAsia"/>
          <w:sz w:val="28"/>
        </w:rPr>
        <w:t>&gt;</w:t>
      </w:r>
      <w:r w:rsidRPr="00123108">
        <w:rPr>
          <w:rFonts w:cs="宋体" w:hint="eastAsia"/>
          <w:sz w:val="28"/>
          <w:szCs w:val="28"/>
        </w:rPr>
        <w:t>和</w:t>
      </w:r>
      <w:r w:rsidRPr="00123108">
        <w:rPr>
          <w:rFonts w:cs="宋体" w:hint="eastAsia"/>
          <w:sz w:val="28"/>
        </w:rPr>
        <w:t>&lt;</w:t>
      </w:r>
      <w:r w:rsidRPr="00123108">
        <w:rPr>
          <w:rFonts w:cs="宋体" w:hint="eastAsia"/>
          <w:sz w:val="28"/>
          <w:szCs w:val="28"/>
        </w:rPr>
        <w:t>烟花爆竹生产经营单位重大生产安全事故隐患判定标准（试行）</w:t>
      </w:r>
      <w:r w:rsidRPr="00123108">
        <w:rPr>
          <w:rFonts w:cs="宋体" w:hint="eastAsia"/>
          <w:sz w:val="28"/>
        </w:rPr>
        <w:t>&gt;</w:t>
      </w:r>
      <w:r w:rsidRPr="00123108">
        <w:rPr>
          <w:rFonts w:cs="宋体" w:hint="eastAsia"/>
          <w:sz w:val="28"/>
          <w:szCs w:val="28"/>
        </w:rPr>
        <w:t>的通知》安监总管三〔2017〕121号文，对新桥化工是否存在重大生产安全事故隐患进行判定。见附表2.9-1。</w:t>
      </w:r>
    </w:p>
    <w:p w:rsidR="004F34D9" w:rsidRPr="00123108" w:rsidRDefault="004F34D9">
      <w:pPr>
        <w:pStyle w:val="aff4"/>
        <w:widowControl w:val="0"/>
        <w:adjustRightInd w:val="0"/>
        <w:spacing w:before="0" w:beforeAutospacing="0" w:after="0" w:afterAutospacing="0" w:line="360" w:lineRule="auto"/>
        <w:jc w:val="center"/>
        <w:rPr>
          <w:rFonts w:cs="宋体" w:hint="eastAsia"/>
          <w:b/>
          <w:bCs/>
          <w:sz w:val="28"/>
          <w:szCs w:val="28"/>
        </w:rPr>
      </w:pPr>
      <w:r w:rsidRPr="00123108">
        <w:rPr>
          <w:rFonts w:cs="宋体" w:hint="eastAsia"/>
          <w:b/>
          <w:bCs/>
          <w:sz w:val="28"/>
          <w:szCs w:val="28"/>
        </w:rPr>
        <w:t>附表2.9-1  重大生产安全事故隐患判定表</w:t>
      </w:r>
    </w:p>
    <w:tbl>
      <w:tblPr>
        <w:tblW w:w="499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5457"/>
        <w:gridCol w:w="2566"/>
        <w:gridCol w:w="690"/>
      </w:tblGrid>
      <w:tr w:rsidR="004F34D9" w:rsidRPr="00123108">
        <w:trPr>
          <w:trHeight w:val="340"/>
          <w:tblHeader/>
          <w:jc w:val="center"/>
        </w:trPr>
        <w:tc>
          <w:tcPr>
            <w:tcW w:w="250" w:type="pct"/>
            <w:vAlign w:val="center"/>
          </w:tcPr>
          <w:p w:rsidR="004F34D9" w:rsidRPr="00123108" w:rsidRDefault="004F34D9">
            <w:pPr>
              <w:jc w:val="center"/>
              <w:rPr>
                <w:rFonts w:ascii="宋体" w:hAnsi="宋体" w:cs="宋体" w:hint="eastAsia"/>
                <w:b/>
                <w:szCs w:val="21"/>
              </w:rPr>
            </w:pPr>
            <w:r w:rsidRPr="00123108">
              <w:rPr>
                <w:rFonts w:ascii="宋体" w:hAnsi="宋体" w:cs="宋体" w:hint="eastAsia"/>
                <w:b/>
                <w:szCs w:val="21"/>
              </w:rPr>
              <w:lastRenderedPageBreak/>
              <w:t>序号</w:t>
            </w:r>
          </w:p>
        </w:tc>
        <w:tc>
          <w:tcPr>
            <w:tcW w:w="2974" w:type="pct"/>
            <w:vAlign w:val="center"/>
          </w:tcPr>
          <w:p w:rsidR="004F34D9" w:rsidRPr="00123108" w:rsidRDefault="004F34D9">
            <w:pPr>
              <w:jc w:val="center"/>
              <w:rPr>
                <w:rFonts w:ascii="宋体" w:hAnsi="宋体" w:cs="宋体" w:hint="eastAsia"/>
                <w:b/>
                <w:szCs w:val="21"/>
              </w:rPr>
            </w:pPr>
            <w:r w:rsidRPr="00123108">
              <w:rPr>
                <w:rFonts w:ascii="宋体" w:hAnsi="宋体" w:cs="宋体" w:hint="eastAsia"/>
                <w:b/>
                <w:szCs w:val="21"/>
              </w:rPr>
              <w:t>判定情形</w:t>
            </w:r>
          </w:p>
        </w:tc>
        <w:tc>
          <w:tcPr>
            <w:tcW w:w="1398" w:type="pct"/>
            <w:vAlign w:val="center"/>
          </w:tcPr>
          <w:p w:rsidR="004F34D9" w:rsidRPr="00123108" w:rsidRDefault="004F34D9">
            <w:pPr>
              <w:jc w:val="center"/>
              <w:rPr>
                <w:rFonts w:ascii="宋体" w:hAnsi="宋体" w:cs="宋体" w:hint="eastAsia"/>
                <w:b/>
                <w:szCs w:val="21"/>
              </w:rPr>
            </w:pPr>
            <w:r w:rsidRPr="00123108">
              <w:rPr>
                <w:rFonts w:ascii="宋体" w:hAnsi="宋体" w:cs="宋体" w:hint="eastAsia"/>
                <w:b/>
                <w:szCs w:val="21"/>
              </w:rPr>
              <w:t>实际情况说明</w:t>
            </w:r>
          </w:p>
        </w:tc>
        <w:tc>
          <w:tcPr>
            <w:tcW w:w="376" w:type="pct"/>
            <w:vAlign w:val="center"/>
          </w:tcPr>
          <w:p w:rsidR="004F34D9" w:rsidRPr="00123108" w:rsidRDefault="004F34D9">
            <w:pPr>
              <w:ind w:leftChars="-15" w:left="-31" w:rightChars="-37" w:right="-78"/>
              <w:jc w:val="center"/>
              <w:rPr>
                <w:rFonts w:ascii="宋体" w:hAnsi="宋体" w:cs="宋体" w:hint="eastAsia"/>
                <w:b/>
                <w:szCs w:val="21"/>
              </w:rPr>
            </w:pPr>
            <w:r w:rsidRPr="00123108">
              <w:rPr>
                <w:rFonts w:ascii="宋体" w:hAnsi="宋体" w:cs="宋体" w:hint="eastAsia"/>
                <w:b/>
                <w:szCs w:val="21"/>
              </w:rPr>
              <w:t>判定</w:t>
            </w:r>
          </w:p>
          <w:p w:rsidR="004F34D9" w:rsidRPr="00123108" w:rsidRDefault="004F34D9">
            <w:pPr>
              <w:ind w:leftChars="-15" w:left="-31" w:rightChars="-37" w:right="-78"/>
              <w:jc w:val="center"/>
              <w:rPr>
                <w:rFonts w:ascii="宋体" w:hAnsi="宋体" w:cs="宋体" w:hint="eastAsia"/>
                <w:b/>
                <w:szCs w:val="21"/>
              </w:rPr>
            </w:pPr>
            <w:r w:rsidRPr="00123108">
              <w:rPr>
                <w:rFonts w:ascii="宋体" w:hAnsi="宋体" w:cs="宋体" w:hint="eastAsia"/>
                <w:b/>
                <w:szCs w:val="21"/>
              </w:rPr>
              <w:t>结果</w:t>
            </w:r>
          </w:p>
        </w:tc>
      </w:tr>
      <w:tr w:rsidR="004F34D9" w:rsidRPr="00123108">
        <w:trPr>
          <w:trHeight w:val="340"/>
          <w:tblHeader/>
          <w:jc w:val="center"/>
        </w:trPr>
        <w:tc>
          <w:tcPr>
            <w:tcW w:w="250"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w:t>
            </w:r>
          </w:p>
        </w:tc>
        <w:tc>
          <w:tcPr>
            <w:tcW w:w="2974" w:type="pct"/>
            <w:vAlign w:val="center"/>
          </w:tcPr>
          <w:p w:rsidR="004F34D9" w:rsidRPr="00123108" w:rsidRDefault="004F34D9" w:rsidP="00AF6333">
            <w:pPr>
              <w:adjustRightInd w:val="0"/>
              <w:snapToGrid w:val="0"/>
              <w:spacing w:line="280" w:lineRule="exact"/>
              <w:rPr>
                <w:rFonts w:ascii="宋体" w:hAnsi="宋体" w:cs="宋体" w:hint="eastAsia"/>
                <w:szCs w:val="21"/>
              </w:rPr>
            </w:pPr>
            <w:r w:rsidRPr="00123108">
              <w:rPr>
                <w:rFonts w:ascii="宋体" w:hAnsi="宋体" w:cs="宋体" w:hint="eastAsia"/>
                <w:kern w:val="0"/>
                <w:szCs w:val="21"/>
              </w:rPr>
              <w:t>危险化学品生产、经营单位主要负责人和安全生产管理人员未依法经考核合格。</w:t>
            </w:r>
          </w:p>
        </w:tc>
        <w:tc>
          <w:tcPr>
            <w:tcW w:w="1398" w:type="pct"/>
            <w:vAlign w:val="center"/>
          </w:tcPr>
          <w:p w:rsidR="004F34D9" w:rsidRPr="00123108" w:rsidRDefault="004F34D9" w:rsidP="00AF6333">
            <w:pPr>
              <w:adjustRightInd w:val="0"/>
              <w:snapToGrid w:val="0"/>
              <w:spacing w:line="280" w:lineRule="exact"/>
              <w:rPr>
                <w:rFonts w:ascii="宋体" w:hAnsi="宋体" w:cs="宋体" w:hint="eastAsia"/>
              </w:rPr>
            </w:pPr>
            <w:r w:rsidRPr="00123108">
              <w:rPr>
                <w:rFonts w:ascii="宋体" w:hAnsi="宋体" w:cs="宋体" w:hint="eastAsia"/>
                <w:szCs w:val="21"/>
              </w:rPr>
              <w:t>主要负责人及安全管理人员均取证</w:t>
            </w:r>
          </w:p>
        </w:tc>
        <w:tc>
          <w:tcPr>
            <w:tcW w:w="376"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否</w:t>
            </w:r>
          </w:p>
        </w:tc>
      </w:tr>
      <w:tr w:rsidR="004F34D9" w:rsidRPr="00123108">
        <w:trPr>
          <w:trHeight w:val="340"/>
          <w:tblHeader/>
          <w:jc w:val="center"/>
        </w:trPr>
        <w:tc>
          <w:tcPr>
            <w:tcW w:w="250"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2</w:t>
            </w:r>
          </w:p>
        </w:tc>
        <w:tc>
          <w:tcPr>
            <w:tcW w:w="2974" w:type="pct"/>
            <w:vAlign w:val="center"/>
          </w:tcPr>
          <w:p w:rsidR="004F34D9" w:rsidRPr="00123108" w:rsidRDefault="004F34D9" w:rsidP="00AF6333">
            <w:pPr>
              <w:adjustRightInd w:val="0"/>
              <w:snapToGrid w:val="0"/>
              <w:spacing w:line="280" w:lineRule="exact"/>
              <w:rPr>
                <w:rFonts w:ascii="宋体" w:hAnsi="宋体" w:cs="宋体" w:hint="eastAsia"/>
                <w:szCs w:val="21"/>
              </w:rPr>
            </w:pPr>
            <w:r w:rsidRPr="00123108">
              <w:rPr>
                <w:rFonts w:ascii="宋体" w:hAnsi="宋体" w:cs="宋体" w:hint="eastAsia"/>
                <w:kern w:val="0"/>
                <w:szCs w:val="21"/>
              </w:rPr>
              <w:t>特种作业人员未持证上岗。</w:t>
            </w:r>
          </w:p>
        </w:tc>
        <w:tc>
          <w:tcPr>
            <w:tcW w:w="1398"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特种作业人员持证上岗</w:t>
            </w:r>
          </w:p>
        </w:tc>
        <w:tc>
          <w:tcPr>
            <w:tcW w:w="376"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否</w:t>
            </w:r>
          </w:p>
        </w:tc>
      </w:tr>
      <w:tr w:rsidR="004F34D9" w:rsidRPr="00123108">
        <w:trPr>
          <w:trHeight w:val="340"/>
          <w:tblHeader/>
          <w:jc w:val="center"/>
        </w:trPr>
        <w:tc>
          <w:tcPr>
            <w:tcW w:w="250"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3</w:t>
            </w:r>
          </w:p>
        </w:tc>
        <w:tc>
          <w:tcPr>
            <w:tcW w:w="2974" w:type="pct"/>
            <w:vAlign w:val="center"/>
          </w:tcPr>
          <w:p w:rsidR="004F34D9" w:rsidRPr="00123108" w:rsidRDefault="004F34D9">
            <w:pPr>
              <w:spacing w:line="300" w:lineRule="exact"/>
              <w:rPr>
                <w:rFonts w:ascii="宋体" w:hAnsi="宋体" w:cs="宋体" w:hint="eastAsia"/>
                <w:szCs w:val="21"/>
              </w:rPr>
            </w:pPr>
            <w:r w:rsidRPr="00123108">
              <w:rPr>
                <w:rFonts w:ascii="宋体" w:hAnsi="宋体" w:cs="宋体" w:hint="eastAsia"/>
                <w:kern w:val="0"/>
                <w:szCs w:val="21"/>
              </w:rPr>
              <w:t>涉及“两重点一重大”的生产装置、储存设施外部安全防护距离不符合国家标准要求。</w:t>
            </w:r>
          </w:p>
        </w:tc>
        <w:tc>
          <w:tcPr>
            <w:tcW w:w="1398"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符合国家标准要求</w:t>
            </w:r>
          </w:p>
        </w:tc>
        <w:tc>
          <w:tcPr>
            <w:tcW w:w="376"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否</w:t>
            </w:r>
          </w:p>
        </w:tc>
      </w:tr>
      <w:tr w:rsidR="004F34D9" w:rsidRPr="00123108">
        <w:trPr>
          <w:trHeight w:val="340"/>
          <w:tblHeader/>
          <w:jc w:val="center"/>
        </w:trPr>
        <w:tc>
          <w:tcPr>
            <w:tcW w:w="250"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4</w:t>
            </w:r>
          </w:p>
        </w:tc>
        <w:tc>
          <w:tcPr>
            <w:tcW w:w="2974" w:type="pct"/>
            <w:vAlign w:val="center"/>
          </w:tcPr>
          <w:p w:rsidR="004F34D9" w:rsidRPr="00123108" w:rsidRDefault="004F34D9" w:rsidP="00AF6333">
            <w:pPr>
              <w:adjustRightInd w:val="0"/>
              <w:snapToGrid w:val="0"/>
              <w:spacing w:line="280" w:lineRule="exact"/>
              <w:rPr>
                <w:rFonts w:ascii="宋体" w:hAnsi="宋体" w:cs="宋体" w:hint="eastAsia"/>
                <w:szCs w:val="21"/>
              </w:rPr>
            </w:pPr>
            <w:r w:rsidRPr="00123108">
              <w:rPr>
                <w:rFonts w:ascii="宋体" w:hAnsi="宋体" w:cs="宋体" w:hint="eastAsia"/>
                <w:kern w:val="0"/>
                <w:szCs w:val="21"/>
              </w:rPr>
              <w:t>涉及重点监管危险化工工艺的装置未实现自动化控制，系统未实现紧急停车功能，装备的自动化控制系统、紧急停车系统未投入使用。</w:t>
            </w:r>
          </w:p>
        </w:tc>
        <w:tc>
          <w:tcPr>
            <w:tcW w:w="1398" w:type="pct"/>
            <w:vAlign w:val="center"/>
          </w:tcPr>
          <w:p w:rsidR="004F34D9" w:rsidRPr="00123108" w:rsidRDefault="004F34D9" w:rsidP="00AF6333">
            <w:pPr>
              <w:adjustRightInd w:val="0"/>
              <w:snapToGrid w:val="0"/>
              <w:spacing w:line="280" w:lineRule="exact"/>
              <w:rPr>
                <w:rFonts w:ascii="宋体" w:hAnsi="宋体" w:cs="宋体" w:hint="eastAsia"/>
                <w:szCs w:val="21"/>
              </w:rPr>
            </w:pPr>
            <w:r w:rsidRPr="00123108">
              <w:rPr>
                <w:rFonts w:ascii="宋体" w:hAnsi="宋体" w:cs="宋体" w:hint="eastAsia"/>
                <w:szCs w:val="21"/>
              </w:rPr>
              <w:t>涉及重点监管危险化工工艺的装置自动化控制</w:t>
            </w:r>
          </w:p>
        </w:tc>
        <w:tc>
          <w:tcPr>
            <w:tcW w:w="376"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否</w:t>
            </w:r>
          </w:p>
        </w:tc>
      </w:tr>
      <w:tr w:rsidR="004F34D9" w:rsidRPr="00123108">
        <w:trPr>
          <w:trHeight w:val="340"/>
          <w:tblHeader/>
          <w:jc w:val="center"/>
        </w:trPr>
        <w:tc>
          <w:tcPr>
            <w:tcW w:w="250"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5</w:t>
            </w:r>
          </w:p>
        </w:tc>
        <w:tc>
          <w:tcPr>
            <w:tcW w:w="2974" w:type="pct"/>
            <w:vAlign w:val="center"/>
          </w:tcPr>
          <w:p w:rsidR="004F34D9" w:rsidRPr="00123108" w:rsidRDefault="004F34D9" w:rsidP="00AF6333">
            <w:pPr>
              <w:adjustRightInd w:val="0"/>
              <w:snapToGrid w:val="0"/>
              <w:spacing w:line="280" w:lineRule="exact"/>
              <w:rPr>
                <w:rFonts w:ascii="宋体" w:hAnsi="宋体" w:cs="宋体" w:hint="eastAsia"/>
                <w:kern w:val="0"/>
                <w:szCs w:val="21"/>
              </w:rPr>
            </w:pPr>
            <w:r w:rsidRPr="00123108">
              <w:rPr>
                <w:rFonts w:ascii="宋体" w:hAnsi="宋体" w:cs="宋体" w:hint="eastAsia"/>
                <w:kern w:val="0"/>
                <w:szCs w:val="21"/>
              </w:rPr>
              <w:t>构成一级、二级重大危险源的危险化学品罐区未实现紧急切断功能；涉及毒性气体、液化气体、剧毒液体的一级、二级重大危险源的危险化学品罐区未配备独立的安全仪表系统。</w:t>
            </w:r>
          </w:p>
        </w:tc>
        <w:tc>
          <w:tcPr>
            <w:tcW w:w="1398" w:type="pct"/>
            <w:vAlign w:val="center"/>
          </w:tcPr>
          <w:p w:rsidR="004F34D9" w:rsidRPr="00123108" w:rsidRDefault="004F34D9" w:rsidP="00AF6333">
            <w:pPr>
              <w:adjustRightInd w:val="0"/>
              <w:snapToGrid w:val="0"/>
              <w:spacing w:line="280" w:lineRule="exact"/>
              <w:rPr>
                <w:rFonts w:ascii="宋体" w:hAnsi="宋体" w:cs="宋体" w:hint="eastAsia"/>
                <w:szCs w:val="21"/>
              </w:rPr>
            </w:pPr>
            <w:r w:rsidRPr="00123108">
              <w:rPr>
                <w:rFonts w:ascii="宋体" w:hAnsi="宋体" w:cs="宋体" w:hint="eastAsia"/>
                <w:szCs w:val="21"/>
              </w:rPr>
              <w:t>三级重大危险源罐区已设有紧急切断功能</w:t>
            </w:r>
          </w:p>
        </w:tc>
        <w:tc>
          <w:tcPr>
            <w:tcW w:w="376"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否</w:t>
            </w:r>
          </w:p>
        </w:tc>
      </w:tr>
      <w:tr w:rsidR="004F34D9" w:rsidRPr="00123108">
        <w:trPr>
          <w:trHeight w:val="340"/>
          <w:tblHeader/>
          <w:jc w:val="center"/>
        </w:trPr>
        <w:tc>
          <w:tcPr>
            <w:tcW w:w="250"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6</w:t>
            </w:r>
          </w:p>
        </w:tc>
        <w:tc>
          <w:tcPr>
            <w:tcW w:w="2974" w:type="pct"/>
            <w:vAlign w:val="center"/>
          </w:tcPr>
          <w:p w:rsidR="004F34D9" w:rsidRPr="00123108" w:rsidRDefault="004F34D9">
            <w:pPr>
              <w:rPr>
                <w:rFonts w:ascii="宋体" w:hAnsi="宋体" w:cs="宋体" w:hint="eastAsia"/>
                <w:kern w:val="0"/>
                <w:szCs w:val="21"/>
              </w:rPr>
            </w:pPr>
            <w:r w:rsidRPr="00123108">
              <w:rPr>
                <w:rFonts w:ascii="宋体" w:hAnsi="宋体" w:cs="宋体" w:hint="eastAsia"/>
                <w:kern w:val="0"/>
                <w:szCs w:val="21"/>
              </w:rPr>
              <w:t>全压力式液化烃储罐未按国家标准设置注水措施。</w:t>
            </w:r>
          </w:p>
        </w:tc>
        <w:tc>
          <w:tcPr>
            <w:tcW w:w="1398"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不涉及</w:t>
            </w:r>
          </w:p>
        </w:tc>
        <w:tc>
          <w:tcPr>
            <w:tcW w:w="376"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w:t>
            </w:r>
          </w:p>
        </w:tc>
      </w:tr>
      <w:tr w:rsidR="004F34D9" w:rsidRPr="00123108">
        <w:trPr>
          <w:trHeight w:val="340"/>
          <w:tblHeader/>
          <w:jc w:val="center"/>
        </w:trPr>
        <w:tc>
          <w:tcPr>
            <w:tcW w:w="250"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7</w:t>
            </w:r>
          </w:p>
        </w:tc>
        <w:tc>
          <w:tcPr>
            <w:tcW w:w="2974" w:type="pct"/>
            <w:vAlign w:val="center"/>
          </w:tcPr>
          <w:p w:rsidR="004F34D9" w:rsidRPr="00123108" w:rsidRDefault="004F34D9" w:rsidP="00AF6333">
            <w:pPr>
              <w:adjustRightInd w:val="0"/>
              <w:snapToGrid w:val="0"/>
              <w:spacing w:line="280" w:lineRule="exact"/>
              <w:rPr>
                <w:rFonts w:ascii="宋体" w:hAnsi="宋体" w:cs="宋体" w:hint="eastAsia"/>
                <w:kern w:val="0"/>
                <w:szCs w:val="21"/>
              </w:rPr>
            </w:pPr>
            <w:r w:rsidRPr="00123108">
              <w:rPr>
                <w:rFonts w:ascii="宋体" w:hAnsi="宋体" w:cs="宋体" w:hint="eastAsia"/>
                <w:kern w:val="0"/>
                <w:szCs w:val="21"/>
              </w:rPr>
              <w:t>液化烃、液氨、液氯等易燃易爆、有毒有害液化气体的充装未使用万向管道充装系统。</w:t>
            </w:r>
          </w:p>
        </w:tc>
        <w:tc>
          <w:tcPr>
            <w:tcW w:w="2629" w:type="dxa"/>
            <w:vAlign w:val="center"/>
          </w:tcPr>
          <w:p w:rsidR="004F34D9" w:rsidRPr="00123108" w:rsidRDefault="004F34D9">
            <w:pPr>
              <w:rPr>
                <w:rFonts w:ascii="宋体" w:hAnsi="宋体" w:cs="宋体" w:hint="eastAsia"/>
                <w:szCs w:val="21"/>
              </w:rPr>
            </w:pPr>
            <w:r w:rsidRPr="00123108">
              <w:rPr>
                <w:rFonts w:ascii="宋体" w:hAnsi="宋体" w:cs="宋体" w:hint="eastAsia"/>
                <w:szCs w:val="21"/>
              </w:rPr>
              <w:t>不涉及</w:t>
            </w:r>
          </w:p>
        </w:tc>
        <w:tc>
          <w:tcPr>
            <w:tcW w:w="707"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w:t>
            </w:r>
          </w:p>
        </w:tc>
      </w:tr>
      <w:tr w:rsidR="004F34D9" w:rsidRPr="00123108">
        <w:trPr>
          <w:trHeight w:val="340"/>
          <w:tblHeader/>
          <w:jc w:val="center"/>
        </w:trPr>
        <w:tc>
          <w:tcPr>
            <w:tcW w:w="250"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8</w:t>
            </w:r>
          </w:p>
        </w:tc>
        <w:tc>
          <w:tcPr>
            <w:tcW w:w="2974" w:type="pct"/>
            <w:vAlign w:val="center"/>
          </w:tcPr>
          <w:p w:rsidR="004F34D9" w:rsidRPr="00123108" w:rsidRDefault="004F34D9" w:rsidP="00AF6333">
            <w:pPr>
              <w:adjustRightInd w:val="0"/>
              <w:snapToGrid w:val="0"/>
              <w:spacing w:line="280" w:lineRule="exact"/>
              <w:rPr>
                <w:rFonts w:ascii="宋体" w:hAnsi="宋体" w:cs="宋体" w:hint="eastAsia"/>
                <w:kern w:val="0"/>
                <w:szCs w:val="21"/>
              </w:rPr>
            </w:pPr>
            <w:r w:rsidRPr="00123108">
              <w:rPr>
                <w:rFonts w:ascii="宋体" w:hAnsi="宋体" w:cs="宋体" w:hint="eastAsia"/>
                <w:kern w:val="0"/>
                <w:szCs w:val="21"/>
              </w:rPr>
              <w:t>光气、氯气等剧毒气体及硫化氢气体管道穿越除厂区（包括化工园区、工业园区）</w:t>
            </w:r>
            <w:r w:rsidRPr="00123108">
              <w:rPr>
                <w:rFonts w:ascii="宋体" w:hAnsi="宋体" w:cs="宋体" w:hint="eastAsia"/>
                <w:szCs w:val="21"/>
              </w:rPr>
              <w:t>外的公共区域</w:t>
            </w:r>
            <w:r w:rsidRPr="00123108">
              <w:rPr>
                <w:rFonts w:ascii="宋体" w:hAnsi="宋体" w:cs="宋体" w:hint="eastAsia"/>
                <w:kern w:val="0"/>
                <w:szCs w:val="21"/>
              </w:rPr>
              <w:t>。</w:t>
            </w:r>
          </w:p>
        </w:tc>
        <w:tc>
          <w:tcPr>
            <w:tcW w:w="1398"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不涉及</w:t>
            </w:r>
          </w:p>
        </w:tc>
        <w:tc>
          <w:tcPr>
            <w:tcW w:w="376"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否</w:t>
            </w:r>
          </w:p>
        </w:tc>
      </w:tr>
      <w:tr w:rsidR="004F34D9" w:rsidRPr="00123108">
        <w:trPr>
          <w:trHeight w:val="340"/>
          <w:tblHeader/>
          <w:jc w:val="center"/>
        </w:trPr>
        <w:tc>
          <w:tcPr>
            <w:tcW w:w="250"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9</w:t>
            </w:r>
          </w:p>
        </w:tc>
        <w:tc>
          <w:tcPr>
            <w:tcW w:w="2974" w:type="pct"/>
            <w:vAlign w:val="center"/>
          </w:tcPr>
          <w:p w:rsidR="004F34D9" w:rsidRPr="00123108" w:rsidRDefault="004F34D9">
            <w:pPr>
              <w:rPr>
                <w:rFonts w:ascii="宋体" w:hAnsi="宋体" w:cs="宋体" w:hint="eastAsia"/>
                <w:kern w:val="0"/>
                <w:szCs w:val="21"/>
              </w:rPr>
            </w:pPr>
            <w:r w:rsidRPr="00123108">
              <w:rPr>
                <w:rFonts w:ascii="宋体" w:hAnsi="宋体" w:cs="宋体" w:hint="eastAsia"/>
                <w:kern w:val="0"/>
                <w:szCs w:val="21"/>
              </w:rPr>
              <w:t>地区架空电力线路穿越生产区且不符合国家标准要求。</w:t>
            </w:r>
          </w:p>
        </w:tc>
        <w:tc>
          <w:tcPr>
            <w:tcW w:w="1398" w:type="pct"/>
            <w:vAlign w:val="center"/>
          </w:tcPr>
          <w:p w:rsidR="004F34D9" w:rsidRPr="00123108" w:rsidRDefault="004F34D9">
            <w:pPr>
              <w:rPr>
                <w:rFonts w:ascii="宋体" w:hAnsi="宋体" w:cs="宋体" w:hint="eastAsia"/>
                <w:szCs w:val="21"/>
              </w:rPr>
            </w:pPr>
            <w:r w:rsidRPr="00123108">
              <w:rPr>
                <w:rFonts w:ascii="宋体" w:hAnsi="宋体" w:cs="宋体" w:hint="eastAsia"/>
                <w:szCs w:val="21"/>
              </w:rPr>
              <w:t>未穿越</w:t>
            </w:r>
            <w:r w:rsidRPr="00123108">
              <w:rPr>
                <w:rFonts w:ascii="宋体" w:hAnsi="宋体" w:cs="宋体" w:hint="eastAsia"/>
                <w:kern w:val="0"/>
                <w:szCs w:val="21"/>
              </w:rPr>
              <w:t>生产区</w:t>
            </w:r>
          </w:p>
        </w:tc>
        <w:tc>
          <w:tcPr>
            <w:tcW w:w="376"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否</w:t>
            </w:r>
          </w:p>
        </w:tc>
      </w:tr>
      <w:tr w:rsidR="004F34D9" w:rsidRPr="00123108">
        <w:trPr>
          <w:trHeight w:val="340"/>
          <w:tblHeader/>
          <w:jc w:val="center"/>
        </w:trPr>
        <w:tc>
          <w:tcPr>
            <w:tcW w:w="250"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10</w:t>
            </w:r>
          </w:p>
        </w:tc>
        <w:tc>
          <w:tcPr>
            <w:tcW w:w="2974" w:type="pct"/>
            <w:vAlign w:val="center"/>
          </w:tcPr>
          <w:p w:rsidR="004F34D9" w:rsidRPr="00123108" w:rsidRDefault="004F34D9" w:rsidP="00AF6333">
            <w:pPr>
              <w:adjustRightInd w:val="0"/>
              <w:snapToGrid w:val="0"/>
              <w:spacing w:line="280" w:lineRule="exact"/>
              <w:rPr>
                <w:rFonts w:ascii="宋体" w:hAnsi="宋体" w:cs="宋体" w:hint="eastAsia"/>
                <w:kern w:val="0"/>
                <w:szCs w:val="21"/>
              </w:rPr>
            </w:pPr>
            <w:r w:rsidRPr="00123108">
              <w:rPr>
                <w:rFonts w:ascii="宋体" w:hAnsi="宋体" w:cs="宋体" w:hint="eastAsia"/>
                <w:szCs w:val="21"/>
              </w:rPr>
              <w:t>在役化工装置未经正规设计且未进行安全设计诊断</w:t>
            </w:r>
            <w:r w:rsidRPr="00123108">
              <w:rPr>
                <w:rFonts w:ascii="宋体" w:hAnsi="宋体" w:cs="宋体" w:hint="eastAsia"/>
                <w:kern w:val="0"/>
                <w:szCs w:val="21"/>
              </w:rPr>
              <w:t>。</w:t>
            </w:r>
          </w:p>
        </w:tc>
        <w:tc>
          <w:tcPr>
            <w:tcW w:w="1398" w:type="pct"/>
            <w:vAlign w:val="center"/>
          </w:tcPr>
          <w:p w:rsidR="004F34D9" w:rsidRPr="00123108" w:rsidRDefault="004F34D9" w:rsidP="00AF6333">
            <w:pPr>
              <w:adjustRightInd w:val="0"/>
              <w:snapToGrid w:val="0"/>
              <w:spacing w:line="280" w:lineRule="exact"/>
              <w:rPr>
                <w:rFonts w:ascii="宋体" w:hAnsi="宋体" w:cs="宋体" w:hint="eastAsia"/>
                <w:szCs w:val="21"/>
              </w:rPr>
            </w:pPr>
            <w:r w:rsidRPr="00123108">
              <w:rPr>
                <w:rFonts w:ascii="宋体" w:hAnsi="宋体" w:cs="宋体" w:hint="eastAsia"/>
                <w:szCs w:val="21"/>
              </w:rPr>
              <w:t>经正规设计</w:t>
            </w:r>
            <w:r w:rsidR="00AF6333" w:rsidRPr="00123108">
              <w:rPr>
                <w:rFonts w:ascii="宋体" w:hAnsi="宋体" w:cs="宋体" w:hint="eastAsia"/>
                <w:szCs w:val="21"/>
              </w:rPr>
              <w:t>、2014年进行设计诊断</w:t>
            </w:r>
          </w:p>
        </w:tc>
        <w:tc>
          <w:tcPr>
            <w:tcW w:w="376"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否</w:t>
            </w:r>
          </w:p>
        </w:tc>
      </w:tr>
      <w:tr w:rsidR="004F34D9" w:rsidRPr="00123108">
        <w:trPr>
          <w:trHeight w:val="340"/>
          <w:tblHeader/>
          <w:jc w:val="center"/>
        </w:trPr>
        <w:tc>
          <w:tcPr>
            <w:tcW w:w="250"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11</w:t>
            </w:r>
          </w:p>
        </w:tc>
        <w:tc>
          <w:tcPr>
            <w:tcW w:w="2974" w:type="pct"/>
            <w:vAlign w:val="center"/>
          </w:tcPr>
          <w:p w:rsidR="004F34D9" w:rsidRPr="00123108" w:rsidRDefault="004F34D9" w:rsidP="00AF6333">
            <w:pPr>
              <w:adjustRightInd w:val="0"/>
              <w:snapToGrid w:val="0"/>
              <w:spacing w:line="280" w:lineRule="exact"/>
              <w:rPr>
                <w:rFonts w:ascii="宋体" w:hAnsi="宋体" w:cs="宋体" w:hint="eastAsia"/>
                <w:kern w:val="0"/>
                <w:szCs w:val="21"/>
              </w:rPr>
            </w:pPr>
            <w:r w:rsidRPr="00123108">
              <w:rPr>
                <w:rFonts w:ascii="宋体" w:hAnsi="宋体" w:cs="宋体" w:hint="eastAsia"/>
                <w:kern w:val="0"/>
                <w:szCs w:val="21"/>
              </w:rPr>
              <w:t>使用淘汰落后安全技术工艺、设备目录列出的工艺、设备。</w:t>
            </w:r>
          </w:p>
        </w:tc>
        <w:tc>
          <w:tcPr>
            <w:tcW w:w="1398" w:type="pct"/>
            <w:vAlign w:val="center"/>
          </w:tcPr>
          <w:p w:rsidR="004F34D9" w:rsidRPr="00123108" w:rsidRDefault="004F34D9" w:rsidP="00AF6333">
            <w:pPr>
              <w:adjustRightInd w:val="0"/>
              <w:snapToGrid w:val="0"/>
              <w:spacing w:line="280" w:lineRule="exact"/>
              <w:rPr>
                <w:rFonts w:ascii="宋体" w:hAnsi="宋体" w:cs="宋体" w:hint="eastAsia"/>
                <w:szCs w:val="21"/>
              </w:rPr>
            </w:pPr>
            <w:r w:rsidRPr="00123108">
              <w:rPr>
                <w:rFonts w:ascii="宋体" w:hAnsi="宋体" w:cs="宋体" w:hint="eastAsia"/>
                <w:szCs w:val="21"/>
              </w:rPr>
              <w:t>未使用</w:t>
            </w:r>
            <w:r w:rsidRPr="00123108">
              <w:rPr>
                <w:rFonts w:ascii="宋体" w:hAnsi="宋体" w:cs="宋体" w:hint="eastAsia"/>
                <w:kern w:val="0"/>
                <w:szCs w:val="21"/>
              </w:rPr>
              <w:t>淘汰落后安全技术工艺、</w:t>
            </w:r>
            <w:r w:rsidRPr="00123108">
              <w:rPr>
                <w:rFonts w:ascii="宋体" w:hAnsi="宋体" w:cs="宋体" w:hint="eastAsia"/>
                <w:szCs w:val="21"/>
              </w:rPr>
              <w:t>设备</w:t>
            </w:r>
          </w:p>
        </w:tc>
        <w:tc>
          <w:tcPr>
            <w:tcW w:w="376"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否</w:t>
            </w:r>
          </w:p>
        </w:tc>
      </w:tr>
      <w:tr w:rsidR="004F34D9" w:rsidRPr="00123108">
        <w:trPr>
          <w:trHeight w:val="340"/>
          <w:tblHeader/>
          <w:jc w:val="center"/>
        </w:trPr>
        <w:tc>
          <w:tcPr>
            <w:tcW w:w="250"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12</w:t>
            </w:r>
          </w:p>
        </w:tc>
        <w:tc>
          <w:tcPr>
            <w:tcW w:w="2974" w:type="pct"/>
            <w:vAlign w:val="center"/>
          </w:tcPr>
          <w:p w:rsidR="004F34D9" w:rsidRPr="00123108" w:rsidRDefault="004F34D9" w:rsidP="00AF6333">
            <w:pPr>
              <w:adjustRightInd w:val="0"/>
              <w:snapToGrid w:val="0"/>
              <w:spacing w:line="280" w:lineRule="exact"/>
              <w:rPr>
                <w:rFonts w:ascii="宋体" w:hAnsi="宋体" w:cs="宋体" w:hint="eastAsia"/>
                <w:kern w:val="0"/>
                <w:szCs w:val="21"/>
              </w:rPr>
            </w:pPr>
            <w:r w:rsidRPr="00123108">
              <w:rPr>
                <w:rFonts w:ascii="宋体" w:hAnsi="宋体" w:cs="宋体" w:hint="eastAsia"/>
                <w:kern w:val="0"/>
                <w:szCs w:val="21"/>
              </w:rPr>
              <w:t>涉及可燃和有毒有害气体泄漏的场所未按国家标准设置检测报警装置，</w:t>
            </w:r>
            <w:r w:rsidRPr="00123108">
              <w:rPr>
                <w:rFonts w:ascii="宋体" w:hAnsi="宋体" w:cs="宋体" w:hint="eastAsia"/>
                <w:szCs w:val="21"/>
              </w:rPr>
              <w:t>爆炸危险场所未按国家标准安装使用防爆电气设备</w:t>
            </w:r>
            <w:r w:rsidRPr="00123108">
              <w:rPr>
                <w:rFonts w:ascii="宋体" w:hAnsi="宋体" w:cs="宋体" w:hint="eastAsia"/>
                <w:kern w:val="0"/>
                <w:szCs w:val="21"/>
              </w:rPr>
              <w:t>。</w:t>
            </w:r>
          </w:p>
        </w:tc>
        <w:tc>
          <w:tcPr>
            <w:tcW w:w="1398" w:type="pct"/>
            <w:vAlign w:val="center"/>
          </w:tcPr>
          <w:p w:rsidR="004F34D9" w:rsidRPr="00123108" w:rsidRDefault="004F34D9" w:rsidP="00AF6333">
            <w:pPr>
              <w:adjustRightInd w:val="0"/>
              <w:snapToGrid w:val="0"/>
              <w:spacing w:line="280" w:lineRule="exact"/>
              <w:rPr>
                <w:rFonts w:ascii="宋体" w:hAnsi="宋体" w:cs="宋体" w:hint="eastAsia"/>
              </w:rPr>
            </w:pPr>
            <w:r w:rsidRPr="00123108">
              <w:rPr>
                <w:rFonts w:ascii="宋体" w:hAnsi="宋体" w:cs="宋体" w:hint="eastAsia"/>
              </w:rPr>
              <w:t>生产现场设有可燃气体报警器，</w:t>
            </w:r>
            <w:r w:rsidRPr="00123108">
              <w:rPr>
                <w:rFonts w:ascii="宋体" w:hAnsi="宋体" w:cs="宋体" w:hint="eastAsia"/>
                <w:szCs w:val="21"/>
              </w:rPr>
              <w:t>使用防爆电气设备</w:t>
            </w:r>
          </w:p>
        </w:tc>
        <w:tc>
          <w:tcPr>
            <w:tcW w:w="376"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否</w:t>
            </w:r>
          </w:p>
        </w:tc>
      </w:tr>
      <w:tr w:rsidR="004F34D9" w:rsidRPr="00123108">
        <w:trPr>
          <w:trHeight w:val="340"/>
          <w:tblHeader/>
          <w:jc w:val="center"/>
        </w:trPr>
        <w:tc>
          <w:tcPr>
            <w:tcW w:w="250"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13</w:t>
            </w:r>
          </w:p>
        </w:tc>
        <w:tc>
          <w:tcPr>
            <w:tcW w:w="2974" w:type="pct"/>
            <w:vAlign w:val="center"/>
          </w:tcPr>
          <w:p w:rsidR="004F34D9" w:rsidRPr="00123108" w:rsidRDefault="004F34D9" w:rsidP="00AF6333">
            <w:pPr>
              <w:adjustRightInd w:val="0"/>
              <w:snapToGrid w:val="0"/>
              <w:spacing w:line="280" w:lineRule="exact"/>
              <w:rPr>
                <w:rFonts w:ascii="宋体" w:hAnsi="宋体" w:cs="宋体" w:hint="eastAsia"/>
                <w:kern w:val="0"/>
                <w:szCs w:val="21"/>
              </w:rPr>
            </w:pPr>
            <w:r w:rsidRPr="00123108">
              <w:rPr>
                <w:rFonts w:ascii="宋体" w:hAnsi="宋体" w:cs="宋体" w:hint="eastAsia"/>
                <w:kern w:val="0"/>
                <w:szCs w:val="21"/>
              </w:rPr>
              <w:t>控制室或机柜间面向具有火灾、</w:t>
            </w:r>
            <w:r w:rsidRPr="00123108">
              <w:rPr>
                <w:rFonts w:ascii="宋体" w:hAnsi="宋体" w:cs="宋体" w:hint="eastAsia"/>
                <w:szCs w:val="21"/>
              </w:rPr>
              <w:t>爆炸危险性装置一侧不满足国家标准关于防火防爆的要求</w:t>
            </w:r>
            <w:r w:rsidRPr="00123108">
              <w:rPr>
                <w:rFonts w:ascii="宋体" w:hAnsi="宋体" w:cs="宋体" w:hint="eastAsia"/>
                <w:kern w:val="0"/>
                <w:szCs w:val="21"/>
              </w:rPr>
              <w:t>。</w:t>
            </w:r>
          </w:p>
        </w:tc>
        <w:tc>
          <w:tcPr>
            <w:tcW w:w="1398" w:type="pct"/>
            <w:vAlign w:val="center"/>
          </w:tcPr>
          <w:p w:rsidR="004F34D9" w:rsidRPr="00123108" w:rsidRDefault="004F34D9" w:rsidP="00AF6333">
            <w:pPr>
              <w:adjustRightInd w:val="0"/>
              <w:snapToGrid w:val="0"/>
              <w:spacing w:line="280" w:lineRule="exact"/>
              <w:rPr>
                <w:rFonts w:ascii="宋体" w:hAnsi="宋体" w:cs="宋体" w:hint="eastAsia"/>
                <w:szCs w:val="21"/>
              </w:rPr>
            </w:pPr>
            <w:r w:rsidRPr="00123108">
              <w:rPr>
                <w:rFonts w:ascii="宋体" w:hAnsi="宋体" w:cs="宋体" w:hint="eastAsia"/>
                <w:kern w:val="0"/>
                <w:szCs w:val="21"/>
              </w:rPr>
              <w:t>控制室或机柜间面向具有火灾、</w:t>
            </w:r>
            <w:r w:rsidRPr="00123108">
              <w:rPr>
                <w:rFonts w:ascii="宋体" w:hAnsi="宋体" w:cs="宋体" w:hint="eastAsia"/>
                <w:szCs w:val="21"/>
              </w:rPr>
              <w:t>爆炸危险性装置一侧满足国家标准关于防火防爆的要求</w:t>
            </w:r>
          </w:p>
        </w:tc>
        <w:tc>
          <w:tcPr>
            <w:tcW w:w="376"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否</w:t>
            </w:r>
          </w:p>
        </w:tc>
      </w:tr>
      <w:tr w:rsidR="004F34D9" w:rsidRPr="00123108">
        <w:trPr>
          <w:trHeight w:val="340"/>
          <w:tblHeader/>
          <w:jc w:val="center"/>
        </w:trPr>
        <w:tc>
          <w:tcPr>
            <w:tcW w:w="250"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14</w:t>
            </w:r>
          </w:p>
        </w:tc>
        <w:tc>
          <w:tcPr>
            <w:tcW w:w="2974" w:type="pct"/>
            <w:vAlign w:val="center"/>
          </w:tcPr>
          <w:p w:rsidR="004F34D9" w:rsidRPr="00123108" w:rsidRDefault="004F34D9" w:rsidP="00AF6333">
            <w:pPr>
              <w:adjustRightInd w:val="0"/>
              <w:snapToGrid w:val="0"/>
              <w:spacing w:line="280" w:lineRule="exact"/>
              <w:rPr>
                <w:rFonts w:ascii="宋体" w:hAnsi="宋体" w:cs="宋体" w:hint="eastAsia"/>
                <w:kern w:val="0"/>
                <w:szCs w:val="21"/>
              </w:rPr>
            </w:pPr>
            <w:r w:rsidRPr="00123108">
              <w:rPr>
                <w:rFonts w:ascii="宋体" w:hAnsi="宋体" w:cs="宋体" w:hint="eastAsia"/>
                <w:szCs w:val="21"/>
              </w:rPr>
              <w:t>化工生产装置未按国家标准要求设置双重电源供电</w:t>
            </w:r>
            <w:r w:rsidRPr="00123108">
              <w:rPr>
                <w:rFonts w:ascii="宋体" w:hAnsi="宋体" w:cs="宋体" w:hint="eastAsia"/>
                <w:kern w:val="0"/>
                <w:szCs w:val="21"/>
              </w:rPr>
              <w:t>，自动化控制系统未设置不间断电源。</w:t>
            </w:r>
          </w:p>
        </w:tc>
        <w:tc>
          <w:tcPr>
            <w:tcW w:w="1398" w:type="pct"/>
            <w:vAlign w:val="center"/>
          </w:tcPr>
          <w:p w:rsidR="004F34D9" w:rsidRPr="00123108" w:rsidRDefault="004F34D9" w:rsidP="00AF6333">
            <w:pPr>
              <w:adjustRightInd w:val="0"/>
              <w:snapToGrid w:val="0"/>
              <w:spacing w:line="280" w:lineRule="exact"/>
              <w:rPr>
                <w:rFonts w:ascii="宋体" w:hAnsi="宋体" w:cs="宋体" w:hint="eastAsia"/>
                <w:szCs w:val="21"/>
              </w:rPr>
            </w:pPr>
            <w:r w:rsidRPr="00123108">
              <w:rPr>
                <w:rFonts w:ascii="宋体" w:hAnsi="宋体" w:cs="宋体" w:hint="eastAsia"/>
                <w:szCs w:val="21"/>
              </w:rPr>
              <w:t>装置双电源供电；控制系统设置</w:t>
            </w:r>
            <w:r w:rsidRPr="00123108">
              <w:rPr>
                <w:rFonts w:ascii="宋体" w:hAnsi="宋体" w:cs="宋体" w:hint="eastAsia"/>
                <w:kern w:val="0"/>
                <w:szCs w:val="21"/>
              </w:rPr>
              <w:t>UPS</w:t>
            </w:r>
          </w:p>
        </w:tc>
        <w:tc>
          <w:tcPr>
            <w:tcW w:w="376"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否</w:t>
            </w:r>
          </w:p>
        </w:tc>
      </w:tr>
      <w:tr w:rsidR="004F34D9" w:rsidRPr="00123108">
        <w:trPr>
          <w:trHeight w:val="340"/>
          <w:tblHeader/>
          <w:jc w:val="center"/>
        </w:trPr>
        <w:tc>
          <w:tcPr>
            <w:tcW w:w="250"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15</w:t>
            </w:r>
          </w:p>
        </w:tc>
        <w:tc>
          <w:tcPr>
            <w:tcW w:w="2974" w:type="pct"/>
            <w:vAlign w:val="center"/>
          </w:tcPr>
          <w:p w:rsidR="004F34D9" w:rsidRPr="00123108" w:rsidRDefault="004F34D9">
            <w:pPr>
              <w:rPr>
                <w:rFonts w:ascii="宋体" w:hAnsi="宋体" w:cs="宋体" w:hint="eastAsia"/>
                <w:kern w:val="0"/>
                <w:szCs w:val="21"/>
              </w:rPr>
            </w:pPr>
            <w:r w:rsidRPr="00123108">
              <w:rPr>
                <w:rFonts w:ascii="宋体" w:hAnsi="宋体" w:cs="宋体" w:hint="eastAsia"/>
                <w:kern w:val="0"/>
                <w:szCs w:val="21"/>
              </w:rPr>
              <w:t>安全阀、爆破片等安全附件未正常投用。</w:t>
            </w:r>
          </w:p>
        </w:tc>
        <w:tc>
          <w:tcPr>
            <w:tcW w:w="1398" w:type="pct"/>
            <w:vAlign w:val="center"/>
          </w:tcPr>
          <w:p w:rsidR="004F34D9" w:rsidRPr="00123108" w:rsidRDefault="004F34D9">
            <w:pPr>
              <w:rPr>
                <w:rFonts w:ascii="宋体" w:hAnsi="宋体" w:cs="宋体" w:hint="eastAsia"/>
                <w:szCs w:val="21"/>
              </w:rPr>
            </w:pPr>
            <w:r w:rsidRPr="00123108">
              <w:rPr>
                <w:rFonts w:ascii="宋体" w:hAnsi="宋体" w:cs="宋体" w:hint="eastAsia"/>
                <w:kern w:val="0"/>
                <w:szCs w:val="21"/>
              </w:rPr>
              <w:t>安全附件</w:t>
            </w:r>
            <w:r w:rsidRPr="00123108">
              <w:rPr>
                <w:rFonts w:ascii="宋体" w:hAnsi="宋体" w:cs="宋体" w:hint="eastAsia"/>
                <w:szCs w:val="21"/>
              </w:rPr>
              <w:t>正常投用</w:t>
            </w:r>
          </w:p>
        </w:tc>
        <w:tc>
          <w:tcPr>
            <w:tcW w:w="376"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否</w:t>
            </w:r>
          </w:p>
        </w:tc>
      </w:tr>
      <w:tr w:rsidR="004F34D9" w:rsidRPr="00123108">
        <w:trPr>
          <w:trHeight w:val="340"/>
          <w:tblHeader/>
          <w:jc w:val="center"/>
        </w:trPr>
        <w:tc>
          <w:tcPr>
            <w:tcW w:w="250"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16</w:t>
            </w:r>
          </w:p>
        </w:tc>
        <w:tc>
          <w:tcPr>
            <w:tcW w:w="2974" w:type="pct"/>
            <w:vAlign w:val="center"/>
          </w:tcPr>
          <w:p w:rsidR="004F34D9" w:rsidRPr="00123108" w:rsidRDefault="004F34D9" w:rsidP="00AF6333">
            <w:pPr>
              <w:adjustRightInd w:val="0"/>
              <w:snapToGrid w:val="0"/>
              <w:spacing w:line="280" w:lineRule="exact"/>
              <w:rPr>
                <w:rFonts w:ascii="宋体" w:hAnsi="宋体" w:cs="宋体" w:hint="eastAsia"/>
                <w:kern w:val="0"/>
                <w:szCs w:val="21"/>
              </w:rPr>
            </w:pPr>
            <w:r w:rsidRPr="00123108">
              <w:rPr>
                <w:rFonts w:ascii="宋体" w:hAnsi="宋体" w:cs="宋体" w:hint="eastAsia"/>
                <w:kern w:val="0"/>
                <w:szCs w:val="21"/>
              </w:rPr>
              <w:t>未建立与岗位相匹配的全员安全生产责任制或者未制定实施生产安全事故隐患排查治理制度。</w:t>
            </w:r>
          </w:p>
        </w:tc>
        <w:tc>
          <w:tcPr>
            <w:tcW w:w="1398" w:type="pct"/>
            <w:vAlign w:val="center"/>
          </w:tcPr>
          <w:p w:rsidR="004F34D9" w:rsidRPr="00123108" w:rsidRDefault="004F34D9" w:rsidP="00AF6333">
            <w:pPr>
              <w:adjustRightInd w:val="0"/>
              <w:snapToGrid w:val="0"/>
              <w:spacing w:line="280" w:lineRule="exact"/>
              <w:rPr>
                <w:rFonts w:ascii="宋体" w:hAnsi="宋体" w:cs="宋体" w:hint="eastAsia"/>
                <w:szCs w:val="21"/>
              </w:rPr>
            </w:pPr>
            <w:r w:rsidRPr="00123108">
              <w:rPr>
                <w:rFonts w:ascii="宋体" w:hAnsi="宋体" w:cs="宋体" w:hint="eastAsia"/>
                <w:szCs w:val="21"/>
              </w:rPr>
              <w:t>已建立与岗位相匹配的全员安全生产责任制</w:t>
            </w:r>
          </w:p>
        </w:tc>
        <w:tc>
          <w:tcPr>
            <w:tcW w:w="376"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否</w:t>
            </w:r>
          </w:p>
        </w:tc>
      </w:tr>
      <w:tr w:rsidR="004F34D9" w:rsidRPr="00123108">
        <w:trPr>
          <w:trHeight w:val="340"/>
          <w:tblHeader/>
          <w:jc w:val="center"/>
        </w:trPr>
        <w:tc>
          <w:tcPr>
            <w:tcW w:w="250"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17</w:t>
            </w:r>
          </w:p>
        </w:tc>
        <w:tc>
          <w:tcPr>
            <w:tcW w:w="2974" w:type="pct"/>
            <w:vAlign w:val="center"/>
          </w:tcPr>
          <w:p w:rsidR="004F34D9" w:rsidRPr="00123108" w:rsidRDefault="004F34D9">
            <w:pPr>
              <w:rPr>
                <w:rFonts w:ascii="宋体" w:hAnsi="宋体" w:cs="宋体" w:hint="eastAsia"/>
                <w:kern w:val="0"/>
                <w:szCs w:val="21"/>
              </w:rPr>
            </w:pPr>
            <w:r w:rsidRPr="00123108">
              <w:rPr>
                <w:rFonts w:ascii="宋体" w:hAnsi="宋体" w:cs="宋体" w:hint="eastAsia"/>
                <w:kern w:val="0"/>
                <w:szCs w:val="21"/>
              </w:rPr>
              <w:t>未制定操作规程和工艺控制指标。</w:t>
            </w:r>
          </w:p>
        </w:tc>
        <w:tc>
          <w:tcPr>
            <w:tcW w:w="1398" w:type="pct"/>
            <w:vAlign w:val="center"/>
          </w:tcPr>
          <w:p w:rsidR="004F34D9" w:rsidRPr="00123108" w:rsidRDefault="004F34D9" w:rsidP="00AF6333">
            <w:pPr>
              <w:adjustRightInd w:val="0"/>
              <w:snapToGrid w:val="0"/>
              <w:spacing w:line="280" w:lineRule="exact"/>
              <w:rPr>
                <w:rFonts w:ascii="宋体" w:hAnsi="宋体" w:cs="宋体" w:hint="eastAsia"/>
                <w:szCs w:val="21"/>
              </w:rPr>
            </w:pPr>
            <w:r w:rsidRPr="00123108">
              <w:rPr>
                <w:rFonts w:ascii="宋体" w:hAnsi="宋体" w:cs="宋体" w:hint="eastAsia"/>
                <w:kern w:val="0"/>
                <w:szCs w:val="21"/>
              </w:rPr>
              <w:t>已制定操作规程和工艺控制指标</w:t>
            </w:r>
          </w:p>
        </w:tc>
        <w:tc>
          <w:tcPr>
            <w:tcW w:w="376"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否</w:t>
            </w:r>
          </w:p>
        </w:tc>
      </w:tr>
      <w:tr w:rsidR="004F34D9" w:rsidRPr="00123108">
        <w:trPr>
          <w:trHeight w:val="340"/>
          <w:tblHeader/>
          <w:jc w:val="center"/>
        </w:trPr>
        <w:tc>
          <w:tcPr>
            <w:tcW w:w="250"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18</w:t>
            </w:r>
          </w:p>
        </w:tc>
        <w:tc>
          <w:tcPr>
            <w:tcW w:w="2974" w:type="pct"/>
            <w:vAlign w:val="center"/>
          </w:tcPr>
          <w:p w:rsidR="004F34D9" w:rsidRPr="00123108" w:rsidRDefault="004F34D9" w:rsidP="00AF6333">
            <w:pPr>
              <w:adjustRightInd w:val="0"/>
              <w:snapToGrid w:val="0"/>
              <w:spacing w:line="280" w:lineRule="exact"/>
              <w:rPr>
                <w:rFonts w:ascii="宋体" w:hAnsi="宋体" w:cs="宋体" w:hint="eastAsia"/>
                <w:kern w:val="0"/>
                <w:szCs w:val="21"/>
              </w:rPr>
            </w:pPr>
            <w:r w:rsidRPr="00123108">
              <w:rPr>
                <w:rFonts w:ascii="宋体" w:hAnsi="宋体" w:cs="宋体" w:hint="eastAsia"/>
                <w:kern w:val="0"/>
                <w:szCs w:val="21"/>
              </w:rPr>
              <w:t>未按照国家标准制定动火、</w:t>
            </w:r>
            <w:r w:rsidRPr="00123108">
              <w:rPr>
                <w:rFonts w:ascii="宋体" w:hAnsi="宋体" w:cs="宋体" w:hint="eastAsia"/>
                <w:szCs w:val="21"/>
              </w:rPr>
              <w:t>进入受限空间等特殊作业管理制度</w:t>
            </w:r>
            <w:r w:rsidRPr="00123108">
              <w:rPr>
                <w:rFonts w:ascii="宋体" w:hAnsi="宋体" w:cs="宋体" w:hint="eastAsia"/>
                <w:kern w:val="0"/>
                <w:szCs w:val="21"/>
              </w:rPr>
              <w:t>，或者制度未有效执行。</w:t>
            </w:r>
          </w:p>
        </w:tc>
        <w:tc>
          <w:tcPr>
            <w:tcW w:w="1398" w:type="pct"/>
            <w:vAlign w:val="center"/>
          </w:tcPr>
          <w:p w:rsidR="004F34D9" w:rsidRPr="00123108" w:rsidRDefault="004F34D9" w:rsidP="00AF6333">
            <w:pPr>
              <w:adjustRightInd w:val="0"/>
              <w:snapToGrid w:val="0"/>
              <w:spacing w:line="280" w:lineRule="exact"/>
              <w:rPr>
                <w:rFonts w:ascii="宋体" w:hAnsi="宋体" w:cs="宋体" w:hint="eastAsia"/>
                <w:szCs w:val="21"/>
              </w:rPr>
            </w:pPr>
            <w:r w:rsidRPr="00123108">
              <w:rPr>
                <w:rFonts w:ascii="宋体" w:hAnsi="宋体" w:cs="宋体" w:hint="eastAsia"/>
                <w:kern w:val="0"/>
                <w:szCs w:val="21"/>
              </w:rPr>
              <w:t>按照国家标准制定动火、</w:t>
            </w:r>
            <w:r w:rsidRPr="00123108">
              <w:rPr>
                <w:rFonts w:ascii="宋体" w:hAnsi="宋体" w:cs="宋体" w:hint="eastAsia"/>
                <w:szCs w:val="21"/>
              </w:rPr>
              <w:t>进入受限空间等特殊作业管理制度</w:t>
            </w:r>
          </w:p>
        </w:tc>
        <w:tc>
          <w:tcPr>
            <w:tcW w:w="376"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否</w:t>
            </w:r>
          </w:p>
        </w:tc>
      </w:tr>
      <w:tr w:rsidR="004F34D9" w:rsidRPr="00123108">
        <w:trPr>
          <w:trHeight w:val="340"/>
          <w:tblHeader/>
          <w:jc w:val="center"/>
        </w:trPr>
        <w:tc>
          <w:tcPr>
            <w:tcW w:w="250"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19</w:t>
            </w:r>
          </w:p>
        </w:tc>
        <w:tc>
          <w:tcPr>
            <w:tcW w:w="2974" w:type="pct"/>
            <w:vAlign w:val="center"/>
          </w:tcPr>
          <w:p w:rsidR="004F34D9" w:rsidRPr="00123108" w:rsidRDefault="004F34D9" w:rsidP="00AF6333">
            <w:pPr>
              <w:adjustRightInd w:val="0"/>
              <w:snapToGrid w:val="0"/>
              <w:spacing w:line="280" w:lineRule="exact"/>
              <w:rPr>
                <w:rFonts w:ascii="宋体" w:hAnsi="宋体" w:cs="宋体" w:hint="eastAsia"/>
                <w:kern w:val="0"/>
                <w:szCs w:val="21"/>
              </w:rPr>
            </w:pPr>
            <w:r w:rsidRPr="00123108">
              <w:rPr>
                <w:rFonts w:ascii="宋体" w:hAnsi="宋体" w:cs="宋体" w:hint="eastAsia"/>
                <w:szCs w:val="21"/>
              </w:rPr>
              <w:t>新开发的危险化学品生产工艺未经小试</w:t>
            </w:r>
            <w:r w:rsidRPr="00123108">
              <w:rPr>
                <w:rFonts w:ascii="宋体" w:hAnsi="宋体" w:cs="宋体" w:hint="eastAsia"/>
                <w:kern w:val="0"/>
                <w:szCs w:val="21"/>
              </w:rPr>
              <w:t>、中试、工业化试验直接进行工业化生产；国内首次使用的化工工艺未经过省级人民政府有关部门组织的安全可靠性论证；新建装置未制定试生产方案投料开车；精细化工企业未按规范性文件要求开展反应安全风险评估。</w:t>
            </w:r>
          </w:p>
        </w:tc>
        <w:tc>
          <w:tcPr>
            <w:tcW w:w="1398" w:type="pct"/>
            <w:vAlign w:val="center"/>
          </w:tcPr>
          <w:p w:rsidR="004F34D9" w:rsidRPr="00123108" w:rsidRDefault="004F34D9" w:rsidP="00AF6333">
            <w:pPr>
              <w:adjustRightInd w:val="0"/>
              <w:snapToGrid w:val="0"/>
              <w:spacing w:line="280" w:lineRule="exact"/>
              <w:rPr>
                <w:rFonts w:ascii="宋体" w:hAnsi="宋体" w:cs="宋体" w:hint="eastAsia"/>
                <w:szCs w:val="21"/>
              </w:rPr>
            </w:pPr>
            <w:r w:rsidRPr="00123108">
              <w:rPr>
                <w:rFonts w:ascii="宋体" w:hAnsi="宋体" w:cs="宋体" w:hint="eastAsia"/>
                <w:szCs w:val="21"/>
              </w:rPr>
              <w:t>不涉及</w:t>
            </w:r>
            <w:r w:rsidRPr="00123108">
              <w:rPr>
                <w:rFonts w:ascii="宋体" w:hAnsi="宋体" w:cs="宋体" w:hint="eastAsia"/>
                <w:kern w:val="0"/>
                <w:szCs w:val="21"/>
              </w:rPr>
              <w:t>新开发的危险化学品生产工艺、国内首次使用的化工工艺；已开展反应安全风险评估</w:t>
            </w:r>
          </w:p>
        </w:tc>
        <w:tc>
          <w:tcPr>
            <w:tcW w:w="376"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否</w:t>
            </w:r>
          </w:p>
        </w:tc>
      </w:tr>
      <w:tr w:rsidR="004F34D9" w:rsidRPr="00123108">
        <w:trPr>
          <w:trHeight w:val="340"/>
          <w:tblHeader/>
          <w:jc w:val="center"/>
        </w:trPr>
        <w:tc>
          <w:tcPr>
            <w:tcW w:w="250"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lastRenderedPageBreak/>
              <w:t>20</w:t>
            </w:r>
          </w:p>
        </w:tc>
        <w:tc>
          <w:tcPr>
            <w:tcW w:w="2974" w:type="pct"/>
            <w:vAlign w:val="center"/>
          </w:tcPr>
          <w:p w:rsidR="004F34D9" w:rsidRPr="00123108" w:rsidRDefault="004F34D9" w:rsidP="00AF6333">
            <w:pPr>
              <w:adjustRightInd w:val="0"/>
              <w:snapToGrid w:val="0"/>
              <w:spacing w:line="280" w:lineRule="exact"/>
              <w:rPr>
                <w:rFonts w:ascii="宋体" w:hAnsi="宋体" w:cs="宋体" w:hint="eastAsia"/>
                <w:kern w:val="0"/>
                <w:szCs w:val="21"/>
              </w:rPr>
            </w:pPr>
            <w:r w:rsidRPr="00123108">
              <w:rPr>
                <w:rFonts w:ascii="宋体" w:hAnsi="宋体" w:cs="宋体" w:hint="eastAsia"/>
                <w:szCs w:val="21"/>
              </w:rPr>
              <w:t>未按国家标准分区分类储存危险化学品</w:t>
            </w:r>
            <w:r w:rsidRPr="00123108">
              <w:rPr>
                <w:rFonts w:ascii="宋体" w:hAnsi="宋体" w:cs="宋体" w:hint="eastAsia"/>
                <w:kern w:val="0"/>
                <w:szCs w:val="21"/>
              </w:rPr>
              <w:t>，超量、超品种储存危险化学品，相互禁配物质混放混存。</w:t>
            </w:r>
          </w:p>
        </w:tc>
        <w:tc>
          <w:tcPr>
            <w:tcW w:w="1398" w:type="pct"/>
            <w:vAlign w:val="center"/>
          </w:tcPr>
          <w:p w:rsidR="004F34D9" w:rsidRPr="00123108" w:rsidRDefault="004F34D9">
            <w:pPr>
              <w:rPr>
                <w:rFonts w:ascii="宋体" w:hAnsi="宋体" w:cs="宋体" w:hint="eastAsia"/>
                <w:szCs w:val="21"/>
              </w:rPr>
            </w:pPr>
            <w:r w:rsidRPr="00123108">
              <w:rPr>
                <w:rFonts w:ascii="宋体" w:hAnsi="宋体" w:cs="宋体" w:hint="eastAsia"/>
                <w:kern w:val="0"/>
                <w:szCs w:val="21"/>
              </w:rPr>
              <w:t>分类储存危险化学品</w:t>
            </w:r>
          </w:p>
        </w:tc>
        <w:tc>
          <w:tcPr>
            <w:tcW w:w="376" w:type="pct"/>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否</w:t>
            </w:r>
          </w:p>
        </w:tc>
      </w:tr>
    </w:tbl>
    <w:p w:rsidR="004F34D9" w:rsidRPr="00123108" w:rsidRDefault="004F34D9">
      <w:pPr>
        <w:pStyle w:val="aff4"/>
        <w:widowControl w:val="0"/>
        <w:adjustRightInd w:val="0"/>
        <w:spacing w:before="0" w:beforeAutospacing="0" w:after="0" w:afterAutospacing="0" w:line="360" w:lineRule="auto"/>
        <w:ind w:firstLineChars="200" w:firstLine="560"/>
        <w:rPr>
          <w:rFonts w:cs="宋体" w:hint="eastAsia"/>
          <w:sz w:val="28"/>
          <w:szCs w:val="28"/>
        </w:rPr>
      </w:pPr>
      <w:r w:rsidRPr="00123108">
        <w:rPr>
          <w:rFonts w:cs="宋体" w:hint="eastAsia"/>
          <w:sz w:val="28"/>
          <w:szCs w:val="28"/>
        </w:rPr>
        <w:t>小结：新桥化工不存在重大生产安全事故隐患。</w:t>
      </w:r>
    </w:p>
    <w:p w:rsidR="004F34D9" w:rsidRPr="00123108" w:rsidRDefault="004F34D9" w:rsidP="00E36E64">
      <w:pPr>
        <w:pStyle w:val="2"/>
        <w:spacing w:line="500" w:lineRule="exact"/>
        <w:jc w:val="both"/>
        <w:rPr>
          <w:rFonts w:ascii="宋体" w:eastAsia="宋体" w:cs="宋体" w:hint="eastAsia"/>
          <w:sz w:val="28"/>
          <w:szCs w:val="28"/>
        </w:rPr>
      </w:pPr>
      <w:bookmarkStart w:id="1804" w:name="_Toc2502"/>
      <w:bookmarkStart w:id="1805" w:name="_Toc28957"/>
      <w:bookmarkStart w:id="1806" w:name="_Toc25386"/>
      <w:bookmarkStart w:id="1807" w:name="_Toc4687"/>
      <w:bookmarkStart w:id="1808" w:name="_Toc2074"/>
      <w:bookmarkStart w:id="1809" w:name="_Toc2563"/>
      <w:bookmarkStart w:id="1810" w:name="_Toc190935913"/>
      <w:r w:rsidRPr="00123108">
        <w:rPr>
          <w:rFonts w:ascii="宋体" w:eastAsia="宋体" w:cs="宋体" w:hint="eastAsia"/>
          <w:sz w:val="28"/>
          <w:szCs w:val="28"/>
        </w:rPr>
        <w:t>附件2.10  两重点一重大评价</w:t>
      </w:r>
      <w:bookmarkEnd w:id="1804"/>
      <w:bookmarkEnd w:id="1805"/>
      <w:bookmarkEnd w:id="1806"/>
      <w:bookmarkEnd w:id="1807"/>
      <w:bookmarkEnd w:id="1808"/>
      <w:bookmarkEnd w:id="1809"/>
      <w:bookmarkEnd w:id="1810"/>
    </w:p>
    <w:p w:rsidR="004F34D9" w:rsidRPr="00123108" w:rsidRDefault="004F34D9">
      <w:pPr>
        <w:pStyle w:val="aff4"/>
        <w:widowControl w:val="0"/>
        <w:adjustRightInd w:val="0"/>
        <w:spacing w:before="0" w:beforeAutospacing="0" w:after="0" w:afterAutospacing="0" w:line="360" w:lineRule="auto"/>
        <w:jc w:val="both"/>
        <w:outlineLvl w:val="2"/>
        <w:rPr>
          <w:rFonts w:cs="宋体" w:hint="eastAsia"/>
          <w:b/>
          <w:bCs/>
          <w:sz w:val="28"/>
          <w:szCs w:val="28"/>
        </w:rPr>
      </w:pPr>
      <w:bookmarkStart w:id="1811" w:name="_Toc190935914"/>
      <w:r w:rsidRPr="00123108">
        <w:rPr>
          <w:rFonts w:cs="宋体" w:hint="eastAsia"/>
          <w:b/>
          <w:bCs/>
          <w:sz w:val="28"/>
          <w:szCs w:val="28"/>
        </w:rPr>
        <w:t>附件2.10.1  重点监管的危险化学品</w:t>
      </w:r>
      <w:bookmarkEnd w:id="1811"/>
    </w:p>
    <w:p w:rsidR="004F34D9" w:rsidRPr="00123108" w:rsidRDefault="004F34D9">
      <w:pPr>
        <w:pStyle w:val="aff4"/>
        <w:widowControl w:val="0"/>
        <w:adjustRightInd w:val="0"/>
        <w:spacing w:before="0" w:beforeAutospacing="0" w:after="0" w:afterAutospacing="0" w:line="360" w:lineRule="auto"/>
        <w:ind w:firstLineChars="200" w:firstLine="560"/>
        <w:rPr>
          <w:rFonts w:cs="宋体"/>
          <w:sz w:val="28"/>
          <w:szCs w:val="28"/>
        </w:rPr>
      </w:pPr>
      <w:r w:rsidRPr="00123108">
        <w:rPr>
          <w:rFonts w:cs="宋体" w:hint="eastAsia"/>
          <w:sz w:val="28"/>
          <w:szCs w:val="28"/>
        </w:rPr>
        <w:t>根据《国家安全监管总局关于公布首批重点监管的危险化学品名录的通知》安监总管三〔2011〕95号及《国家安全监管总局关于公布第二批重点监管危险化学品名录的通知》安监总管三〔2013〕12号，新桥化工涉及物料苯乙烯、</w:t>
      </w:r>
      <w:r w:rsidRPr="00123108">
        <w:rPr>
          <w:rFonts w:hint="eastAsia"/>
          <w:sz w:val="28"/>
          <w:szCs w:val="28"/>
        </w:rPr>
        <w:t>过氧化苯甲酰和过氧化苯甲酸叔丁酯</w:t>
      </w:r>
      <w:r w:rsidRPr="00123108">
        <w:rPr>
          <w:rFonts w:cs="宋体" w:hint="eastAsia"/>
          <w:sz w:val="28"/>
          <w:szCs w:val="28"/>
        </w:rPr>
        <w:t>属于重点监管的危险化学品。根据《关于印发首批重点监管的危险化学品安全措施和应急处置原则的通知》原安监总厅管三〔2011〕142号对本项目重点监管的危险化学品进行检查，见附表2.10-1。</w:t>
      </w:r>
    </w:p>
    <w:p w:rsidR="004F34D9" w:rsidRPr="00123108" w:rsidRDefault="004F34D9">
      <w:pPr>
        <w:pStyle w:val="aff4"/>
        <w:widowControl w:val="0"/>
        <w:adjustRightInd w:val="0"/>
        <w:spacing w:before="0" w:beforeAutospacing="0" w:after="0" w:afterAutospacing="0" w:line="360" w:lineRule="auto"/>
        <w:jc w:val="center"/>
        <w:rPr>
          <w:rFonts w:cs="宋体" w:hint="eastAsia"/>
          <w:b/>
          <w:bCs/>
          <w:sz w:val="28"/>
          <w:szCs w:val="28"/>
        </w:rPr>
      </w:pPr>
      <w:bookmarkStart w:id="1812" w:name="_Toc21951"/>
      <w:r w:rsidRPr="00123108">
        <w:rPr>
          <w:rFonts w:cs="宋体" w:hint="eastAsia"/>
          <w:b/>
          <w:bCs/>
          <w:sz w:val="28"/>
          <w:szCs w:val="28"/>
        </w:rPr>
        <w:t xml:space="preserve">附表2.10-1 重点监管危险化学品检查表 </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1"/>
        <w:gridCol w:w="35"/>
        <w:gridCol w:w="6"/>
        <w:gridCol w:w="481"/>
        <w:gridCol w:w="86"/>
        <w:gridCol w:w="13"/>
        <w:gridCol w:w="4268"/>
        <w:gridCol w:w="17"/>
        <w:gridCol w:w="602"/>
        <w:gridCol w:w="24"/>
        <w:gridCol w:w="180"/>
        <w:gridCol w:w="3022"/>
      </w:tblGrid>
      <w:tr w:rsidR="004F34D9" w:rsidRPr="00123108">
        <w:trPr>
          <w:cantSplit/>
          <w:trHeight w:val="390"/>
          <w:jc w:val="center"/>
        </w:trPr>
        <w:tc>
          <w:tcPr>
            <w:tcW w:w="2914" w:type="pct"/>
            <w:gridSpan w:val="8"/>
            <w:vAlign w:val="center"/>
          </w:tcPr>
          <w:p w:rsidR="004F34D9" w:rsidRPr="00123108" w:rsidRDefault="004F34D9">
            <w:pPr>
              <w:snapToGrid w:val="0"/>
              <w:rPr>
                <w:rFonts w:ascii="宋体" w:hAnsi="宋体"/>
                <w:szCs w:val="21"/>
              </w:rPr>
            </w:pPr>
            <w:r w:rsidRPr="00123108">
              <w:rPr>
                <w:rFonts w:ascii="宋体" w:hAnsi="宋体" w:hint="eastAsia"/>
                <w:szCs w:val="21"/>
              </w:rPr>
              <w:t>重点监控危险化学品</w:t>
            </w:r>
          </w:p>
        </w:tc>
        <w:tc>
          <w:tcPr>
            <w:tcW w:w="2086" w:type="pct"/>
            <w:gridSpan w:val="4"/>
            <w:vAlign w:val="center"/>
          </w:tcPr>
          <w:p w:rsidR="004F34D9" w:rsidRPr="00123108" w:rsidRDefault="004F34D9">
            <w:pPr>
              <w:snapToGrid w:val="0"/>
              <w:rPr>
                <w:rFonts w:ascii="宋体" w:hAnsi="宋体"/>
                <w:szCs w:val="21"/>
              </w:rPr>
            </w:pPr>
            <w:r w:rsidRPr="00123108">
              <w:rPr>
                <w:rFonts w:ascii="宋体" w:hAnsi="宋体" w:hint="eastAsia"/>
                <w:szCs w:val="21"/>
              </w:rPr>
              <w:t>苯乙烯</w:t>
            </w:r>
          </w:p>
        </w:tc>
      </w:tr>
      <w:tr w:rsidR="004F34D9" w:rsidRPr="00123108">
        <w:trPr>
          <w:cantSplit/>
          <w:trHeight w:val="532"/>
          <w:jc w:val="center"/>
        </w:trPr>
        <w:tc>
          <w:tcPr>
            <w:tcW w:w="241" w:type="pct"/>
            <w:vAlign w:val="center"/>
          </w:tcPr>
          <w:p w:rsidR="004F34D9" w:rsidRPr="00123108" w:rsidRDefault="004F34D9">
            <w:pPr>
              <w:snapToGrid w:val="0"/>
              <w:rPr>
                <w:rFonts w:ascii="宋体" w:hAnsi="宋体"/>
                <w:szCs w:val="21"/>
              </w:rPr>
            </w:pPr>
            <w:r w:rsidRPr="00123108">
              <w:rPr>
                <w:rFonts w:ascii="宋体" w:hAnsi="宋体"/>
                <w:szCs w:val="21"/>
              </w:rPr>
              <w:t>序号</w:t>
            </w:r>
          </w:p>
        </w:tc>
        <w:tc>
          <w:tcPr>
            <w:tcW w:w="2673" w:type="pct"/>
            <w:gridSpan w:val="7"/>
            <w:vAlign w:val="center"/>
          </w:tcPr>
          <w:p w:rsidR="004F34D9" w:rsidRPr="00123108" w:rsidRDefault="004F34D9">
            <w:pPr>
              <w:snapToGrid w:val="0"/>
              <w:rPr>
                <w:rFonts w:ascii="宋体" w:hAnsi="宋体"/>
                <w:szCs w:val="21"/>
              </w:rPr>
            </w:pPr>
            <w:r w:rsidRPr="00123108">
              <w:rPr>
                <w:rFonts w:ascii="宋体" w:hAnsi="宋体" w:hint="eastAsia"/>
                <w:szCs w:val="21"/>
              </w:rPr>
              <w:t>名  称</w:t>
            </w:r>
          </w:p>
        </w:tc>
        <w:tc>
          <w:tcPr>
            <w:tcW w:w="439" w:type="pct"/>
            <w:gridSpan w:val="3"/>
            <w:vAlign w:val="center"/>
          </w:tcPr>
          <w:p w:rsidR="004F34D9" w:rsidRPr="00123108" w:rsidRDefault="004F34D9">
            <w:pPr>
              <w:adjustRightInd w:val="0"/>
              <w:snapToGrid w:val="0"/>
              <w:rPr>
                <w:rFonts w:ascii="宋体" w:hAnsi="宋体"/>
                <w:szCs w:val="21"/>
              </w:rPr>
            </w:pPr>
            <w:r w:rsidRPr="00123108">
              <w:rPr>
                <w:rFonts w:ascii="宋体" w:hAnsi="宋体"/>
                <w:szCs w:val="21"/>
              </w:rPr>
              <w:t>检查结果</w:t>
            </w:r>
          </w:p>
        </w:tc>
        <w:tc>
          <w:tcPr>
            <w:tcW w:w="1647" w:type="pct"/>
            <w:vAlign w:val="center"/>
          </w:tcPr>
          <w:p w:rsidR="004F34D9" w:rsidRPr="00123108" w:rsidRDefault="004F34D9">
            <w:pPr>
              <w:snapToGrid w:val="0"/>
              <w:rPr>
                <w:rFonts w:ascii="宋体" w:hAnsi="宋体"/>
                <w:szCs w:val="21"/>
              </w:rPr>
            </w:pPr>
            <w:r w:rsidRPr="00123108">
              <w:rPr>
                <w:rFonts w:ascii="宋体" w:hAnsi="宋体" w:hint="eastAsia"/>
                <w:szCs w:val="21"/>
              </w:rPr>
              <w:t>实际情况说明</w:t>
            </w:r>
          </w:p>
        </w:tc>
      </w:tr>
      <w:tr w:rsidR="004F34D9" w:rsidRPr="00123108">
        <w:trPr>
          <w:cantSplit/>
          <w:trHeight w:val="373"/>
          <w:jc w:val="center"/>
        </w:trPr>
        <w:tc>
          <w:tcPr>
            <w:tcW w:w="241" w:type="pct"/>
            <w:vAlign w:val="center"/>
          </w:tcPr>
          <w:p w:rsidR="004F34D9" w:rsidRPr="00123108" w:rsidRDefault="004F34D9">
            <w:pPr>
              <w:snapToGrid w:val="0"/>
              <w:rPr>
                <w:rFonts w:ascii="宋体" w:hAnsi="宋体"/>
                <w:szCs w:val="21"/>
              </w:rPr>
            </w:pPr>
            <w:r w:rsidRPr="00123108">
              <w:rPr>
                <w:rFonts w:ascii="宋体" w:hAnsi="宋体"/>
                <w:szCs w:val="21"/>
              </w:rPr>
              <w:t>一</w:t>
            </w:r>
          </w:p>
        </w:tc>
        <w:tc>
          <w:tcPr>
            <w:tcW w:w="4759" w:type="pct"/>
            <w:gridSpan w:val="11"/>
            <w:vAlign w:val="center"/>
          </w:tcPr>
          <w:p w:rsidR="004F34D9" w:rsidRPr="00123108" w:rsidRDefault="004F34D9">
            <w:pPr>
              <w:snapToGrid w:val="0"/>
              <w:rPr>
                <w:rFonts w:ascii="宋体" w:hAnsi="宋体"/>
                <w:szCs w:val="21"/>
              </w:rPr>
            </w:pPr>
            <w:r w:rsidRPr="00123108">
              <w:rPr>
                <w:rFonts w:ascii="宋体" w:hAnsi="宋体" w:hint="eastAsia"/>
                <w:szCs w:val="21"/>
              </w:rPr>
              <w:t>安全措施一般要求</w:t>
            </w:r>
          </w:p>
        </w:tc>
      </w:tr>
      <w:tr w:rsidR="004F34D9" w:rsidRPr="00123108">
        <w:trPr>
          <w:cantSplit/>
          <w:trHeight w:val="510"/>
          <w:jc w:val="center"/>
        </w:trPr>
        <w:tc>
          <w:tcPr>
            <w:tcW w:w="241" w:type="pct"/>
            <w:vAlign w:val="center"/>
          </w:tcPr>
          <w:p w:rsidR="004F34D9" w:rsidRPr="00123108" w:rsidRDefault="004F34D9">
            <w:pPr>
              <w:snapToGrid w:val="0"/>
              <w:rPr>
                <w:rFonts w:ascii="宋体" w:hAnsi="宋体"/>
                <w:szCs w:val="21"/>
              </w:rPr>
            </w:pPr>
            <w:r w:rsidRPr="00123108">
              <w:rPr>
                <w:rFonts w:ascii="宋体" w:hAnsi="宋体" w:hint="eastAsia"/>
                <w:szCs w:val="21"/>
              </w:rPr>
              <w:t>1</w:t>
            </w:r>
          </w:p>
        </w:tc>
        <w:tc>
          <w:tcPr>
            <w:tcW w:w="2673" w:type="pct"/>
            <w:gridSpan w:val="7"/>
            <w:vAlign w:val="center"/>
          </w:tcPr>
          <w:p w:rsidR="004F34D9" w:rsidRPr="00123108" w:rsidRDefault="004F34D9">
            <w:r w:rsidRPr="00123108">
              <w:t>操作人员必须经过专门培训，严格遵守操作规程，熟练掌握操作技能，具备应急处置知识。</w:t>
            </w:r>
          </w:p>
        </w:tc>
        <w:tc>
          <w:tcPr>
            <w:tcW w:w="341"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符合</w:t>
            </w:r>
          </w:p>
        </w:tc>
        <w:tc>
          <w:tcPr>
            <w:tcW w:w="1745"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操作人员均已参加完成危险化学品操作的培训，技能娴熟，具备一定应急处置的知识和能力</w:t>
            </w:r>
          </w:p>
        </w:tc>
      </w:tr>
      <w:tr w:rsidR="004F34D9" w:rsidRPr="00123108">
        <w:trPr>
          <w:cantSplit/>
          <w:trHeight w:val="392"/>
          <w:jc w:val="center"/>
        </w:trPr>
        <w:tc>
          <w:tcPr>
            <w:tcW w:w="241" w:type="pct"/>
            <w:vAlign w:val="center"/>
          </w:tcPr>
          <w:p w:rsidR="004F34D9" w:rsidRPr="00123108" w:rsidRDefault="004F34D9">
            <w:pPr>
              <w:snapToGrid w:val="0"/>
              <w:rPr>
                <w:rFonts w:ascii="宋体" w:hAnsi="宋体"/>
                <w:szCs w:val="21"/>
              </w:rPr>
            </w:pPr>
            <w:r w:rsidRPr="00123108">
              <w:rPr>
                <w:rFonts w:ascii="宋体" w:hAnsi="宋体" w:hint="eastAsia"/>
                <w:szCs w:val="21"/>
              </w:rPr>
              <w:t>2</w:t>
            </w:r>
          </w:p>
        </w:tc>
        <w:tc>
          <w:tcPr>
            <w:tcW w:w="2673" w:type="pct"/>
            <w:gridSpan w:val="7"/>
            <w:vAlign w:val="center"/>
          </w:tcPr>
          <w:p w:rsidR="004F34D9" w:rsidRPr="00123108" w:rsidRDefault="004F34D9">
            <w:pPr>
              <w:snapToGrid w:val="0"/>
              <w:rPr>
                <w:rFonts w:ascii="宋体" w:hAnsi="宋体"/>
                <w:szCs w:val="21"/>
              </w:rPr>
            </w:pPr>
            <w:r w:rsidRPr="00123108">
              <w:rPr>
                <w:rFonts w:ascii="宋体" w:hAnsi="宋体" w:cs="宋体"/>
                <w:kern w:val="0"/>
                <w:szCs w:val="21"/>
              </w:rPr>
              <w:t>操作应严加密闭。要求有局部排风设施和全面通风。</w:t>
            </w:r>
          </w:p>
        </w:tc>
        <w:tc>
          <w:tcPr>
            <w:tcW w:w="341"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符合</w:t>
            </w:r>
          </w:p>
        </w:tc>
        <w:tc>
          <w:tcPr>
            <w:tcW w:w="1745"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密闭操作，聚合车间设有通风装置</w:t>
            </w:r>
          </w:p>
        </w:tc>
      </w:tr>
      <w:tr w:rsidR="004F34D9" w:rsidRPr="00123108">
        <w:trPr>
          <w:cantSplit/>
          <w:trHeight w:val="510"/>
          <w:jc w:val="center"/>
        </w:trPr>
        <w:tc>
          <w:tcPr>
            <w:tcW w:w="241" w:type="pct"/>
            <w:vAlign w:val="center"/>
          </w:tcPr>
          <w:p w:rsidR="004F34D9" w:rsidRPr="00123108" w:rsidRDefault="004F34D9">
            <w:pPr>
              <w:snapToGrid w:val="0"/>
              <w:rPr>
                <w:rFonts w:ascii="宋体" w:hAnsi="宋体"/>
                <w:szCs w:val="21"/>
              </w:rPr>
            </w:pPr>
            <w:r w:rsidRPr="00123108">
              <w:rPr>
                <w:rFonts w:ascii="宋体" w:hAnsi="宋体" w:hint="eastAsia"/>
                <w:szCs w:val="21"/>
              </w:rPr>
              <w:t>3</w:t>
            </w:r>
          </w:p>
        </w:tc>
        <w:tc>
          <w:tcPr>
            <w:tcW w:w="2673" w:type="pct"/>
            <w:gridSpan w:val="7"/>
            <w:vAlign w:val="center"/>
          </w:tcPr>
          <w:p w:rsidR="004F34D9" w:rsidRPr="00123108" w:rsidRDefault="004F34D9">
            <w:pPr>
              <w:snapToGrid w:val="0"/>
              <w:rPr>
                <w:rFonts w:ascii="宋体" w:hAnsi="宋体"/>
                <w:szCs w:val="21"/>
              </w:rPr>
            </w:pPr>
            <w:r w:rsidRPr="00123108">
              <w:rPr>
                <w:rFonts w:ascii="宋体" w:hAnsi="宋体" w:cs="宋体"/>
                <w:kern w:val="0"/>
                <w:szCs w:val="21"/>
              </w:rPr>
              <w:t>设置固定式可燃气体报警器，或配备便携式可燃气体报警器，宜增设有毒气体报警仪。选用屏蔽泵或磁力泵等无泄漏泵来输送本介质。苯乙烯储罐采取人工脱水方式时，应增配检测有毒气体检测报警仪（固定式或便携式）。采样宜采用循环密闭采样系统。使用防爆型的通风系统和设备，穿工作服，戴防护手套。空气中浓度超标时，佩戴防毒面具。紧急事态抢救或撤离时，佩戴正压自给式空气呼吸器。在作业现场应提供安全淋浴和洗眼设备。安全喷淋、洗眼器应在生产装置开车时进行校验。工作场所严禁吸烟。</w:t>
            </w:r>
          </w:p>
        </w:tc>
        <w:tc>
          <w:tcPr>
            <w:tcW w:w="341"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符合</w:t>
            </w:r>
          </w:p>
        </w:tc>
        <w:tc>
          <w:tcPr>
            <w:tcW w:w="1745" w:type="pct"/>
            <w:gridSpan w:val="2"/>
            <w:vAlign w:val="center"/>
          </w:tcPr>
          <w:p w:rsidR="004F34D9" w:rsidRPr="00123108" w:rsidRDefault="004F34D9">
            <w:r w:rsidRPr="00123108">
              <w:t>生产、使用及储存场所设置有固定式可燃气体报警器</w:t>
            </w:r>
            <w:r w:rsidRPr="00123108">
              <w:rPr>
                <w:rFonts w:hint="eastAsia"/>
              </w:rPr>
              <w:t>并有便携式报警仪</w:t>
            </w:r>
            <w:r w:rsidRPr="00123108">
              <w:t>，输送本介质</w:t>
            </w:r>
            <w:r w:rsidRPr="00123108">
              <w:rPr>
                <w:rFonts w:hint="eastAsia"/>
              </w:rPr>
              <w:t>采用磁力</w:t>
            </w:r>
            <w:r w:rsidRPr="00123108">
              <w:t>泵</w:t>
            </w:r>
            <w:r w:rsidRPr="00123108">
              <w:rPr>
                <w:rFonts w:hint="eastAsia"/>
              </w:rPr>
              <w:t>；苯乙烯罐不涉及脱水；密闭采样器；</w:t>
            </w:r>
            <w:r w:rsidRPr="00123108">
              <w:t>使用了防爆型的通风系统和设备。操作人员按规定佩戴个人防护用品，作业现场</w:t>
            </w:r>
            <w:r w:rsidRPr="00123108">
              <w:rPr>
                <w:rFonts w:hint="eastAsia"/>
              </w:rPr>
              <w:t>配备</w:t>
            </w:r>
            <w:r w:rsidRPr="00123108">
              <w:t>安全淋浴和洗眼设备。</w:t>
            </w:r>
          </w:p>
        </w:tc>
      </w:tr>
      <w:tr w:rsidR="004F34D9" w:rsidRPr="00123108">
        <w:trPr>
          <w:cantSplit/>
          <w:trHeight w:val="510"/>
          <w:jc w:val="center"/>
        </w:trPr>
        <w:tc>
          <w:tcPr>
            <w:tcW w:w="241" w:type="pct"/>
            <w:vAlign w:val="center"/>
          </w:tcPr>
          <w:p w:rsidR="004F34D9" w:rsidRPr="00123108" w:rsidRDefault="004F34D9">
            <w:pPr>
              <w:snapToGrid w:val="0"/>
              <w:rPr>
                <w:rFonts w:ascii="宋体" w:hAnsi="宋体"/>
                <w:szCs w:val="21"/>
              </w:rPr>
            </w:pPr>
            <w:r w:rsidRPr="00123108">
              <w:rPr>
                <w:rFonts w:ascii="宋体" w:hAnsi="宋体" w:hint="eastAsia"/>
                <w:szCs w:val="21"/>
              </w:rPr>
              <w:lastRenderedPageBreak/>
              <w:t>4</w:t>
            </w:r>
          </w:p>
        </w:tc>
        <w:tc>
          <w:tcPr>
            <w:tcW w:w="2673" w:type="pct"/>
            <w:gridSpan w:val="7"/>
            <w:vAlign w:val="center"/>
          </w:tcPr>
          <w:p w:rsidR="004F34D9" w:rsidRPr="00123108" w:rsidRDefault="004F34D9">
            <w:pPr>
              <w:snapToGrid w:val="0"/>
              <w:rPr>
                <w:rStyle w:val="zw1"/>
                <w:sz w:val="21"/>
                <w:szCs w:val="21"/>
              </w:rPr>
            </w:pPr>
            <w:r w:rsidRPr="00123108">
              <w:rPr>
                <w:rFonts w:ascii="宋体" w:hAnsi="宋体" w:cs="宋体"/>
                <w:kern w:val="0"/>
                <w:szCs w:val="21"/>
              </w:rPr>
              <w:t>储罐等容器和设备应设置液位计、温度计，并应装有带液位、温度远传记录和报警功能的安全装置。</w:t>
            </w:r>
          </w:p>
        </w:tc>
        <w:tc>
          <w:tcPr>
            <w:tcW w:w="341"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符合</w:t>
            </w:r>
          </w:p>
        </w:tc>
        <w:tc>
          <w:tcPr>
            <w:tcW w:w="1745" w:type="pct"/>
            <w:gridSpan w:val="2"/>
            <w:vAlign w:val="center"/>
          </w:tcPr>
          <w:p w:rsidR="004F34D9" w:rsidRPr="00123108" w:rsidRDefault="004F34D9">
            <w:pPr>
              <w:rPr>
                <w:rFonts w:ascii="宋体" w:hAnsi="宋体"/>
                <w:szCs w:val="21"/>
              </w:rPr>
            </w:pPr>
            <w:r w:rsidRPr="00123108">
              <w:rPr>
                <w:rFonts w:ascii="宋体" w:hAnsi="宋体" w:hint="eastAsia"/>
                <w:szCs w:val="21"/>
              </w:rPr>
              <w:t>苯乙烯</w:t>
            </w:r>
            <w:r w:rsidRPr="00123108">
              <w:rPr>
                <w:rFonts w:ascii="宋体" w:hAnsi="宋体"/>
                <w:szCs w:val="21"/>
              </w:rPr>
              <w:t>储罐</w:t>
            </w:r>
            <w:r w:rsidRPr="00123108">
              <w:rPr>
                <w:rFonts w:ascii="宋体" w:hAnsi="宋体" w:hint="eastAsia"/>
                <w:szCs w:val="21"/>
              </w:rPr>
              <w:t>设有压力、温度及液位检测及远传报警；反应釜</w:t>
            </w:r>
            <w:r w:rsidRPr="00123108">
              <w:rPr>
                <w:rFonts w:ascii="宋体" w:hAnsi="宋体"/>
                <w:szCs w:val="21"/>
              </w:rPr>
              <w:t>设置</w:t>
            </w:r>
            <w:r w:rsidRPr="00123108">
              <w:rPr>
                <w:rFonts w:ascii="宋体" w:hAnsi="宋体" w:hint="eastAsia"/>
                <w:szCs w:val="21"/>
              </w:rPr>
              <w:t>有</w:t>
            </w:r>
            <w:r w:rsidRPr="00123108">
              <w:rPr>
                <w:rFonts w:ascii="宋体" w:hAnsi="宋体"/>
                <w:szCs w:val="21"/>
              </w:rPr>
              <w:t>压力表、液位计、温度计，并有压力、液位、温度远传记录和报警功能的安全装置。</w:t>
            </w:r>
          </w:p>
        </w:tc>
      </w:tr>
      <w:tr w:rsidR="004F34D9" w:rsidRPr="00123108">
        <w:trPr>
          <w:cantSplit/>
          <w:trHeight w:val="510"/>
          <w:jc w:val="center"/>
        </w:trPr>
        <w:tc>
          <w:tcPr>
            <w:tcW w:w="241" w:type="pct"/>
            <w:vAlign w:val="center"/>
          </w:tcPr>
          <w:p w:rsidR="004F34D9" w:rsidRPr="00123108" w:rsidRDefault="004F34D9">
            <w:pPr>
              <w:snapToGrid w:val="0"/>
              <w:rPr>
                <w:rFonts w:ascii="宋体" w:hAnsi="宋体"/>
                <w:szCs w:val="21"/>
              </w:rPr>
            </w:pPr>
            <w:r w:rsidRPr="00123108">
              <w:rPr>
                <w:rFonts w:ascii="宋体" w:hAnsi="宋体" w:hint="eastAsia"/>
                <w:szCs w:val="21"/>
              </w:rPr>
              <w:t>5</w:t>
            </w:r>
          </w:p>
        </w:tc>
        <w:tc>
          <w:tcPr>
            <w:tcW w:w="2673" w:type="pct"/>
            <w:gridSpan w:val="7"/>
            <w:vAlign w:val="center"/>
          </w:tcPr>
          <w:p w:rsidR="004F34D9" w:rsidRPr="00123108" w:rsidRDefault="004F34D9">
            <w:pPr>
              <w:snapToGrid w:val="0"/>
              <w:rPr>
                <w:rStyle w:val="zw1"/>
                <w:sz w:val="21"/>
                <w:szCs w:val="21"/>
              </w:rPr>
            </w:pPr>
            <w:r w:rsidRPr="00123108">
              <w:rPr>
                <w:rFonts w:ascii="宋体" w:hAnsi="宋体" w:cs="宋体"/>
                <w:kern w:val="0"/>
                <w:szCs w:val="21"/>
              </w:rPr>
              <w:t>生产中为防止自聚所用到的阻聚剂属于</w:t>
            </w:r>
            <w:r w:rsidRPr="00123108">
              <w:rPr>
                <w:rFonts w:ascii="宋体" w:hAnsi="宋体" w:cs="宋体" w:hint="eastAsia"/>
                <w:kern w:val="0"/>
                <w:szCs w:val="21"/>
              </w:rPr>
              <w:t>低毒类化学品</w:t>
            </w:r>
            <w:r w:rsidRPr="00123108">
              <w:rPr>
                <w:rFonts w:ascii="宋体" w:hAnsi="宋体" w:cs="宋体"/>
                <w:kern w:val="0"/>
                <w:szCs w:val="21"/>
              </w:rPr>
              <w:t>，加注时除应采用自吸式的设备或装置外，还应在加注岗位附近设置冲洗设施以备应急之用。对加注的阻聚剂的安全和职业卫生防护知识应进行针对性培训。</w:t>
            </w:r>
          </w:p>
        </w:tc>
        <w:tc>
          <w:tcPr>
            <w:tcW w:w="341"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符合</w:t>
            </w:r>
          </w:p>
        </w:tc>
        <w:tc>
          <w:tcPr>
            <w:tcW w:w="1745"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储罐设有添加阻聚剂系统。</w:t>
            </w:r>
          </w:p>
        </w:tc>
      </w:tr>
      <w:tr w:rsidR="004F34D9" w:rsidRPr="00123108">
        <w:trPr>
          <w:cantSplit/>
          <w:trHeight w:val="510"/>
          <w:jc w:val="center"/>
        </w:trPr>
        <w:tc>
          <w:tcPr>
            <w:tcW w:w="241" w:type="pct"/>
            <w:vAlign w:val="center"/>
          </w:tcPr>
          <w:p w:rsidR="004F34D9" w:rsidRPr="00123108" w:rsidRDefault="004F34D9">
            <w:pPr>
              <w:snapToGrid w:val="0"/>
              <w:rPr>
                <w:rFonts w:ascii="宋体" w:hAnsi="宋体"/>
                <w:szCs w:val="21"/>
              </w:rPr>
            </w:pPr>
            <w:r w:rsidRPr="00123108">
              <w:rPr>
                <w:rFonts w:ascii="宋体" w:hAnsi="宋体" w:hint="eastAsia"/>
                <w:szCs w:val="21"/>
              </w:rPr>
              <w:t>6</w:t>
            </w:r>
          </w:p>
        </w:tc>
        <w:tc>
          <w:tcPr>
            <w:tcW w:w="2673" w:type="pct"/>
            <w:gridSpan w:val="7"/>
            <w:vAlign w:val="center"/>
          </w:tcPr>
          <w:p w:rsidR="004F34D9" w:rsidRPr="00123108" w:rsidRDefault="004F34D9">
            <w:pPr>
              <w:snapToGrid w:val="0"/>
              <w:rPr>
                <w:rFonts w:ascii="宋体" w:hAnsi="宋体"/>
                <w:szCs w:val="21"/>
              </w:rPr>
            </w:pPr>
            <w:r w:rsidRPr="00123108">
              <w:rPr>
                <w:rFonts w:ascii="宋体" w:hAnsi="宋体" w:cs="宋体"/>
                <w:kern w:val="0"/>
                <w:szCs w:val="21"/>
              </w:rPr>
              <w:t>与氧化剂、酸类等反应。能发生聚合放热，避免接触光照、接触空气。</w:t>
            </w:r>
          </w:p>
        </w:tc>
        <w:tc>
          <w:tcPr>
            <w:tcW w:w="341"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符合</w:t>
            </w:r>
          </w:p>
        </w:tc>
        <w:tc>
          <w:tcPr>
            <w:tcW w:w="1745"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储罐储存，不与其他介质接触；储罐设有保温及氮封措施</w:t>
            </w:r>
          </w:p>
        </w:tc>
      </w:tr>
      <w:tr w:rsidR="004F34D9" w:rsidRPr="00123108">
        <w:trPr>
          <w:cantSplit/>
          <w:trHeight w:val="297"/>
          <w:jc w:val="center"/>
        </w:trPr>
        <w:tc>
          <w:tcPr>
            <w:tcW w:w="241" w:type="pct"/>
            <w:vAlign w:val="center"/>
          </w:tcPr>
          <w:p w:rsidR="004F34D9" w:rsidRPr="00123108" w:rsidRDefault="004F34D9">
            <w:pPr>
              <w:snapToGrid w:val="0"/>
              <w:rPr>
                <w:rFonts w:ascii="宋体" w:hAnsi="宋体"/>
                <w:szCs w:val="21"/>
              </w:rPr>
            </w:pPr>
            <w:r w:rsidRPr="00123108">
              <w:rPr>
                <w:rFonts w:ascii="宋体" w:hAnsi="宋体" w:hint="eastAsia"/>
                <w:szCs w:val="21"/>
              </w:rPr>
              <w:t>二</w:t>
            </w:r>
          </w:p>
        </w:tc>
        <w:tc>
          <w:tcPr>
            <w:tcW w:w="4759" w:type="pct"/>
            <w:gridSpan w:val="11"/>
            <w:vAlign w:val="center"/>
          </w:tcPr>
          <w:p w:rsidR="004F34D9" w:rsidRPr="00123108" w:rsidRDefault="004F34D9">
            <w:pPr>
              <w:snapToGrid w:val="0"/>
              <w:rPr>
                <w:rFonts w:ascii="宋体" w:hAnsi="宋体"/>
                <w:szCs w:val="21"/>
              </w:rPr>
            </w:pPr>
            <w:r w:rsidRPr="00123108">
              <w:rPr>
                <w:rFonts w:ascii="宋体" w:hAnsi="宋体" w:hint="eastAsia"/>
                <w:szCs w:val="21"/>
              </w:rPr>
              <w:t>安全措施特殊要求</w:t>
            </w:r>
          </w:p>
        </w:tc>
      </w:tr>
      <w:tr w:rsidR="004F34D9" w:rsidRPr="00123108">
        <w:trPr>
          <w:cantSplit/>
          <w:trHeight w:val="532"/>
          <w:jc w:val="center"/>
        </w:trPr>
        <w:tc>
          <w:tcPr>
            <w:tcW w:w="241" w:type="pct"/>
            <w:vAlign w:val="center"/>
          </w:tcPr>
          <w:p w:rsidR="004F34D9" w:rsidRPr="00123108" w:rsidRDefault="004F34D9">
            <w:pPr>
              <w:snapToGrid w:val="0"/>
              <w:rPr>
                <w:rFonts w:ascii="宋体" w:hAnsi="宋体"/>
                <w:szCs w:val="21"/>
              </w:rPr>
            </w:pPr>
            <w:r w:rsidRPr="00123108">
              <w:rPr>
                <w:rFonts w:ascii="宋体" w:hAnsi="宋体"/>
                <w:szCs w:val="21"/>
              </w:rPr>
              <w:t>序号</w:t>
            </w:r>
          </w:p>
        </w:tc>
        <w:tc>
          <w:tcPr>
            <w:tcW w:w="2673" w:type="pct"/>
            <w:gridSpan w:val="7"/>
            <w:vAlign w:val="center"/>
          </w:tcPr>
          <w:p w:rsidR="004F34D9" w:rsidRPr="00123108" w:rsidRDefault="004F34D9">
            <w:pPr>
              <w:snapToGrid w:val="0"/>
              <w:rPr>
                <w:rFonts w:ascii="宋体" w:hAnsi="宋体"/>
                <w:szCs w:val="21"/>
              </w:rPr>
            </w:pPr>
            <w:r w:rsidRPr="00123108">
              <w:rPr>
                <w:rFonts w:ascii="宋体" w:hAnsi="宋体" w:hint="eastAsia"/>
                <w:szCs w:val="21"/>
              </w:rPr>
              <w:t>名  称</w:t>
            </w:r>
          </w:p>
        </w:tc>
        <w:tc>
          <w:tcPr>
            <w:tcW w:w="341" w:type="pct"/>
            <w:gridSpan w:val="2"/>
            <w:vAlign w:val="center"/>
          </w:tcPr>
          <w:p w:rsidR="004F34D9" w:rsidRPr="00123108" w:rsidRDefault="004F34D9">
            <w:pPr>
              <w:adjustRightInd w:val="0"/>
              <w:snapToGrid w:val="0"/>
              <w:rPr>
                <w:rFonts w:ascii="宋体" w:hAnsi="宋体"/>
                <w:szCs w:val="21"/>
              </w:rPr>
            </w:pPr>
            <w:r w:rsidRPr="00123108">
              <w:rPr>
                <w:rFonts w:ascii="宋体" w:hAnsi="宋体"/>
                <w:szCs w:val="21"/>
              </w:rPr>
              <w:t>检查结果</w:t>
            </w:r>
          </w:p>
        </w:tc>
        <w:tc>
          <w:tcPr>
            <w:tcW w:w="1745"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实际情况说明</w:t>
            </w:r>
          </w:p>
        </w:tc>
      </w:tr>
      <w:tr w:rsidR="004F34D9" w:rsidRPr="00123108">
        <w:trPr>
          <w:cantSplit/>
          <w:trHeight w:val="510"/>
          <w:jc w:val="center"/>
        </w:trPr>
        <w:tc>
          <w:tcPr>
            <w:tcW w:w="241" w:type="pct"/>
            <w:vMerge w:val="restart"/>
            <w:vAlign w:val="center"/>
          </w:tcPr>
          <w:p w:rsidR="004F34D9" w:rsidRPr="00123108" w:rsidRDefault="004F34D9">
            <w:pPr>
              <w:snapToGrid w:val="0"/>
              <w:rPr>
                <w:rFonts w:ascii="宋体" w:hAnsi="宋体"/>
                <w:szCs w:val="21"/>
              </w:rPr>
            </w:pPr>
            <w:r w:rsidRPr="00123108">
              <w:rPr>
                <w:rFonts w:ascii="宋体" w:hAnsi="宋体" w:hint="eastAsia"/>
                <w:szCs w:val="21"/>
              </w:rPr>
              <w:t>1</w:t>
            </w:r>
          </w:p>
        </w:tc>
        <w:tc>
          <w:tcPr>
            <w:tcW w:w="284" w:type="pct"/>
            <w:gridSpan w:val="3"/>
            <w:vMerge w:val="restart"/>
            <w:vAlign w:val="center"/>
          </w:tcPr>
          <w:p w:rsidR="004F34D9" w:rsidRPr="00123108" w:rsidRDefault="004F34D9">
            <w:pPr>
              <w:snapToGrid w:val="0"/>
              <w:rPr>
                <w:rStyle w:val="zw1"/>
                <w:sz w:val="21"/>
                <w:szCs w:val="21"/>
              </w:rPr>
            </w:pPr>
            <w:r w:rsidRPr="00123108">
              <w:rPr>
                <w:rStyle w:val="zw1"/>
                <w:sz w:val="21"/>
                <w:szCs w:val="21"/>
              </w:rPr>
              <w:t>操作安全</w:t>
            </w:r>
          </w:p>
        </w:tc>
        <w:tc>
          <w:tcPr>
            <w:tcW w:w="2389" w:type="pct"/>
            <w:gridSpan w:val="4"/>
            <w:vAlign w:val="center"/>
          </w:tcPr>
          <w:p w:rsidR="004F34D9" w:rsidRPr="00123108" w:rsidRDefault="004F34D9">
            <w:pPr>
              <w:snapToGrid w:val="0"/>
              <w:rPr>
                <w:rStyle w:val="zw1"/>
                <w:sz w:val="21"/>
                <w:szCs w:val="21"/>
              </w:rPr>
            </w:pPr>
            <w:r w:rsidRPr="00123108">
              <w:rPr>
                <w:rFonts w:ascii="宋体" w:hAnsi="宋体" w:cs="宋体"/>
                <w:kern w:val="0"/>
                <w:szCs w:val="21"/>
              </w:rPr>
              <w:t>设置必要的安全联锁及紧急排放系统、有毒有害易燃物质检测报警系统以及正常及事故通风设施，通风设施应每年进行一次检查。</w:t>
            </w:r>
          </w:p>
        </w:tc>
        <w:tc>
          <w:tcPr>
            <w:tcW w:w="341"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符合</w:t>
            </w:r>
          </w:p>
        </w:tc>
        <w:tc>
          <w:tcPr>
            <w:tcW w:w="1745"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储罐设有液位报警及联锁；聚合釜已</w:t>
            </w:r>
            <w:r w:rsidRPr="00123108">
              <w:rPr>
                <w:rFonts w:ascii="宋体" w:hAnsi="宋体" w:cs="宋体"/>
                <w:kern w:val="0"/>
                <w:szCs w:val="21"/>
              </w:rPr>
              <w:t>设置必要的安全联锁及紧急排放系统</w:t>
            </w:r>
            <w:r w:rsidRPr="00123108">
              <w:rPr>
                <w:rFonts w:ascii="宋体" w:hAnsi="宋体" w:cs="宋体" w:hint="eastAsia"/>
                <w:kern w:val="0"/>
                <w:szCs w:val="21"/>
              </w:rPr>
              <w:t>，聚合车间已设置通风系统</w:t>
            </w:r>
          </w:p>
        </w:tc>
      </w:tr>
      <w:tr w:rsidR="004F34D9" w:rsidRPr="00123108">
        <w:trPr>
          <w:cantSplit/>
          <w:trHeight w:val="510"/>
          <w:jc w:val="center"/>
        </w:trPr>
        <w:tc>
          <w:tcPr>
            <w:tcW w:w="241" w:type="pct"/>
            <w:vMerge/>
            <w:vAlign w:val="center"/>
          </w:tcPr>
          <w:p w:rsidR="004F34D9" w:rsidRPr="00123108" w:rsidRDefault="004F34D9">
            <w:pPr>
              <w:snapToGrid w:val="0"/>
              <w:rPr>
                <w:rFonts w:ascii="宋体" w:hAnsi="宋体"/>
                <w:szCs w:val="21"/>
              </w:rPr>
            </w:pPr>
          </w:p>
        </w:tc>
        <w:tc>
          <w:tcPr>
            <w:tcW w:w="284" w:type="pct"/>
            <w:gridSpan w:val="3"/>
            <w:vMerge/>
            <w:vAlign w:val="center"/>
          </w:tcPr>
          <w:p w:rsidR="004F34D9" w:rsidRPr="00123108" w:rsidRDefault="004F34D9">
            <w:pPr>
              <w:snapToGrid w:val="0"/>
              <w:rPr>
                <w:rStyle w:val="zw1"/>
                <w:sz w:val="21"/>
                <w:szCs w:val="21"/>
              </w:rPr>
            </w:pPr>
          </w:p>
        </w:tc>
        <w:tc>
          <w:tcPr>
            <w:tcW w:w="2389" w:type="pct"/>
            <w:gridSpan w:val="4"/>
            <w:vAlign w:val="center"/>
          </w:tcPr>
          <w:p w:rsidR="004F34D9" w:rsidRPr="00123108" w:rsidRDefault="004F34D9">
            <w:pPr>
              <w:snapToGrid w:val="0"/>
              <w:rPr>
                <w:rStyle w:val="zw1"/>
                <w:sz w:val="21"/>
                <w:szCs w:val="21"/>
              </w:rPr>
            </w:pPr>
            <w:r w:rsidRPr="00123108">
              <w:rPr>
                <w:rFonts w:ascii="宋体" w:hAnsi="宋体" w:cs="宋体"/>
                <w:kern w:val="0"/>
                <w:szCs w:val="21"/>
              </w:rPr>
              <w:t>在传送过程中，容器、管道必须接地和跨接，防止产生静电。</w:t>
            </w:r>
          </w:p>
        </w:tc>
        <w:tc>
          <w:tcPr>
            <w:tcW w:w="341"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符合</w:t>
            </w:r>
          </w:p>
        </w:tc>
        <w:tc>
          <w:tcPr>
            <w:tcW w:w="1745"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容器、管道均已接地</w:t>
            </w:r>
          </w:p>
        </w:tc>
      </w:tr>
      <w:tr w:rsidR="004F34D9" w:rsidRPr="00123108">
        <w:trPr>
          <w:cantSplit/>
          <w:trHeight w:val="510"/>
          <w:jc w:val="center"/>
        </w:trPr>
        <w:tc>
          <w:tcPr>
            <w:tcW w:w="241" w:type="pct"/>
            <w:vMerge/>
            <w:vAlign w:val="center"/>
          </w:tcPr>
          <w:p w:rsidR="004F34D9" w:rsidRPr="00123108" w:rsidRDefault="004F34D9">
            <w:pPr>
              <w:snapToGrid w:val="0"/>
              <w:rPr>
                <w:rFonts w:ascii="宋体" w:hAnsi="宋体"/>
                <w:szCs w:val="21"/>
              </w:rPr>
            </w:pPr>
          </w:p>
        </w:tc>
        <w:tc>
          <w:tcPr>
            <w:tcW w:w="284" w:type="pct"/>
            <w:gridSpan w:val="3"/>
            <w:vMerge/>
            <w:vAlign w:val="center"/>
          </w:tcPr>
          <w:p w:rsidR="004F34D9" w:rsidRPr="00123108" w:rsidRDefault="004F34D9">
            <w:pPr>
              <w:snapToGrid w:val="0"/>
              <w:rPr>
                <w:rStyle w:val="zw1"/>
                <w:sz w:val="21"/>
                <w:szCs w:val="21"/>
              </w:rPr>
            </w:pPr>
          </w:p>
        </w:tc>
        <w:tc>
          <w:tcPr>
            <w:tcW w:w="2389" w:type="pct"/>
            <w:gridSpan w:val="4"/>
            <w:vAlign w:val="center"/>
          </w:tcPr>
          <w:p w:rsidR="004F34D9" w:rsidRPr="00123108" w:rsidRDefault="004F34D9">
            <w:pPr>
              <w:snapToGrid w:val="0"/>
              <w:rPr>
                <w:rStyle w:val="zw1"/>
                <w:sz w:val="21"/>
                <w:szCs w:val="21"/>
              </w:rPr>
            </w:pPr>
            <w:r w:rsidRPr="00123108">
              <w:rPr>
                <w:rFonts w:ascii="宋体" w:hAnsi="宋体" w:cs="宋体"/>
                <w:kern w:val="0"/>
                <w:szCs w:val="21"/>
              </w:rPr>
              <w:t>在生产企业设置DCS集散控制系统，同时并独立设置安全联锁与紧急停车系统（ESD）。</w:t>
            </w:r>
          </w:p>
        </w:tc>
        <w:tc>
          <w:tcPr>
            <w:tcW w:w="341"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符合</w:t>
            </w:r>
          </w:p>
        </w:tc>
        <w:tc>
          <w:tcPr>
            <w:tcW w:w="1745" w:type="pct"/>
            <w:gridSpan w:val="2"/>
            <w:vAlign w:val="center"/>
          </w:tcPr>
          <w:p w:rsidR="004F34D9" w:rsidRPr="00123108" w:rsidRDefault="004F34D9">
            <w:pPr>
              <w:snapToGrid w:val="0"/>
              <w:rPr>
                <w:rFonts w:ascii="宋体" w:hAnsi="宋体"/>
                <w:szCs w:val="21"/>
              </w:rPr>
            </w:pPr>
            <w:r w:rsidRPr="00123108">
              <w:rPr>
                <w:rFonts w:ascii="宋体" w:hAnsi="宋体" w:cs="宋体" w:hint="eastAsia"/>
                <w:kern w:val="0"/>
                <w:szCs w:val="21"/>
              </w:rPr>
              <w:t>已</w:t>
            </w:r>
            <w:r w:rsidRPr="00123108">
              <w:rPr>
                <w:rFonts w:ascii="宋体" w:hAnsi="宋体" w:cs="宋体"/>
                <w:kern w:val="0"/>
                <w:szCs w:val="21"/>
              </w:rPr>
              <w:t>设置DCS集散控制系统，同时并独立设置安全联锁与紧急停车系统。</w:t>
            </w:r>
          </w:p>
        </w:tc>
      </w:tr>
      <w:tr w:rsidR="004F34D9" w:rsidRPr="00123108">
        <w:trPr>
          <w:cantSplit/>
          <w:trHeight w:val="510"/>
          <w:jc w:val="center"/>
        </w:trPr>
        <w:tc>
          <w:tcPr>
            <w:tcW w:w="241" w:type="pct"/>
            <w:vMerge/>
            <w:vAlign w:val="center"/>
          </w:tcPr>
          <w:p w:rsidR="004F34D9" w:rsidRPr="00123108" w:rsidRDefault="004F34D9">
            <w:pPr>
              <w:snapToGrid w:val="0"/>
              <w:rPr>
                <w:rFonts w:ascii="宋体" w:hAnsi="宋体"/>
                <w:szCs w:val="21"/>
              </w:rPr>
            </w:pPr>
          </w:p>
        </w:tc>
        <w:tc>
          <w:tcPr>
            <w:tcW w:w="284" w:type="pct"/>
            <w:gridSpan w:val="3"/>
            <w:vMerge/>
            <w:vAlign w:val="center"/>
          </w:tcPr>
          <w:p w:rsidR="004F34D9" w:rsidRPr="00123108" w:rsidRDefault="004F34D9">
            <w:pPr>
              <w:snapToGrid w:val="0"/>
              <w:rPr>
                <w:rStyle w:val="zw1"/>
                <w:sz w:val="21"/>
                <w:szCs w:val="21"/>
              </w:rPr>
            </w:pPr>
          </w:p>
        </w:tc>
        <w:tc>
          <w:tcPr>
            <w:tcW w:w="2389" w:type="pct"/>
            <w:gridSpan w:val="4"/>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苯乙烯物料有自聚性质，因此要注意对操作温度的检查和按规定添加阻聚剂，防止物料发生高温自聚而堵塞设备和管道。</w:t>
            </w:r>
          </w:p>
        </w:tc>
        <w:tc>
          <w:tcPr>
            <w:tcW w:w="341"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符合</w:t>
            </w:r>
          </w:p>
        </w:tc>
        <w:tc>
          <w:tcPr>
            <w:tcW w:w="1745"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储罐及聚合釜已设置温度检测报警，苯乙烯储罐设有保温、喷淋、循环冷却，并定期检测苯乙烯品质</w:t>
            </w:r>
          </w:p>
        </w:tc>
      </w:tr>
      <w:tr w:rsidR="004F34D9" w:rsidRPr="00123108">
        <w:trPr>
          <w:cantSplit/>
          <w:trHeight w:val="510"/>
          <w:jc w:val="center"/>
        </w:trPr>
        <w:tc>
          <w:tcPr>
            <w:tcW w:w="241" w:type="pct"/>
            <w:vMerge/>
            <w:vAlign w:val="center"/>
          </w:tcPr>
          <w:p w:rsidR="004F34D9" w:rsidRPr="00123108" w:rsidRDefault="004F34D9">
            <w:pPr>
              <w:snapToGrid w:val="0"/>
              <w:rPr>
                <w:rFonts w:ascii="宋体" w:hAnsi="宋体"/>
                <w:szCs w:val="21"/>
              </w:rPr>
            </w:pPr>
          </w:p>
        </w:tc>
        <w:tc>
          <w:tcPr>
            <w:tcW w:w="284" w:type="pct"/>
            <w:gridSpan w:val="3"/>
            <w:vMerge/>
            <w:vAlign w:val="center"/>
          </w:tcPr>
          <w:p w:rsidR="004F34D9" w:rsidRPr="00123108" w:rsidRDefault="004F34D9">
            <w:pPr>
              <w:snapToGrid w:val="0"/>
              <w:rPr>
                <w:rStyle w:val="zw1"/>
                <w:sz w:val="21"/>
                <w:szCs w:val="21"/>
              </w:rPr>
            </w:pPr>
          </w:p>
        </w:tc>
        <w:tc>
          <w:tcPr>
            <w:tcW w:w="2389" w:type="pct"/>
            <w:gridSpan w:val="4"/>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装置区所有设备、泵以及管线的放空均排放到密闭排放系统，保证职工健康不受损害。</w:t>
            </w:r>
          </w:p>
        </w:tc>
        <w:tc>
          <w:tcPr>
            <w:tcW w:w="341"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符合</w:t>
            </w:r>
          </w:p>
        </w:tc>
        <w:tc>
          <w:tcPr>
            <w:tcW w:w="1745" w:type="pct"/>
            <w:gridSpan w:val="2"/>
            <w:vAlign w:val="center"/>
          </w:tcPr>
          <w:p w:rsidR="004F34D9" w:rsidRPr="00123108" w:rsidRDefault="004F34D9">
            <w:pPr>
              <w:snapToGrid w:val="0"/>
              <w:rPr>
                <w:rFonts w:ascii="宋体" w:hAnsi="宋体"/>
                <w:szCs w:val="21"/>
              </w:rPr>
            </w:pPr>
            <w:r w:rsidRPr="00123108">
              <w:rPr>
                <w:rFonts w:ascii="宋体" w:hAnsi="宋体" w:cs="宋体" w:hint="eastAsia"/>
                <w:kern w:val="0"/>
                <w:szCs w:val="21"/>
              </w:rPr>
              <w:t>储罐、聚合釜设有废气回收系统，经R</w:t>
            </w:r>
            <w:r w:rsidRPr="00123108">
              <w:rPr>
                <w:rFonts w:ascii="宋体" w:hAnsi="宋体" w:cs="宋体"/>
                <w:kern w:val="0"/>
                <w:szCs w:val="21"/>
              </w:rPr>
              <w:t>TO</w:t>
            </w:r>
            <w:r w:rsidRPr="00123108">
              <w:rPr>
                <w:rFonts w:ascii="宋体" w:hAnsi="宋体" w:cs="宋体" w:hint="eastAsia"/>
                <w:kern w:val="0"/>
                <w:szCs w:val="21"/>
              </w:rPr>
              <w:t>焚烧后排放</w:t>
            </w:r>
          </w:p>
        </w:tc>
      </w:tr>
      <w:tr w:rsidR="004F34D9" w:rsidRPr="00123108">
        <w:trPr>
          <w:cantSplit/>
          <w:trHeight w:val="653"/>
          <w:jc w:val="center"/>
        </w:trPr>
        <w:tc>
          <w:tcPr>
            <w:tcW w:w="241" w:type="pct"/>
            <w:vMerge w:val="restart"/>
            <w:vAlign w:val="center"/>
          </w:tcPr>
          <w:p w:rsidR="004F34D9" w:rsidRPr="00123108" w:rsidRDefault="004F34D9">
            <w:pPr>
              <w:snapToGrid w:val="0"/>
              <w:rPr>
                <w:rFonts w:ascii="宋体" w:hAnsi="宋体"/>
                <w:szCs w:val="21"/>
              </w:rPr>
            </w:pPr>
            <w:r w:rsidRPr="00123108">
              <w:rPr>
                <w:rFonts w:ascii="宋体" w:hAnsi="宋体" w:hint="eastAsia"/>
                <w:szCs w:val="21"/>
              </w:rPr>
              <w:t>2</w:t>
            </w:r>
          </w:p>
        </w:tc>
        <w:tc>
          <w:tcPr>
            <w:tcW w:w="284" w:type="pct"/>
            <w:gridSpan w:val="3"/>
            <w:vMerge w:val="restart"/>
            <w:vAlign w:val="center"/>
          </w:tcPr>
          <w:p w:rsidR="004F34D9" w:rsidRPr="00123108" w:rsidRDefault="004F34D9">
            <w:pPr>
              <w:pStyle w:val="aff4"/>
              <w:snapToGrid w:val="0"/>
              <w:spacing w:before="0" w:beforeAutospacing="0" w:after="0" w:afterAutospacing="0"/>
              <w:jc w:val="both"/>
              <w:rPr>
                <w:sz w:val="21"/>
                <w:szCs w:val="21"/>
                <w:lang w:val="en-US" w:eastAsia="zh-CN"/>
              </w:rPr>
            </w:pPr>
            <w:r w:rsidRPr="00123108">
              <w:rPr>
                <w:rStyle w:val="zw1"/>
                <w:sz w:val="21"/>
                <w:szCs w:val="21"/>
                <w:lang w:val="en-US" w:eastAsia="zh-CN"/>
              </w:rPr>
              <w:t>储存安全</w:t>
            </w:r>
          </w:p>
        </w:tc>
        <w:tc>
          <w:tcPr>
            <w:tcW w:w="2389" w:type="pct"/>
            <w:gridSpan w:val="4"/>
            <w:vAlign w:val="center"/>
          </w:tcPr>
          <w:p w:rsidR="004F34D9" w:rsidRPr="00123108" w:rsidRDefault="004F34D9">
            <w:pPr>
              <w:snapToGrid w:val="0"/>
              <w:rPr>
                <w:rFonts w:ascii="宋体" w:hAnsi="宋体"/>
                <w:szCs w:val="21"/>
              </w:rPr>
            </w:pPr>
            <w:r w:rsidRPr="00123108">
              <w:rPr>
                <w:rFonts w:ascii="宋体" w:hAnsi="宋体" w:cs="宋体"/>
                <w:kern w:val="0"/>
                <w:szCs w:val="21"/>
              </w:rPr>
              <w:t>通常加有稳定剂。储存于阴凉、通风仓库内。远离火种、热源。库房温度不宜超过37℃。防止阳光直射。包装要求密封，不可与空气接触。不宜大量或久存。</w:t>
            </w:r>
          </w:p>
        </w:tc>
        <w:tc>
          <w:tcPr>
            <w:tcW w:w="341"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符合</w:t>
            </w:r>
          </w:p>
        </w:tc>
        <w:tc>
          <w:tcPr>
            <w:tcW w:w="1745"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苯乙烯储罐采用内浮顶并进行保温，储存温度小于20℃。</w:t>
            </w:r>
          </w:p>
        </w:tc>
      </w:tr>
      <w:tr w:rsidR="004F34D9" w:rsidRPr="00123108">
        <w:trPr>
          <w:cantSplit/>
          <w:trHeight w:val="653"/>
          <w:jc w:val="center"/>
        </w:trPr>
        <w:tc>
          <w:tcPr>
            <w:tcW w:w="241" w:type="pct"/>
            <w:vMerge/>
            <w:vAlign w:val="center"/>
          </w:tcPr>
          <w:p w:rsidR="004F34D9" w:rsidRPr="00123108" w:rsidRDefault="004F34D9">
            <w:pPr>
              <w:snapToGrid w:val="0"/>
              <w:rPr>
                <w:rFonts w:ascii="宋体" w:hAnsi="宋体"/>
                <w:szCs w:val="21"/>
              </w:rPr>
            </w:pPr>
          </w:p>
        </w:tc>
        <w:tc>
          <w:tcPr>
            <w:tcW w:w="284" w:type="pct"/>
            <w:gridSpan w:val="3"/>
            <w:vMerge/>
            <w:vAlign w:val="center"/>
          </w:tcPr>
          <w:p w:rsidR="004F34D9" w:rsidRPr="00123108" w:rsidRDefault="004F34D9">
            <w:pPr>
              <w:pStyle w:val="aff4"/>
              <w:snapToGrid w:val="0"/>
              <w:spacing w:before="0" w:beforeAutospacing="0" w:after="0" w:afterAutospacing="0"/>
              <w:jc w:val="both"/>
              <w:rPr>
                <w:rStyle w:val="zw1"/>
                <w:sz w:val="21"/>
                <w:szCs w:val="21"/>
                <w:lang w:val="en-US" w:eastAsia="zh-CN"/>
              </w:rPr>
            </w:pPr>
          </w:p>
        </w:tc>
        <w:tc>
          <w:tcPr>
            <w:tcW w:w="2389" w:type="pct"/>
            <w:gridSpan w:val="4"/>
            <w:vAlign w:val="center"/>
          </w:tcPr>
          <w:p w:rsidR="004F34D9" w:rsidRPr="00123108" w:rsidRDefault="004F34D9">
            <w:pPr>
              <w:pStyle w:val="aff4"/>
              <w:snapToGrid w:val="0"/>
              <w:spacing w:before="0" w:beforeAutospacing="0" w:after="0" w:afterAutospacing="0"/>
              <w:jc w:val="both"/>
              <w:rPr>
                <w:rStyle w:val="zw1"/>
                <w:sz w:val="21"/>
                <w:szCs w:val="21"/>
                <w:lang w:val="en-US" w:eastAsia="zh-CN"/>
              </w:rPr>
            </w:pPr>
            <w:r w:rsidRPr="00123108">
              <w:rPr>
                <w:sz w:val="21"/>
                <w:szCs w:val="21"/>
                <w:lang w:val="en-US" w:eastAsia="zh-CN"/>
              </w:rPr>
              <w:t>应与氧化剂、酸类分开存放。储存间内的照明、通风等设施应采用防爆型。罐储时要有防火防爆技术措施。禁止使用易产生火花的机械设备和工具。灌装时应注意流速（不超过3m/s），且有接地装置，防止静电积聚。搬运时要轻装轻卸，防止包装及容器损坏。</w:t>
            </w:r>
          </w:p>
        </w:tc>
        <w:tc>
          <w:tcPr>
            <w:tcW w:w="341"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符合</w:t>
            </w:r>
          </w:p>
        </w:tc>
        <w:tc>
          <w:tcPr>
            <w:tcW w:w="1745"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储罐储存，装卸区已设置静电接地装置，储罐区电气设备均选用防爆型。不涉及灌装及搬运</w:t>
            </w:r>
          </w:p>
        </w:tc>
      </w:tr>
      <w:tr w:rsidR="004F34D9" w:rsidRPr="00123108">
        <w:trPr>
          <w:cantSplit/>
          <w:trHeight w:val="653"/>
          <w:jc w:val="center"/>
        </w:trPr>
        <w:tc>
          <w:tcPr>
            <w:tcW w:w="241" w:type="pct"/>
            <w:vMerge/>
            <w:vAlign w:val="center"/>
          </w:tcPr>
          <w:p w:rsidR="004F34D9" w:rsidRPr="00123108" w:rsidRDefault="004F34D9">
            <w:pPr>
              <w:snapToGrid w:val="0"/>
              <w:rPr>
                <w:rFonts w:ascii="宋体" w:hAnsi="宋体"/>
                <w:szCs w:val="21"/>
              </w:rPr>
            </w:pPr>
          </w:p>
        </w:tc>
        <w:tc>
          <w:tcPr>
            <w:tcW w:w="284" w:type="pct"/>
            <w:gridSpan w:val="3"/>
            <w:vMerge/>
            <w:vAlign w:val="center"/>
          </w:tcPr>
          <w:p w:rsidR="004F34D9" w:rsidRPr="00123108" w:rsidRDefault="004F34D9">
            <w:pPr>
              <w:pStyle w:val="aff4"/>
              <w:snapToGrid w:val="0"/>
              <w:spacing w:before="0" w:beforeAutospacing="0" w:after="0" w:afterAutospacing="0"/>
              <w:jc w:val="both"/>
              <w:rPr>
                <w:rStyle w:val="zw1"/>
                <w:sz w:val="21"/>
                <w:szCs w:val="21"/>
                <w:lang w:val="en-US" w:eastAsia="zh-CN"/>
              </w:rPr>
            </w:pPr>
          </w:p>
        </w:tc>
        <w:tc>
          <w:tcPr>
            <w:tcW w:w="2389" w:type="pct"/>
            <w:gridSpan w:val="4"/>
            <w:vAlign w:val="center"/>
          </w:tcPr>
          <w:p w:rsidR="004F34D9" w:rsidRPr="00123108" w:rsidRDefault="004F34D9">
            <w:pPr>
              <w:pStyle w:val="aff4"/>
              <w:snapToGrid w:val="0"/>
              <w:spacing w:before="0" w:beforeAutospacing="0" w:after="0" w:afterAutospacing="0"/>
              <w:jc w:val="both"/>
              <w:rPr>
                <w:rStyle w:val="zw1"/>
                <w:sz w:val="21"/>
                <w:szCs w:val="21"/>
                <w:lang w:val="en-US" w:eastAsia="zh-CN"/>
              </w:rPr>
            </w:pPr>
            <w:r w:rsidRPr="00123108">
              <w:rPr>
                <w:sz w:val="21"/>
                <w:szCs w:val="21"/>
                <w:lang w:val="en-US" w:eastAsia="zh-CN"/>
              </w:rPr>
              <w:t>储罐宜采用氮封系统或者内浮顶，但采用内浮顶罐储存苯乙烯时应有相应的对策措施防范可能出现的苯乙烯自聚，并确保内浮盘良好的密封性能。生产装置重要岗位如罐区设置工业电视监控。储罐应设固定或移动式消防冷却水系统。</w:t>
            </w:r>
          </w:p>
        </w:tc>
        <w:tc>
          <w:tcPr>
            <w:tcW w:w="341"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符合</w:t>
            </w:r>
          </w:p>
        </w:tc>
        <w:tc>
          <w:tcPr>
            <w:tcW w:w="1745"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苯乙烯储罐采用内浮顶罐、设有氮封，采取防自聚措施包括添加阻聚剂、设有温度报警、储罐设有保温层，设有冷却循环系统。</w:t>
            </w:r>
          </w:p>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储罐区设有工业电视监控。</w:t>
            </w:r>
          </w:p>
          <w:p w:rsidR="004F34D9" w:rsidRPr="00123108" w:rsidRDefault="004F34D9">
            <w:pPr>
              <w:snapToGrid w:val="0"/>
              <w:rPr>
                <w:rFonts w:ascii="宋体" w:hAnsi="宋体"/>
                <w:szCs w:val="21"/>
              </w:rPr>
            </w:pPr>
            <w:r w:rsidRPr="00123108">
              <w:rPr>
                <w:rFonts w:ascii="宋体" w:hAnsi="宋体" w:cs="宋体"/>
                <w:kern w:val="0"/>
                <w:szCs w:val="21"/>
              </w:rPr>
              <w:t>储罐设固定式消防冷却水系统</w:t>
            </w:r>
            <w:r w:rsidRPr="00123108">
              <w:rPr>
                <w:rFonts w:ascii="宋体" w:hAnsi="宋体" w:cs="宋体" w:hint="eastAsia"/>
                <w:kern w:val="0"/>
                <w:szCs w:val="21"/>
              </w:rPr>
              <w:t>及消防喷淋设施，设有泡沫灭火系统</w:t>
            </w:r>
            <w:r w:rsidRPr="00123108">
              <w:rPr>
                <w:rFonts w:ascii="宋体" w:hAnsi="宋体" w:cs="宋体"/>
                <w:kern w:val="0"/>
                <w:szCs w:val="21"/>
              </w:rPr>
              <w:t>。</w:t>
            </w:r>
          </w:p>
        </w:tc>
      </w:tr>
      <w:tr w:rsidR="004F34D9" w:rsidRPr="00123108">
        <w:trPr>
          <w:cantSplit/>
          <w:trHeight w:val="653"/>
          <w:jc w:val="center"/>
        </w:trPr>
        <w:tc>
          <w:tcPr>
            <w:tcW w:w="241" w:type="pct"/>
            <w:vMerge/>
            <w:vAlign w:val="center"/>
          </w:tcPr>
          <w:p w:rsidR="004F34D9" w:rsidRPr="00123108" w:rsidRDefault="004F34D9">
            <w:pPr>
              <w:snapToGrid w:val="0"/>
              <w:rPr>
                <w:rFonts w:ascii="宋体" w:hAnsi="宋体"/>
                <w:szCs w:val="21"/>
              </w:rPr>
            </w:pPr>
          </w:p>
        </w:tc>
        <w:tc>
          <w:tcPr>
            <w:tcW w:w="284" w:type="pct"/>
            <w:gridSpan w:val="3"/>
            <w:vMerge/>
            <w:vAlign w:val="center"/>
          </w:tcPr>
          <w:p w:rsidR="004F34D9" w:rsidRPr="00123108" w:rsidRDefault="004F34D9">
            <w:pPr>
              <w:pStyle w:val="aff4"/>
              <w:snapToGrid w:val="0"/>
              <w:spacing w:before="0" w:beforeAutospacing="0" w:after="0" w:afterAutospacing="0"/>
              <w:jc w:val="both"/>
              <w:rPr>
                <w:rStyle w:val="zw1"/>
                <w:sz w:val="21"/>
                <w:szCs w:val="21"/>
                <w:lang w:val="en-US" w:eastAsia="zh-CN"/>
              </w:rPr>
            </w:pPr>
          </w:p>
        </w:tc>
        <w:tc>
          <w:tcPr>
            <w:tcW w:w="2389" w:type="pct"/>
            <w:gridSpan w:val="4"/>
            <w:vAlign w:val="center"/>
          </w:tcPr>
          <w:p w:rsidR="004F34D9" w:rsidRPr="00123108" w:rsidRDefault="004F34D9">
            <w:pPr>
              <w:pStyle w:val="aff4"/>
              <w:snapToGrid w:val="0"/>
              <w:spacing w:before="0" w:beforeAutospacing="0" w:after="0" w:afterAutospacing="0"/>
              <w:jc w:val="both"/>
              <w:rPr>
                <w:sz w:val="21"/>
                <w:szCs w:val="21"/>
                <w:lang w:val="en-US" w:eastAsia="zh-CN"/>
              </w:rPr>
            </w:pPr>
            <w:r w:rsidRPr="00123108">
              <w:rPr>
                <w:sz w:val="21"/>
                <w:szCs w:val="21"/>
                <w:lang w:val="en-US" w:eastAsia="zh-CN"/>
              </w:rPr>
              <w:t>介质为高温、有毒或强腐蚀性的设备及管线上的压力表与设备之间应有能隔离介质的装置或切断阀。另外，装置中的甲、乙类设备和管道应有惰性气体置换设施。</w:t>
            </w:r>
          </w:p>
        </w:tc>
        <w:tc>
          <w:tcPr>
            <w:tcW w:w="341"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符合</w:t>
            </w:r>
          </w:p>
        </w:tc>
        <w:tc>
          <w:tcPr>
            <w:tcW w:w="1745"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反应釜等设备已设置氮气置换设施。</w:t>
            </w:r>
          </w:p>
        </w:tc>
      </w:tr>
      <w:tr w:rsidR="004F34D9" w:rsidRPr="00123108">
        <w:trPr>
          <w:cantSplit/>
          <w:trHeight w:val="653"/>
          <w:jc w:val="center"/>
        </w:trPr>
        <w:tc>
          <w:tcPr>
            <w:tcW w:w="241" w:type="pct"/>
            <w:vMerge w:val="restart"/>
            <w:vAlign w:val="center"/>
          </w:tcPr>
          <w:p w:rsidR="004F34D9" w:rsidRPr="00123108" w:rsidRDefault="004F34D9">
            <w:pPr>
              <w:snapToGrid w:val="0"/>
              <w:rPr>
                <w:rFonts w:ascii="宋体" w:hAnsi="宋体"/>
                <w:szCs w:val="21"/>
              </w:rPr>
            </w:pPr>
            <w:r w:rsidRPr="00123108">
              <w:rPr>
                <w:rFonts w:ascii="宋体" w:hAnsi="宋体" w:hint="eastAsia"/>
                <w:szCs w:val="21"/>
              </w:rPr>
              <w:lastRenderedPageBreak/>
              <w:t>3</w:t>
            </w:r>
          </w:p>
        </w:tc>
        <w:tc>
          <w:tcPr>
            <w:tcW w:w="284" w:type="pct"/>
            <w:gridSpan w:val="3"/>
            <w:vMerge w:val="restart"/>
            <w:vAlign w:val="center"/>
          </w:tcPr>
          <w:p w:rsidR="004F34D9" w:rsidRPr="00123108" w:rsidRDefault="004F34D9">
            <w:pPr>
              <w:snapToGrid w:val="0"/>
              <w:rPr>
                <w:rFonts w:ascii="宋体" w:hAnsi="宋体"/>
                <w:szCs w:val="21"/>
              </w:rPr>
            </w:pPr>
            <w:r w:rsidRPr="00123108">
              <w:rPr>
                <w:rFonts w:ascii="宋体" w:hAnsi="宋体" w:hint="eastAsia"/>
                <w:szCs w:val="21"/>
              </w:rPr>
              <w:t>运输安全</w:t>
            </w:r>
          </w:p>
        </w:tc>
        <w:tc>
          <w:tcPr>
            <w:tcW w:w="2389" w:type="pct"/>
            <w:gridSpan w:val="4"/>
            <w:vAlign w:val="center"/>
          </w:tcPr>
          <w:p w:rsidR="004F34D9" w:rsidRPr="00123108" w:rsidRDefault="004F34D9">
            <w:pPr>
              <w:snapToGrid w:val="0"/>
              <w:rPr>
                <w:rStyle w:val="zw1"/>
                <w:sz w:val="21"/>
                <w:szCs w:val="21"/>
              </w:rPr>
            </w:pPr>
            <w:r w:rsidRPr="00123108">
              <w:rPr>
                <w:rFonts w:ascii="宋体" w:hAnsi="宋体" w:cs="宋体"/>
                <w:kern w:val="0"/>
                <w:szCs w:val="21"/>
              </w:rPr>
              <w:t>运输车辆应有危险货物运输标志、安装具有行驶记录功能的卫星定位装置。未经公安机关批准，运输车辆不得进入危险化学品运输车辆限制通行的区域。</w:t>
            </w:r>
          </w:p>
        </w:tc>
        <w:tc>
          <w:tcPr>
            <w:tcW w:w="341"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符合</w:t>
            </w:r>
          </w:p>
        </w:tc>
        <w:tc>
          <w:tcPr>
            <w:tcW w:w="1745"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运输车辆具备危险货物运输标志，安装有行驶记录的卫星定位系统。</w:t>
            </w:r>
          </w:p>
        </w:tc>
      </w:tr>
      <w:tr w:rsidR="004F34D9" w:rsidRPr="00123108">
        <w:trPr>
          <w:cantSplit/>
          <w:trHeight w:val="653"/>
          <w:jc w:val="center"/>
        </w:trPr>
        <w:tc>
          <w:tcPr>
            <w:tcW w:w="241" w:type="pct"/>
            <w:vMerge/>
            <w:vAlign w:val="center"/>
          </w:tcPr>
          <w:p w:rsidR="004F34D9" w:rsidRPr="00123108" w:rsidRDefault="004F34D9">
            <w:pPr>
              <w:snapToGrid w:val="0"/>
              <w:rPr>
                <w:rFonts w:ascii="宋体" w:hAnsi="宋体"/>
                <w:szCs w:val="21"/>
              </w:rPr>
            </w:pPr>
          </w:p>
        </w:tc>
        <w:tc>
          <w:tcPr>
            <w:tcW w:w="284" w:type="pct"/>
            <w:gridSpan w:val="3"/>
            <w:vMerge/>
            <w:vAlign w:val="center"/>
          </w:tcPr>
          <w:p w:rsidR="004F34D9" w:rsidRPr="00123108" w:rsidRDefault="004F34D9">
            <w:pPr>
              <w:snapToGrid w:val="0"/>
              <w:rPr>
                <w:rFonts w:ascii="宋体" w:hAnsi="宋体"/>
                <w:szCs w:val="21"/>
              </w:rPr>
            </w:pPr>
          </w:p>
        </w:tc>
        <w:tc>
          <w:tcPr>
            <w:tcW w:w="2389" w:type="pct"/>
            <w:gridSpan w:val="4"/>
            <w:vAlign w:val="center"/>
          </w:tcPr>
          <w:p w:rsidR="004F34D9" w:rsidRPr="00123108" w:rsidRDefault="004F34D9">
            <w:pPr>
              <w:snapToGrid w:val="0"/>
              <w:rPr>
                <w:rStyle w:val="zw1"/>
                <w:sz w:val="21"/>
                <w:szCs w:val="21"/>
              </w:rPr>
            </w:pPr>
            <w:r w:rsidRPr="00123108">
              <w:rPr>
                <w:rFonts w:ascii="宋体" w:hAnsi="宋体" w:cs="宋体"/>
                <w:kern w:val="0"/>
                <w:szCs w:val="21"/>
              </w:rPr>
              <w:t>槽车运输时要用专用槽车。槽车安装的阻火器（火星熄灭器）必须完好。槽车和运输卡车要有导静电拖线；槽车上要备有2只以上干粉或二氧化碳灭火器和防爆工具。</w:t>
            </w:r>
          </w:p>
        </w:tc>
        <w:tc>
          <w:tcPr>
            <w:tcW w:w="341"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符合</w:t>
            </w:r>
          </w:p>
        </w:tc>
        <w:tc>
          <w:tcPr>
            <w:tcW w:w="1745"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专用槽车，配有</w:t>
            </w:r>
            <w:r w:rsidRPr="00123108">
              <w:rPr>
                <w:rFonts w:ascii="宋体" w:hAnsi="宋体" w:cs="宋体"/>
                <w:kern w:val="0"/>
                <w:szCs w:val="21"/>
              </w:rPr>
              <w:t>阻火器（火星熄灭器）</w:t>
            </w:r>
            <w:r w:rsidRPr="00123108">
              <w:rPr>
                <w:rFonts w:ascii="宋体" w:hAnsi="宋体" w:cs="宋体" w:hint="eastAsia"/>
                <w:kern w:val="0"/>
                <w:szCs w:val="21"/>
              </w:rPr>
              <w:t>，现场设有导静电接地夹。</w:t>
            </w:r>
          </w:p>
        </w:tc>
      </w:tr>
      <w:tr w:rsidR="004F34D9" w:rsidRPr="00123108">
        <w:trPr>
          <w:cantSplit/>
          <w:trHeight w:val="1538"/>
          <w:jc w:val="center"/>
        </w:trPr>
        <w:tc>
          <w:tcPr>
            <w:tcW w:w="241" w:type="pct"/>
            <w:vMerge/>
            <w:vAlign w:val="center"/>
          </w:tcPr>
          <w:p w:rsidR="004F34D9" w:rsidRPr="00123108" w:rsidRDefault="004F34D9">
            <w:pPr>
              <w:snapToGrid w:val="0"/>
              <w:rPr>
                <w:rFonts w:ascii="宋体" w:hAnsi="宋体"/>
                <w:szCs w:val="21"/>
              </w:rPr>
            </w:pPr>
          </w:p>
        </w:tc>
        <w:tc>
          <w:tcPr>
            <w:tcW w:w="284" w:type="pct"/>
            <w:gridSpan w:val="3"/>
            <w:vMerge/>
            <w:vAlign w:val="center"/>
          </w:tcPr>
          <w:p w:rsidR="004F34D9" w:rsidRPr="00123108" w:rsidRDefault="004F34D9">
            <w:pPr>
              <w:snapToGrid w:val="0"/>
              <w:rPr>
                <w:rFonts w:ascii="宋体" w:hAnsi="宋体"/>
                <w:szCs w:val="21"/>
              </w:rPr>
            </w:pPr>
          </w:p>
        </w:tc>
        <w:tc>
          <w:tcPr>
            <w:tcW w:w="2389" w:type="pct"/>
            <w:gridSpan w:val="4"/>
            <w:vAlign w:val="center"/>
          </w:tcPr>
          <w:p w:rsidR="004F34D9" w:rsidRPr="00123108" w:rsidRDefault="004F34D9">
            <w:pPr>
              <w:snapToGrid w:val="0"/>
              <w:rPr>
                <w:rStyle w:val="zw1"/>
                <w:sz w:val="21"/>
                <w:szCs w:val="21"/>
              </w:rPr>
            </w:pPr>
            <w:r w:rsidRPr="00123108">
              <w:rPr>
                <w:rFonts w:ascii="宋体" w:hAnsi="宋体" w:cs="宋体"/>
                <w:kern w:val="0"/>
                <w:szCs w:val="21"/>
              </w:rPr>
              <w:t>车辆运输钢瓶时,瓶口一律朝向车辆行驶方向的右方，堆放高度不得超过车辆的防护栏板，并用三角木垫卡牢，防止滚动。不准同车混装有抵触性质的物品和让无关人员搭车。运输途中远离火种，不准在有明火地点或人多地段停车，停车时要有人看管。</w:t>
            </w:r>
          </w:p>
        </w:tc>
        <w:tc>
          <w:tcPr>
            <w:tcW w:w="341" w:type="pct"/>
            <w:gridSpan w:val="2"/>
            <w:vAlign w:val="center"/>
          </w:tcPr>
          <w:p w:rsidR="004F34D9" w:rsidRPr="00123108" w:rsidRDefault="004F34D9">
            <w:pPr>
              <w:snapToGrid w:val="0"/>
              <w:rPr>
                <w:rFonts w:ascii="宋体" w:hAnsi="宋体"/>
                <w:szCs w:val="21"/>
              </w:rPr>
            </w:pPr>
            <w:r w:rsidRPr="00123108">
              <w:rPr>
                <w:rFonts w:ascii="宋体" w:hAnsi="宋体" w:hint="eastAsia"/>
                <w:szCs w:val="21"/>
              </w:rPr>
              <w:t>不涉及</w:t>
            </w:r>
          </w:p>
        </w:tc>
        <w:tc>
          <w:tcPr>
            <w:tcW w:w="1745" w:type="pct"/>
            <w:gridSpan w:val="2"/>
            <w:vAlign w:val="center"/>
          </w:tcPr>
          <w:p w:rsidR="004F34D9" w:rsidRPr="00123108" w:rsidRDefault="004F34D9">
            <w:pPr>
              <w:snapToGrid w:val="0"/>
              <w:rPr>
                <w:rFonts w:ascii="宋体" w:hAnsi="宋体"/>
                <w:szCs w:val="21"/>
              </w:rPr>
            </w:pPr>
          </w:p>
        </w:tc>
      </w:tr>
      <w:tr w:rsidR="004F34D9" w:rsidRPr="00123108">
        <w:trPr>
          <w:cantSplit/>
          <w:trHeight w:val="390"/>
          <w:tblHeader/>
          <w:jc w:val="center"/>
        </w:trPr>
        <w:tc>
          <w:tcPr>
            <w:tcW w:w="2914" w:type="pct"/>
            <w:gridSpan w:val="8"/>
            <w:vAlign w:val="center"/>
          </w:tcPr>
          <w:p w:rsidR="004F34D9" w:rsidRPr="00123108" w:rsidRDefault="004F34D9">
            <w:r w:rsidRPr="00123108">
              <w:rPr>
                <w:rFonts w:hint="eastAsia"/>
              </w:rPr>
              <w:t>重点监控危险化学品</w:t>
            </w:r>
          </w:p>
        </w:tc>
        <w:tc>
          <w:tcPr>
            <w:tcW w:w="2086" w:type="pct"/>
            <w:gridSpan w:val="4"/>
            <w:vAlign w:val="center"/>
          </w:tcPr>
          <w:p w:rsidR="004F34D9" w:rsidRPr="00123108" w:rsidRDefault="004F34D9">
            <w:r w:rsidRPr="00123108">
              <w:rPr>
                <w:rFonts w:hint="eastAsia"/>
              </w:rPr>
              <w:t>过氧化苯甲酰</w:t>
            </w:r>
          </w:p>
        </w:tc>
      </w:tr>
      <w:tr w:rsidR="004F34D9" w:rsidRPr="00123108">
        <w:trPr>
          <w:cantSplit/>
          <w:trHeight w:val="532"/>
          <w:tblHeader/>
          <w:jc w:val="center"/>
        </w:trPr>
        <w:tc>
          <w:tcPr>
            <w:tcW w:w="260" w:type="pct"/>
            <w:gridSpan w:val="2"/>
            <w:vAlign w:val="center"/>
          </w:tcPr>
          <w:p w:rsidR="004F34D9" w:rsidRPr="00123108" w:rsidRDefault="004F34D9">
            <w:r w:rsidRPr="00123108">
              <w:t>序号</w:t>
            </w:r>
          </w:p>
        </w:tc>
        <w:tc>
          <w:tcPr>
            <w:tcW w:w="2654" w:type="pct"/>
            <w:gridSpan w:val="6"/>
            <w:vAlign w:val="center"/>
          </w:tcPr>
          <w:p w:rsidR="004F34D9" w:rsidRPr="00123108" w:rsidRDefault="004F34D9">
            <w:r w:rsidRPr="00123108">
              <w:rPr>
                <w:rFonts w:hint="eastAsia"/>
              </w:rPr>
              <w:t>名</w:t>
            </w:r>
            <w:r w:rsidRPr="00123108">
              <w:rPr>
                <w:rFonts w:hint="eastAsia"/>
              </w:rPr>
              <w:t xml:space="preserve">  </w:t>
            </w:r>
            <w:r w:rsidRPr="00123108">
              <w:rPr>
                <w:rFonts w:hint="eastAsia"/>
              </w:rPr>
              <w:t>称</w:t>
            </w:r>
          </w:p>
        </w:tc>
        <w:tc>
          <w:tcPr>
            <w:tcW w:w="341" w:type="pct"/>
            <w:gridSpan w:val="2"/>
            <w:vAlign w:val="center"/>
          </w:tcPr>
          <w:p w:rsidR="004F34D9" w:rsidRPr="00123108" w:rsidRDefault="004F34D9">
            <w:r w:rsidRPr="00123108">
              <w:t>检查</w:t>
            </w:r>
            <w:r w:rsidRPr="00123108">
              <w:rPr>
                <w:rFonts w:hint="eastAsia"/>
              </w:rPr>
              <w:t xml:space="preserve"> </w:t>
            </w:r>
            <w:r w:rsidRPr="00123108">
              <w:t>结果</w:t>
            </w:r>
          </w:p>
        </w:tc>
        <w:tc>
          <w:tcPr>
            <w:tcW w:w="1745" w:type="pct"/>
            <w:gridSpan w:val="2"/>
            <w:vAlign w:val="center"/>
          </w:tcPr>
          <w:p w:rsidR="004F34D9" w:rsidRPr="00123108" w:rsidRDefault="004F34D9">
            <w:r w:rsidRPr="00123108">
              <w:rPr>
                <w:rFonts w:hint="eastAsia"/>
              </w:rPr>
              <w:t>实际情况说明</w:t>
            </w:r>
          </w:p>
        </w:tc>
      </w:tr>
      <w:tr w:rsidR="004F34D9" w:rsidRPr="00123108">
        <w:trPr>
          <w:cantSplit/>
          <w:trHeight w:val="373"/>
          <w:jc w:val="center"/>
        </w:trPr>
        <w:tc>
          <w:tcPr>
            <w:tcW w:w="260" w:type="pct"/>
            <w:gridSpan w:val="2"/>
            <w:vAlign w:val="center"/>
          </w:tcPr>
          <w:p w:rsidR="004F34D9" w:rsidRPr="00123108" w:rsidRDefault="004F34D9">
            <w:r w:rsidRPr="00123108">
              <w:t>一</w:t>
            </w:r>
          </w:p>
        </w:tc>
        <w:tc>
          <w:tcPr>
            <w:tcW w:w="4740" w:type="pct"/>
            <w:gridSpan w:val="10"/>
            <w:vAlign w:val="center"/>
          </w:tcPr>
          <w:p w:rsidR="004F34D9" w:rsidRPr="00123108" w:rsidRDefault="004F34D9">
            <w:r w:rsidRPr="00123108">
              <w:rPr>
                <w:rFonts w:hint="eastAsia"/>
              </w:rPr>
              <w:t>安全措施一般要求</w:t>
            </w:r>
          </w:p>
        </w:tc>
      </w:tr>
      <w:tr w:rsidR="004F34D9" w:rsidRPr="00123108">
        <w:trPr>
          <w:cantSplit/>
          <w:trHeight w:val="510"/>
          <w:jc w:val="center"/>
        </w:trPr>
        <w:tc>
          <w:tcPr>
            <w:tcW w:w="260" w:type="pct"/>
            <w:gridSpan w:val="2"/>
            <w:vAlign w:val="center"/>
          </w:tcPr>
          <w:p w:rsidR="004F34D9" w:rsidRPr="00123108" w:rsidRDefault="004F34D9">
            <w:r w:rsidRPr="00123108">
              <w:rPr>
                <w:rFonts w:hint="eastAsia"/>
              </w:rPr>
              <w:t>1</w:t>
            </w:r>
          </w:p>
        </w:tc>
        <w:tc>
          <w:tcPr>
            <w:tcW w:w="2654" w:type="pct"/>
            <w:gridSpan w:val="6"/>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操作人员必须经过专门培训，严格遵守操作规程，熟练掌握操作技能，具备应急处置知识。</w:t>
            </w:r>
          </w:p>
        </w:tc>
        <w:tc>
          <w:tcPr>
            <w:tcW w:w="341" w:type="pct"/>
            <w:gridSpan w:val="2"/>
            <w:vAlign w:val="center"/>
          </w:tcPr>
          <w:p w:rsidR="004F34D9" w:rsidRPr="00123108" w:rsidRDefault="004F34D9">
            <w:pPr>
              <w:rPr>
                <w:rFonts w:ascii="宋体" w:hAnsi="宋体" w:cs="宋体"/>
                <w:kern w:val="0"/>
                <w:szCs w:val="21"/>
              </w:rPr>
            </w:pPr>
            <w:r w:rsidRPr="00123108">
              <w:rPr>
                <w:rFonts w:ascii="宋体" w:hAnsi="宋体" w:cs="宋体" w:hint="eastAsia"/>
                <w:kern w:val="0"/>
                <w:szCs w:val="21"/>
              </w:rPr>
              <w:t>符合</w:t>
            </w:r>
          </w:p>
        </w:tc>
        <w:tc>
          <w:tcPr>
            <w:tcW w:w="1745" w:type="pct"/>
            <w:gridSpan w:val="2"/>
            <w:vAlign w:val="center"/>
          </w:tcPr>
          <w:p w:rsidR="004F34D9" w:rsidRPr="00123108" w:rsidRDefault="004F34D9">
            <w:pPr>
              <w:rPr>
                <w:rFonts w:ascii="宋体" w:hAnsi="宋体" w:cs="宋体"/>
                <w:kern w:val="0"/>
                <w:szCs w:val="21"/>
              </w:rPr>
            </w:pPr>
            <w:r w:rsidRPr="00123108">
              <w:rPr>
                <w:rFonts w:ascii="宋体" w:hAnsi="宋体" w:cs="宋体" w:hint="eastAsia"/>
                <w:kern w:val="0"/>
                <w:szCs w:val="21"/>
              </w:rPr>
              <w:t>操作人员已参加完成危险化学品操作的培训，技能娴熟，具备一定应急处置的知识和能力</w:t>
            </w:r>
          </w:p>
        </w:tc>
      </w:tr>
      <w:tr w:rsidR="004F34D9" w:rsidRPr="00123108">
        <w:trPr>
          <w:cantSplit/>
          <w:trHeight w:val="392"/>
          <w:jc w:val="center"/>
        </w:trPr>
        <w:tc>
          <w:tcPr>
            <w:tcW w:w="260" w:type="pct"/>
            <w:gridSpan w:val="2"/>
            <w:vAlign w:val="center"/>
          </w:tcPr>
          <w:p w:rsidR="004F34D9" w:rsidRPr="00123108" w:rsidRDefault="004F34D9">
            <w:r w:rsidRPr="00123108">
              <w:rPr>
                <w:rFonts w:hint="eastAsia"/>
              </w:rPr>
              <w:t>2</w:t>
            </w:r>
          </w:p>
        </w:tc>
        <w:tc>
          <w:tcPr>
            <w:tcW w:w="2654" w:type="pct"/>
            <w:gridSpan w:val="6"/>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生产过程密闭，加强通风。使用防爆型的通风系统和设备，提供安全淋浴和洗眼设备。可能接触其粉尘时，建议佩戴自吸过滤式防尘口罩。戴化学安全防护眼镜，戴橡胶手套。工作业现场禁止吸烟、进食和饮水。</w:t>
            </w:r>
          </w:p>
        </w:tc>
        <w:tc>
          <w:tcPr>
            <w:tcW w:w="341" w:type="pct"/>
            <w:gridSpan w:val="2"/>
            <w:vAlign w:val="center"/>
          </w:tcPr>
          <w:p w:rsidR="004F34D9" w:rsidRPr="00123108" w:rsidRDefault="004F34D9">
            <w:pPr>
              <w:rPr>
                <w:rFonts w:ascii="宋体" w:hAnsi="宋体" w:cs="宋体"/>
                <w:kern w:val="0"/>
                <w:szCs w:val="21"/>
              </w:rPr>
            </w:pPr>
            <w:r w:rsidRPr="00123108">
              <w:rPr>
                <w:rFonts w:ascii="宋体" w:hAnsi="宋体" w:cs="宋体" w:hint="eastAsia"/>
                <w:kern w:val="0"/>
                <w:szCs w:val="21"/>
              </w:rPr>
              <w:t>符合</w:t>
            </w:r>
          </w:p>
        </w:tc>
        <w:tc>
          <w:tcPr>
            <w:tcW w:w="1745" w:type="pct"/>
            <w:gridSpan w:val="2"/>
            <w:vAlign w:val="center"/>
          </w:tcPr>
          <w:p w:rsidR="004F34D9" w:rsidRPr="00123108" w:rsidRDefault="004F34D9">
            <w:pPr>
              <w:rPr>
                <w:rFonts w:ascii="宋体" w:hAnsi="宋体" w:cs="宋体"/>
                <w:kern w:val="0"/>
                <w:szCs w:val="21"/>
              </w:rPr>
            </w:pPr>
            <w:r w:rsidRPr="00123108">
              <w:rPr>
                <w:rFonts w:ascii="宋体" w:hAnsi="宋体" w:cs="宋体" w:hint="eastAsia"/>
                <w:kern w:val="0"/>
                <w:szCs w:val="21"/>
              </w:rPr>
              <w:t>密闭操作，聚合车间设有通风装置，电气防爆。</w:t>
            </w:r>
          </w:p>
        </w:tc>
      </w:tr>
      <w:tr w:rsidR="004F34D9" w:rsidRPr="00123108">
        <w:trPr>
          <w:cantSplit/>
          <w:trHeight w:val="510"/>
          <w:jc w:val="center"/>
        </w:trPr>
        <w:tc>
          <w:tcPr>
            <w:tcW w:w="260" w:type="pct"/>
            <w:gridSpan w:val="2"/>
            <w:vAlign w:val="center"/>
          </w:tcPr>
          <w:p w:rsidR="004F34D9" w:rsidRPr="00123108" w:rsidRDefault="004F34D9">
            <w:r w:rsidRPr="00123108">
              <w:rPr>
                <w:rFonts w:hint="eastAsia"/>
              </w:rPr>
              <w:t>3</w:t>
            </w:r>
          </w:p>
        </w:tc>
        <w:tc>
          <w:tcPr>
            <w:tcW w:w="2654" w:type="pct"/>
            <w:gridSpan w:val="6"/>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远离火种、热源。应与禁配物分开存放，切忌混储。</w:t>
            </w:r>
          </w:p>
        </w:tc>
        <w:tc>
          <w:tcPr>
            <w:tcW w:w="341"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符合</w:t>
            </w:r>
          </w:p>
        </w:tc>
        <w:tc>
          <w:tcPr>
            <w:tcW w:w="1745"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过氧化物冷库单独储存</w:t>
            </w:r>
          </w:p>
        </w:tc>
      </w:tr>
      <w:tr w:rsidR="004F34D9" w:rsidRPr="00123108">
        <w:trPr>
          <w:cantSplit/>
          <w:trHeight w:val="510"/>
          <w:jc w:val="center"/>
        </w:trPr>
        <w:tc>
          <w:tcPr>
            <w:tcW w:w="260" w:type="pct"/>
            <w:gridSpan w:val="2"/>
            <w:vAlign w:val="center"/>
          </w:tcPr>
          <w:p w:rsidR="004F34D9" w:rsidRPr="00123108" w:rsidRDefault="004F34D9">
            <w:r w:rsidRPr="00123108">
              <w:rPr>
                <w:rFonts w:hint="eastAsia"/>
              </w:rPr>
              <w:t>4</w:t>
            </w:r>
          </w:p>
        </w:tc>
        <w:tc>
          <w:tcPr>
            <w:tcW w:w="2654" w:type="pct"/>
            <w:gridSpan w:val="6"/>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生产、储存区域应设置安全警示标志。禁止震动、撞击和摩擦。配备相应品种和数量的消防器材及泄漏应急处理设备。</w:t>
            </w:r>
          </w:p>
        </w:tc>
        <w:tc>
          <w:tcPr>
            <w:tcW w:w="341"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不符合</w:t>
            </w:r>
          </w:p>
        </w:tc>
        <w:tc>
          <w:tcPr>
            <w:tcW w:w="1745"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储存、生产场所缺少</w:t>
            </w:r>
            <w:r w:rsidRPr="00123108">
              <w:rPr>
                <w:rFonts w:ascii="宋体" w:hAnsi="宋体" w:cs="宋体"/>
                <w:kern w:val="0"/>
                <w:szCs w:val="21"/>
              </w:rPr>
              <w:t>禁止震动、撞击和摩擦</w:t>
            </w:r>
            <w:r w:rsidRPr="00123108">
              <w:rPr>
                <w:rFonts w:ascii="宋体" w:hAnsi="宋体" w:cs="宋体" w:hint="eastAsia"/>
                <w:kern w:val="0"/>
                <w:szCs w:val="21"/>
              </w:rPr>
              <w:t>的警示标志；配备安全警示标志，配备消防器材</w:t>
            </w:r>
            <w:r w:rsidRPr="00123108">
              <w:rPr>
                <w:rFonts w:ascii="宋体" w:hAnsi="宋体" w:cs="宋体"/>
                <w:kern w:val="0"/>
                <w:szCs w:val="21"/>
              </w:rPr>
              <w:t>。</w:t>
            </w:r>
          </w:p>
        </w:tc>
      </w:tr>
      <w:tr w:rsidR="004F34D9" w:rsidRPr="00123108">
        <w:trPr>
          <w:cantSplit/>
          <w:trHeight w:val="510"/>
          <w:jc w:val="center"/>
        </w:trPr>
        <w:tc>
          <w:tcPr>
            <w:tcW w:w="260" w:type="pct"/>
            <w:gridSpan w:val="2"/>
            <w:vAlign w:val="center"/>
          </w:tcPr>
          <w:p w:rsidR="004F34D9" w:rsidRPr="00123108" w:rsidRDefault="004F34D9">
            <w:r w:rsidRPr="00123108">
              <w:rPr>
                <w:rFonts w:hint="eastAsia"/>
              </w:rPr>
              <w:t>5</w:t>
            </w:r>
          </w:p>
        </w:tc>
        <w:tc>
          <w:tcPr>
            <w:tcW w:w="2654" w:type="pct"/>
            <w:gridSpan w:val="6"/>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采用湿法粉碎工艺时，应待物料全部浸湿后方可开机；当采用金属球和金属球磨筒方式进行粉碎时，宜用水或含水溶剂作为介质。粉碎混合加工过程中应设置自动导出静电的装置，出料时应将接料车和出料器用导线可靠连接并整体接地。</w:t>
            </w:r>
          </w:p>
        </w:tc>
        <w:tc>
          <w:tcPr>
            <w:tcW w:w="341" w:type="pct"/>
            <w:gridSpan w:val="2"/>
            <w:vAlign w:val="center"/>
          </w:tcPr>
          <w:p w:rsidR="004F34D9" w:rsidRPr="00123108" w:rsidRDefault="004F34D9">
            <w:r w:rsidRPr="00123108">
              <w:rPr>
                <w:rFonts w:hint="eastAsia"/>
              </w:rPr>
              <w:t>不涉及</w:t>
            </w:r>
          </w:p>
        </w:tc>
        <w:tc>
          <w:tcPr>
            <w:tcW w:w="1745" w:type="pct"/>
            <w:gridSpan w:val="2"/>
            <w:vAlign w:val="center"/>
          </w:tcPr>
          <w:p w:rsidR="004F34D9" w:rsidRPr="00123108" w:rsidRDefault="004F34D9"/>
        </w:tc>
      </w:tr>
      <w:tr w:rsidR="004F34D9" w:rsidRPr="00123108">
        <w:trPr>
          <w:cantSplit/>
          <w:trHeight w:val="510"/>
          <w:jc w:val="center"/>
        </w:trPr>
        <w:tc>
          <w:tcPr>
            <w:tcW w:w="260" w:type="pct"/>
            <w:gridSpan w:val="2"/>
            <w:vAlign w:val="center"/>
          </w:tcPr>
          <w:p w:rsidR="004F34D9" w:rsidRPr="00123108" w:rsidRDefault="004F34D9">
            <w:r w:rsidRPr="00123108">
              <w:rPr>
                <w:rFonts w:hint="eastAsia"/>
              </w:rPr>
              <w:t>6</w:t>
            </w:r>
          </w:p>
        </w:tc>
        <w:tc>
          <w:tcPr>
            <w:tcW w:w="2654" w:type="pct"/>
            <w:gridSpan w:val="6"/>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生产过程中易引起燃烧爆炸的机械化作业应设置自动报警、自动停机、自动泄爆、自动雨淋等安全自控装置；自动化生产线的单机设备除有自动控制系统监控外，在现场还应设置应急控制操作装置。</w:t>
            </w:r>
          </w:p>
        </w:tc>
        <w:tc>
          <w:tcPr>
            <w:tcW w:w="341" w:type="pct"/>
            <w:gridSpan w:val="2"/>
            <w:vAlign w:val="center"/>
          </w:tcPr>
          <w:p w:rsidR="004F34D9" w:rsidRPr="00123108" w:rsidRDefault="004F34D9">
            <w:r w:rsidRPr="00123108">
              <w:rPr>
                <w:rFonts w:hint="eastAsia"/>
              </w:rPr>
              <w:t>不涉及</w:t>
            </w:r>
          </w:p>
        </w:tc>
        <w:tc>
          <w:tcPr>
            <w:tcW w:w="1745" w:type="pct"/>
            <w:gridSpan w:val="2"/>
            <w:vAlign w:val="center"/>
          </w:tcPr>
          <w:p w:rsidR="004F34D9" w:rsidRPr="00123108" w:rsidRDefault="004F34D9"/>
        </w:tc>
      </w:tr>
      <w:tr w:rsidR="004F34D9" w:rsidRPr="00123108">
        <w:trPr>
          <w:cantSplit/>
          <w:trHeight w:val="510"/>
          <w:jc w:val="center"/>
        </w:trPr>
        <w:tc>
          <w:tcPr>
            <w:tcW w:w="260" w:type="pct"/>
            <w:gridSpan w:val="2"/>
            <w:vAlign w:val="center"/>
          </w:tcPr>
          <w:p w:rsidR="004F34D9" w:rsidRPr="00123108" w:rsidRDefault="004F34D9">
            <w:r w:rsidRPr="00123108">
              <w:rPr>
                <w:rFonts w:hint="eastAsia"/>
              </w:rPr>
              <w:t>7</w:t>
            </w:r>
          </w:p>
        </w:tc>
        <w:tc>
          <w:tcPr>
            <w:tcW w:w="2654" w:type="pct"/>
            <w:gridSpan w:val="6"/>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生产过程中产生的不合格品和废品应隔离存放、及时处理；内包装材料应统一回收存放在远离热源的场所，并及时销毁。</w:t>
            </w:r>
          </w:p>
        </w:tc>
        <w:tc>
          <w:tcPr>
            <w:tcW w:w="341" w:type="pct"/>
            <w:gridSpan w:val="2"/>
            <w:vAlign w:val="center"/>
          </w:tcPr>
          <w:p w:rsidR="004F34D9" w:rsidRPr="00123108" w:rsidRDefault="004F34D9">
            <w:r w:rsidRPr="00123108">
              <w:rPr>
                <w:rFonts w:hint="eastAsia"/>
              </w:rPr>
              <w:t>不涉及</w:t>
            </w:r>
          </w:p>
        </w:tc>
        <w:tc>
          <w:tcPr>
            <w:tcW w:w="1745" w:type="pct"/>
            <w:gridSpan w:val="2"/>
            <w:vAlign w:val="center"/>
          </w:tcPr>
          <w:p w:rsidR="004F34D9" w:rsidRPr="00123108" w:rsidRDefault="004F34D9"/>
        </w:tc>
      </w:tr>
      <w:tr w:rsidR="004F34D9" w:rsidRPr="00123108">
        <w:trPr>
          <w:cantSplit/>
          <w:trHeight w:val="297"/>
          <w:jc w:val="center"/>
        </w:trPr>
        <w:tc>
          <w:tcPr>
            <w:tcW w:w="260" w:type="pct"/>
            <w:gridSpan w:val="2"/>
            <w:vAlign w:val="center"/>
          </w:tcPr>
          <w:p w:rsidR="004F34D9" w:rsidRPr="00123108" w:rsidRDefault="004F34D9">
            <w:r w:rsidRPr="00123108">
              <w:rPr>
                <w:rFonts w:hint="eastAsia"/>
              </w:rPr>
              <w:t>二</w:t>
            </w:r>
          </w:p>
        </w:tc>
        <w:tc>
          <w:tcPr>
            <w:tcW w:w="4740" w:type="pct"/>
            <w:gridSpan w:val="10"/>
            <w:vAlign w:val="center"/>
          </w:tcPr>
          <w:p w:rsidR="004F34D9" w:rsidRPr="00123108" w:rsidRDefault="004F34D9">
            <w:r w:rsidRPr="00123108">
              <w:rPr>
                <w:rFonts w:hint="eastAsia"/>
              </w:rPr>
              <w:t>安全措施特殊要求</w:t>
            </w:r>
          </w:p>
        </w:tc>
      </w:tr>
      <w:tr w:rsidR="004F34D9" w:rsidRPr="00123108">
        <w:trPr>
          <w:cantSplit/>
          <w:trHeight w:val="510"/>
          <w:jc w:val="center"/>
        </w:trPr>
        <w:tc>
          <w:tcPr>
            <w:tcW w:w="260" w:type="pct"/>
            <w:gridSpan w:val="2"/>
            <w:vMerge w:val="restart"/>
            <w:vAlign w:val="center"/>
          </w:tcPr>
          <w:p w:rsidR="004F34D9" w:rsidRPr="00123108" w:rsidRDefault="004F34D9">
            <w:r w:rsidRPr="00123108">
              <w:rPr>
                <w:rFonts w:hint="eastAsia"/>
              </w:rPr>
              <w:t>1</w:t>
            </w:r>
          </w:p>
        </w:tc>
        <w:tc>
          <w:tcPr>
            <w:tcW w:w="312" w:type="pct"/>
            <w:gridSpan w:val="3"/>
            <w:vMerge w:val="restart"/>
            <w:vAlign w:val="center"/>
          </w:tcPr>
          <w:p w:rsidR="004F34D9" w:rsidRPr="00123108" w:rsidRDefault="004F34D9">
            <w:r w:rsidRPr="00123108">
              <w:t>操作安全</w:t>
            </w:r>
          </w:p>
        </w:tc>
        <w:tc>
          <w:tcPr>
            <w:tcW w:w="2342" w:type="pct"/>
            <w:gridSpan w:val="3"/>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可能接触粉尘时，操作人员佩戴自吸过滤式防尘口罩，戴化学安全防护眼镜，穿防静电工作服，戴橡胶手套。</w:t>
            </w:r>
          </w:p>
        </w:tc>
        <w:tc>
          <w:tcPr>
            <w:tcW w:w="341"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符合</w:t>
            </w:r>
          </w:p>
        </w:tc>
        <w:tc>
          <w:tcPr>
            <w:tcW w:w="1745"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含25%水的颗粒。配备</w:t>
            </w:r>
            <w:r w:rsidRPr="00123108">
              <w:rPr>
                <w:rFonts w:ascii="宋体" w:hAnsi="宋体" w:cs="宋体"/>
                <w:kern w:val="0"/>
                <w:szCs w:val="21"/>
              </w:rPr>
              <w:t>自吸过滤式防尘口罩</w:t>
            </w:r>
            <w:r w:rsidRPr="00123108">
              <w:rPr>
                <w:rFonts w:ascii="宋体" w:hAnsi="宋体" w:cs="宋体" w:hint="eastAsia"/>
                <w:kern w:val="0"/>
                <w:szCs w:val="21"/>
              </w:rPr>
              <w:t>、</w:t>
            </w:r>
            <w:r w:rsidRPr="00123108">
              <w:rPr>
                <w:rFonts w:ascii="宋体" w:hAnsi="宋体" w:cs="宋体"/>
                <w:kern w:val="0"/>
                <w:szCs w:val="21"/>
              </w:rPr>
              <w:t>化学安全防护眼镜</w:t>
            </w:r>
            <w:r w:rsidRPr="00123108">
              <w:rPr>
                <w:rFonts w:ascii="宋体" w:hAnsi="宋体" w:cs="宋体" w:hint="eastAsia"/>
                <w:kern w:val="0"/>
                <w:szCs w:val="21"/>
              </w:rPr>
              <w:t>、</w:t>
            </w:r>
            <w:r w:rsidRPr="00123108">
              <w:rPr>
                <w:rFonts w:ascii="宋体" w:hAnsi="宋体" w:cs="宋体"/>
                <w:kern w:val="0"/>
                <w:szCs w:val="21"/>
              </w:rPr>
              <w:t>防静电工作服</w:t>
            </w:r>
            <w:r w:rsidRPr="00123108">
              <w:rPr>
                <w:rFonts w:ascii="宋体" w:hAnsi="宋体" w:cs="宋体" w:hint="eastAsia"/>
                <w:kern w:val="0"/>
                <w:szCs w:val="21"/>
              </w:rPr>
              <w:t>、</w:t>
            </w:r>
            <w:r w:rsidRPr="00123108">
              <w:rPr>
                <w:rFonts w:ascii="宋体" w:hAnsi="宋体" w:cs="宋体"/>
                <w:kern w:val="0"/>
                <w:szCs w:val="21"/>
              </w:rPr>
              <w:t>戴橡胶手套。</w:t>
            </w:r>
          </w:p>
        </w:tc>
      </w:tr>
      <w:tr w:rsidR="004F34D9" w:rsidRPr="00123108">
        <w:trPr>
          <w:cantSplit/>
          <w:trHeight w:val="510"/>
          <w:jc w:val="center"/>
        </w:trPr>
        <w:tc>
          <w:tcPr>
            <w:tcW w:w="260" w:type="pct"/>
            <w:gridSpan w:val="2"/>
            <w:vMerge/>
            <w:vAlign w:val="center"/>
          </w:tcPr>
          <w:p w:rsidR="004F34D9" w:rsidRPr="00123108" w:rsidRDefault="004F34D9"/>
        </w:tc>
        <w:tc>
          <w:tcPr>
            <w:tcW w:w="312" w:type="pct"/>
            <w:gridSpan w:val="3"/>
            <w:vMerge/>
            <w:vAlign w:val="center"/>
          </w:tcPr>
          <w:p w:rsidR="004F34D9" w:rsidRPr="00123108" w:rsidRDefault="004F34D9"/>
        </w:tc>
        <w:tc>
          <w:tcPr>
            <w:tcW w:w="2342" w:type="pct"/>
            <w:gridSpan w:val="3"/>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避免产生粉尘。避免与强酸、强碱、硫化物、还原剂、促进剂、胺类、金属烷基酸盐接触。搬运时要轻装轻卸，防止包装及容器损坏。配备相应品种和数量的消防器材及泄漏应急处理设备。</w:t>
            </w:r>
          </w:p>
        </w:tc>
        <w:tc>
          <w:tcPr>
            <w:tcW w:w="341"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符合</w:t>
            </w:r>
          </w:p>
        </w:tc>
        <w:tc>
          <w:tcPr>
            <w:tcW w:w="1745"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单独存放、不与其它物料接触，配备消防器材</w:t>
            </w:r>
          </w:p>
        </w:tc>
      </w:tr>
      <w:tr w:rsidR="004F34D9" w:rsidRPr="00123108">
        <w:trPr>
          <w:cantSplit/>
          <w:trHeight w:val="510"/>
          <w:jc w:val="center"/>
        </w:trPr>
        <w:tc>
          <w:tcPr>
            <w:tcW w:w="260" w:type="pct"/>
            <w:gridSpan w:val="2"/>
            <w:vMerge/>
            <w:vAlign w:val="center"/>
          </w:tcPr>
          <w:p w:rsidR="004F34D9" w:rsidRPr="00123108" w:rsidRDefault="004F34D9"/>
        </w:tc>
        <w:tc>
          <w:tcPr>
            <w:tcW w:w="312" w:type="pct"/>
            <w:gridSpan w:val="3"/>
            <w:vMerge/>
            <w:vAlign w:val="center"/>
          </w:tcPr>
          <w:p w:rsidR="004F34D9" w:rsidRPr="00123108" w:rsidRDefault="004F34D9"/>
        </w:tc>
        <w:tc>
          <w:tcPr>
            <w:tcW w:w="2342" w:type="pct"/>
            <w:gridSpan w:val="3"/>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生产过程中需用热媒加热或加工过程中可能引起物料温升的作业点，均应设置温度检测仪器并采取温控措施。</w:t>
            </w:r>
          </w:p>
        </w:tc>
        <w:tc>
          <w:tcPr>
            <w:tcW w:w="341"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符合</w:t>
            </w:r>
          </w:p>
        </w:tc>
        <w:tc>
          <w:tcPr>
            <w:tcW w:w="1745"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反应釜设温度检测仪器并接入DCS</w:t>
            </w:r>
            <w:r w:rsidRPr="00123108">
              <w:rPr>
                <w:rFonts w:ascii="宋体" w:hAnsi="宋体" w:cs="宋体"/>
                <w:kern w:val="0"/>
                <w:szCs w:val="21"/>
              </w:rPr>
              <w:t>。</w:t>
            </w:r>
          </w:p>
        </w:tc>
      </w:tr>
      <w:tr w:rsidR="004F34D9" w:rsidRPr="00123108">
        <w:trPr>
          <w:cantSplit/>
          <w:trHeight w:val="653"/>
          <w:jc w:val="center"/>
        </w:trPr>
        <w:tc>
          <w:tcPr>
            <w:tcW w:w="260" w:type="pct"/>
            <w:gridSpan w:val="2"/>
            <w:vMerge w:val="restart"/>
            <w:vAlign w:val="center"/>
          </w:tcPr>
          <w:p w:rsidR="004F34D9" w:rsidRPr="00123108" w:rsidRDefault="004F34D9">
            <w:r w:rsidRPr="00123108">
              <w:rPr>
                <w:rFonts w:hint="eastAsia"/>
              </w:rPr>
              <w:t>2</w:t>
            </w:r>
          </w:p>
        </w:tc>
        <w:tc>
          <w:tcPr>
            <w:tcW w:w="312" w:type="pct"/>
            <w:gridSpan w:val="3"/>
            <w:vMerge w:val="restart"/>
            <w:vAlign w:val="center"/>
          </w:tcPr>
          <w:p w:rsidR="004F34D9" w:rsidRPr="00123108" w:rsidRDefault="004F34D9">
            <w:r w:rsidRPr="00123108">
              <w:t>储存安全</w:t>
            </w:r>
          </w:p>
        </w:tc>
        <w:tc>
          <w:tcPr>
            <w:tcW w:w="2342" w:type="pct"/>
            <w:gridSpan w:val="3"/>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储存时以水作稳定剂，一般含水30%。储存于阴凉、通风的库房。远离火种、热源，避免阳光直射。库房温度保持在2-25</w:t>
            </w:r>
            <w:r w:rsidRPr="00123108">
              <w:rPr>
                <w:rFonts w:ascii="宋体" w:hAnsi="宋体" w:cs="宋体" w:hint="eastAsia"/>
                <w:kern w:val="0"/>
                <w:szCs w:val="21"/>
              </w:rPr>
              <w:t>℃</w:t>
            </w:r>
            <w:r w:rsidRPr="00123108">
              <w:rPr>
                <w:rFonts w:ascii="宋体" w:hAnsi="宋体" w:cs="宋体"/>
                <w:kern w:val="0"/>
                <w:szCs w:val="21"/>
              </w:rPr>
              <w:t>。</w:t>
            </w:r>
          </w:p>
        </w:tc>
        <w:tc>
          <w:tcPr>
            <w:tcW w:w="341"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符合</w:t>
            </w:r>
          </w:p>
        </w:tc>
        <w:tc>
          <w:tcPr>
            <w:tcW w:w="1745"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根据供货商提供的MSDS，储存温度不超过28℃</w:t>
            </w:r>
          </w:p>
        </w:tc>
      </w:tr>
      <w:tr w:rsidR="004F34D9" w:rsidRPr="00123108">
        <w:trPr>
          <w:cantSplit/>
          <w:trHeight w:val="653"/>
          <w:jc w:val="center"/>
        </w:trPr>
        <w:tc>
          <w:tcPr>
            <w:tcW w:w="260" w:type="pct"/>
            <w:gridSpan w:val="2"/>
            <w:vMerge/>
            <w:vAlign w:val="center"/>
          </w:tcPr>
          <w:p w:rsidR="004F34D9" w:rsidRPr="00123108" w:rsidRDefault="004F34D9"/>
        </w:tc>
        <w:tc>
          <w:tcPr>
            <w:tcW w:w="312" w:type="pct"/>
            <w:gridSpan w:val="3"/>
            <w:vMerge/>
            <w:vAlign w:val="center"/>
          </w:tcPr>
          <w:p w:rsidR="004F34D9" w:rsidRPr="00123108" w:rsidRDefault="004F34D9"/>
        </w:tc>
        <w:tc>
          <w:tcPr>
            <w:tcW w:w="2342" w:type="pct"/>
            <w:gridSpan w:val="3"/>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应与还原剂、促进剂、强酸、胺、有机物、易（可）燃物分开存放，切忌混储。储存区应备有合适的材料收容泄漏物。禁止震动、撞击和摩擦。禁止使用易产生火花的机械设备和工具。</w:t>
            </w:r>
          </w:p>
        </w:tc>
        <w:tc>
          <w:tcPr>
            <w:tcW w:w="341"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符合</w:t>
            </w:r>
          </w:p>
        </w:tc>
        <w:tc>
          <w:tcPr>
            <w:tcW w:w="1745"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冷库独立储存</w:t>
            </w:r>
          </w:p>
        </w:tc>
      </w:tr>
      <w:tr w:rsidR="004F34D9" w:rsidRPr="00123108">
        <w:trPr>
          <w:cantSplit/>
          <w:trHeight w:val="653"/>
          <w:jc w:val="center"/>
        </w:trPr>
        <w:tc>
          <w:tcPr>
            <w:tcW w:w="260" w:type="pct"/>
            <w:gridSpan w:val="2"/>
            <w:vMerge w:val="restart"/>
            <w:vAlign w:val="center"/>
          </w:tcPr>
          <w:p w:rsidR="004F34D9" w:rsidRPr="00123108" w:rsidRDefault="004F34D9">
            <w:r w:rsidRPr="00123108">
              <w:rPr>
                <w:rFonts w:hint="eastAsia"/>
              </w:rPr>
              <w:t>3</w:t>
            </w:r>
          </w:p>
        </w:tc>
        <w:tc>
          <w:tcPr>
            <w:tcW w:w="312" w:type="pct"/>
            <w:gridSpan w:val="3"/>
            <w:vMerge w:val="restart"/>
            <w:vAlign w:val="center"/>
          </w:tcPr>
          <w:p w:rsidR="004F34D9" w:rsidRPr="00123108" w:rsidRDefault="004F34D9">
            <w:r w:rsidRPr="00123108">
              <w:rPr>
                <w:rFonts w:hint="eastAsia"/>
              </w:rPr>
              <w:t>运输安全</w:t>
            </w:r>
          </w:p>
        </w:tc>
        <w:tc>
          <w:tcPr>
            <w:tcW w:w="2342" w:type="pct"/>
            <w:gridSpan w:val="3"/>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运输车辆应有危险货物运输标志、安装具有行驶记录功能的卫星定位装置。未经公安机关批准，运输车辆不得进入危险化学品运输车辆限制通行的区域。</w:t>
            </w:r>
          </w:p>
        </w:tc>
        <w:tc>
          <w:tcPr>
            <w:tcW w:w="341"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符合</w:t>
            </w:r>
          </w:p>
        </w:tc>
        <w:tc>
          <w:tcPr>
            <w:tcW w:w="1745"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有资质运输按要求运输</w:t>
            </w:r>
          </w:p>
        </w:tc>
      </w:tr>
      <w:tr w:rsidR="004F34D9" w:rsidRPr="00123108">
        <w:trPr>
          <w:cantSplit/>
          <w:trHeight w:val="653"/>
          <w:jc w:val="center"/>
        </w:trPr>
        <w:tc>
          <w:tcPr>
            <w:tcW w:w="260" w:type="pct"/>
            <w:gridSpan w:val="2"/>
            <w:vMerge/>
            <w:vAlign w:val="center"/>
          </w:tcPr>
          <w:p w:rsidR="004F34D9" w:rsidRPr="00123108" w:rsidRDefault="004F34D9"/>
        </w:tc>
        <w:tc>
          <w:tcPr>
            <w:tcW w:w="312" w:type="pct"/>
            <w:gridSpan w:val="3"/>
            <w:vMerge/>
            <w:vAlign w:val="center"/>
          </w:tcPr>
          <w:p w:rsidR="004F34D9" w:rsidRPr="00123108" w:rsidRDefault="004F34D9"/>
        </w:tc>
        <w:tc>
          <w:tcPr>
            <w:tcW w:w="2342" w:type="pct"/>
            <w:gridSpan w:val="3"/>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运输过程中应有遮盖物，防止曝晒和雨淋、猛烈撞击、包装破损，不得倒置。严禁与强酸、强碱、硫化物、还原剂、促进剂、胺类、金属烷基酸盐等同车混运，尤其是促进剂。运输过程中要确保容器不泄漏、不倒塌、不坠落、不损坏。运输时运输车辆应配备相应品种和数量的消防器材。搬运时要轻装倾卸，防止包装及容器损坏。禁止震动、撞击和摩擦。</w:t>
            </w:r>
          </w:p>
        </w:tc>
        <w:tc>
          <w:tcPr>
            <w:tcW w:w="341"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符合</w:t>
            </w:r>
          </w:p>
        </w:tc>
        <w:tc>
          <w:tcPr>
            <w:tcW w:w="1745"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委托有资质运输单位进行运输</w:t>
            </w:r>
          </w:p>
        </w:tc>
      </w:tr>
      <w:tr w:rsidR="004F34D9" w:rsidRPr="00123108">
        <w:trPr>
          <w:cantSplit/>
          <w:trHeight w:val="594"/>
          <w:jc w:val="center"/>
        </w:trPr>
        <w:tc>
          <w:tcPr>
            <w:tcW w:w="260" w:type="pct"/>
            <w:gridSpan w:val="2"/>
            <w:vMerge/>
            <w:vAlign w:val="center"/>
          </w:tcPr>
          <w:p w:rsidR="004F34D9" w:rsidRPr="00123108" w:rsidRDefault="004F34D9"/>
        </w:tc>
        <w:tc>
          <w:tcPr>
            <w:tcW w:w="312" w:type="pct"/>
            <w:gridSpan w:val="3"/>
            <w:vMerge/>
            <w:vAlign w:val="center"/>
          </w:tcPr>
          <w:p w:rsidR="004F34D9" w:rsidRPr="00123108" w:rsidRDefault="004F34D9"/>
        </w:tc>
        <w:tc>
          <w:tcPr>
            <w:tcW w:w="2342" w:type="pct"/>
            <w:gridSpan w:val="3"/>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拥有齐全的危险化学品运输资质，必须配备押运人员，并随时处于押运人员的监管之下，不得超装、超载，不得进入危险化学品运输车辆禁止通行的区域；确需进入禁止通行区域的，应当事先向当地公安部门报告，运输时车速不宜过快，不得强行超车。运输车辆装卸前后，均应彻底清扫、洗净，严禁混入有机物、易燃物等杂质。</w:t>
            </w:r>
          </w:p>
        </w:tc>
        <w:tc>
          <w:tcPr>
            <w:tcW w:w="341"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符合</w:t>
            </w:r>
          </w:p>
        </w:tc>
        <w:tc>
          <w:tcPr>
            <w:tcW w:w="1745"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委托有资质运输单位进行运输</w:t>
            </w:r>
          </w:p>
        </w:tc>
      </w:tr>
      <w:tr w:rsidR="004F34D9" w:rsidRPr="00123108">
        <w:trPr>
          <w:trHeight w:val="390"/>
          <w:tblHeader/>
          <w:jc w:val="center"/>
        </w:trPr>
        <w:tc>
          <w:tcPr>
            <w:tcW w:w="2913" w:type="pct"/>
            <w:gridSpan w:val="8"/>
            <w:vAlign w:val="center"/>
          </w:tcPr>
          <w:p w:rsidR="004F34D9" w:rsidRPr="00123108" w:rsidRDefault="004F34D9">
            <w:r w:rsidRPr="00123108">
              <w:rPr>
                <w:rFonts w:hint="eastAsia"/>
              </w:rPr>
              <w:t>重点监控危险化学品</w:t>
            </w:r>
          </w:p>
        </w:tc>
        <w:tc>
          <w:tcPr>
            <w:tcW w:w="2087" w:type="pct"/>
            <w:gridSpan w:val="4"/>
            <w:vAlign w:val="center"/>
          </w:tcPr>
          <w:p w:rsidR="004F34D9" w:rsidRPr="00123108" w:rsidRDefault="004F34D9">
            <w:r w:rsidRPr="00123108">
              <w:rPr>
                <w:rFonts w:hint="eastAsia"/>
              </w:rPr>
              <w:t>过氧化苯甲酸叔丁酯</w:t>
            </w:r>
          </w:p>
        </w:tc>
      </w:tr>
      <w:tr w:rsidR="004F34D9" w:rsidRPr="00123108">
        <w:trPr>
          <w:trHeight w:val="532"/>
          <w:tblHeader/>
          <w:jc w:val="center"/>
        </w:trPr>
        <w:tc>
          <w:tcPr>
            <w:tcW w:w="263" w:type="pct"/>
            <w:gridSpan w:val="3"/>
            <w:vAlign w:val="center"/>
          </w:tcPr>
          <w:p w:rsidR="004F34D9" w:rsidRPr="00123108" w:rsidRDefault="004F34D9">
            <w:r w:rsidRPr="00123108">
              <w:t>序号</w:t>
            </w:r>
          </w:p>
        </w:tc>
        <w:tc>
          <w:tcPr>
            <w:tcW w:w="2650" w:type="pct"/>
            <w:gridSpan w:val="5"/>
            <w:vAlign w:val="center"/>
          </w:tcPr>
          <w:p w:rsidR="004F34D9" w:rsidRPr="00123108" w:rsidRDefault="004F34D9">
            <w:r w:rsidRPr="00123108">
              <w:rPr>
                <w:rFonts w:hint="eastAsia"/>
              </w:rPr>
              <w:t>名</w:t>
            </w:r>
            <w:r w:rsidRPr="00123108">
              <w:rPr>
                <w:rFonts w:hint="eastAsia"/>
              </w:rPr>
              <w:t xml:space="preserve">  </w:t>
            </w:r>
            <w:r w:rsidRPr="00123108">
              <w:rPr>
                <w:rFonts w:hint="eastAsia"/>
              </w:rPr>
              <w:t>称</w:t>
            </w:r>
          </w:p>
        </w:tc>
        <w:tc>
          <w:tcPr>
            <w:tcW w:w="328" w:type="pct"/>
            <w:vAlign w:val="center"/>
          </w:tcPr>
          <w:p w:rsidR="004F34D9" w:rsidRPr="00123108" w:rsidRDefault="004F34D9">
            <w:r w:rsidRPr="00123108">
              <w:t>检查结果</w:t>
            </w:r>
          </w:p>
        </w:tc>
        <w:tc>
          <w:tcPr>
            <w:tcW w:w="1759" w:type="pct"/>
            <w:gridSpan w:val="3"/>
            <w:vAlign w:val="center"/>
          </w:tcPr>
          <w:p w:rsidR="004F34D9" w:rsidRPr="00123108" w:rsidRDefault="004F34D9">
            <w:r w:rsidRPr="00123108">
              <w:rPr>
                <w:rFonts w:hint="eastAsia"/>
              </w:rPr>
              <w:t>实际情况说明</w:t>
            </w:r>
          </w:p>
        </w:tc>
      </w:tr>
      <w:tr w:rsidR="004F34D9" w:rsidRPr="00123108">
        <w:trPr>
          <w:trHeight w:val="373"/>
          <w:jc w:val="center"/>
        </w:trPr>
        <w:tc>
          <w:tcPr>
            <w:tcW w:w="263" w:type="pct"/>
            <w:gridSpan w:val="3"/>
            <w:vAlign w:val="center"/>
          </w:tcPr>
          <w:p w:rsidR="004F34D9" w:rsidRPr="00123108" w:rsidRDefault="004F34D9">
            <w:r w:rsidRPr="00123108">
              <w:t>一</w:t>
            </w:r>
          </w:p>
        </w:tc>
        <w:tc>
          <w:tcPr>
            <w:tcW w:w="4737" w:type="pct"/>
            <w:gridSpan w:val="9"/>
            <w:vAlign w:val="center"/>
          </w:tcPr>
          <w:p w:rsidR="004F34D9" w:rsidRPr="00123108" w:rsidRDefault="004F34D9">
            <w:r w:rsidRPr="00123108">
              <w:rPr>
                <w:rFonts w:hint="eastAsia"/>
              </w:rPr>
              <w:t>安全措施一般要求</w:t>
            </w:r>
          </w:p>
        </w:tc>
      </w:tr>
      <w:tr w:rsidR="004F34D9" w:rsidRPr="00123108">
        <w:trPr>
          <w:trHeight w:val="510"/>
          <w:jc w:val="center"/>
        </w:trPr>
        <w:tc>
          <w:tcPr>
            <w:tcW w:w="263" w:type="pct"/>
            <w:gridSpan w:val="3"/>
            <w:vAlign w:val="center"/>
          </w:tcPr>
          <w:p w:rsidR="004F34D9" w:rsidRPr="00123108" w:rsidRDefault="004F34D9">
            <w:r w:rsidRPr="00123108">
              <w:rPr>
                <w:rFonts w:hint="eastAsia"/>
              </w:rPr>
              <w:t>1</w:t>
            </w:r>
          </w:p>
        </w:tc>
        <w:tc>
          <w:tcPr>
            <w:tcW w:w="2642" w:type="pct"/>
            <w:gridSpan w:val="4"/>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操作人员必须经过专门培训，严格遵守操作规程，熟练掌握操作技能，具备应急处置知识。</w:t>
            </w:r>
          </w:p>
        </w:tc>
        <w:tc>
          <w:tcPr>
            <w:tcW w:w="336"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符合</w:t>
            </w:r>
          </w:p>
        </w:tc>
        <w:tc>
          <w:tcPr>
            <w:tcW w:w="1759" w:type="pct"/>
            <w:gridSpan w:val="3"/>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操作人员已参加完成危险化学品操作的培训，技能娴熟，具备一定应急处置的知识和能力</w:t>
            </w:r>
          </w:p>
        </w:tc>
      </w:tr>
      <w:tr w:rsidR="004F34D9" w:rsidRPr="00123108">
        <w:trPr>
          <w:trHeight w:val="392"/>
          <w:jc w:val="center"/>
        </w:trPr>
        <w:tc>
          <w:tcPr>
            <w:tcW w:w="263" w:type="pct"/>
            <w:gridSpan w:val="3"/>
            <w:vAlign w:val="center"/>
          </w:tcPr>
          <w:p w:rsidR="004F34D9" w:rsidRPr="00123108" w:rsidRDefault="004F34D9">
            <w:r w:rsidRPr="00123108">
              <w:rPr>
                <w:rFonts w:hint="eastAsia"/>
              </w:rPr>
              <w:t>2</w:t>
            </w:r>
          </w:p>
        </w:tc>
        <w:tc>
          <w:tcPr>
            <w:tcW w:w="2642" w:type="pct"/>
            <w:gridSpan w:val="4"/>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生产过程密闭，加强通风。使用防爆型的通风系统和设备，提供安全淋浴和洗眼设备。穿防静电工作服，戴化学安全防护眼镜、橡胶防护手套。空气中浓度超标时，佩戴防毒面具。作业现场禁止吸烟、进食和饮水。</w:t>
            </w:r>
          </w:p>
        </w:tc>
        <w:tc>
          <w:tcPr>
            <w:tcW w:w="336"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符合</w:t>
            </w:r>
          </w:p>
        </w:tc>
        <w:tc>
          <w:tcPr>
            <w:tcW w:w="1759" w:type="pct"/>
            <w:gridSpan w:val="3"/>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密闭操作，聚合车间设有通风装置，电气防爆、</w:t>
            </w:r>
            <w:r w:rsidRPr="00123108">
              <w:rPr>
                <w:rFonts w:ascii="宋体" w:hAnsi="宋体" w:cs="宋体"/>
                <w:kern w:val="0"/>
                <w:szCs w:val="21"/>
              </w:rPr>
              <w:t>安全淋浴和洗眼设备</w:t>
            </w:r>
          </w:p>
        </w:tc>
      </w:tr>
      <w:tr w:rsidR="004F34D9" w:rsidRPr="00123108">
        <w:trPr>
          <w:trHeight w:val="510"/>
          <w:jc w:val="center"/>
        </w:trPr>
        <w:tc>
          <w:tcPr>
            <w:tcW w:w="263" w:type="pct"/>
            <w:gridSpan w:val="3"/>
            <w:vAlign w:val="center"/>
          </w:tcPr>
          <w:p w:rsidR="004F34D9" w:rsidRPr="00123108" w:rsidRDefault="004F34D9">
            <w:r w:rsidRPr="00123108">
              <w:rPr>
                <w:rFonts w:hint="eastAsia"/>
              </w:rPr>
              <w:t>3</w:t>
            </w:r>
          </w:p>
        </w:tc>
        <w:tc>
          <w:tcPr>
            <w:tcW w:w="2642" w:type="pct"/>
            <w:gridSpan w:val="4"/>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远离火种、热源。应与禁配物分开存放，切忌混储。</w:t>
            </w:r>
          </w:p>
        </w:tc>
        <w:tc>
          <w:tcPr>
            <w:tcW w:w="336"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符合</w:t>
            </w:r>
          </w:p>
        </w:tc>
        <w:tc>
          <w:tcPr>
            <w:tcW w:w="1759" w:type="pct"/>
            <w:gridSpan w:val="3"/>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储存、使用场所远离热源。</w:t>
            </w:r>
          </w:p>
        </w:tc>
      </w:tr>
      <w:tr w:rsidR="004F34D9" w:rsidRPr="00123108">
        <w:trPr>
          <w:trHeight w:val="510"/>
          <w:jc w:val="center"/>
        </w:trPr>
        <w:tc>
          <w:tcPr>
            <w:tcW w:w="263" w:type="pct"/>
            <w:gridSpan w:val="3"/>
            <w:vAlign w:val="center"/>
          </w:tcPr>
          <w:p w:rsidR="004F34D9" w:rsidRPr="00123108" w:rsidRDefault="004F34D9">
            <w:r w:rsidRPr="00123108">
              <w:rPr>
                <w:rFonts w:hint="eastAsia"/>
              </w:rPr>
              <w:t>4</w:t>
            </w:r>
          </w:p>
        </w:tc>
        <w:tc>
          <w:tcPr>
            <w:tcW w:w="2642" w:type="pct"/>
            <w:gridSpan w:val="4"/>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生产、储存区域应设置安全警示标志。禁止震动、撞击和摩擦。配备相应品种和数量的消防器材及泄漏应</w:t>
            </w:r>
            <w:r w:rsidRPr="00123108">
              <w:rPr>
                <w:rFonts w:ascii="宋体" w:hAnsi="宋体" w:cs="宋体"/>
                <w:kern w:val="0"/>
                <w:szCs w:val="21"/>
              </w:rPr>
              <w:lastRenderedPageBreak/>
              <w:t>急处理设备。</w:t>
            </w:r>
          </w:p>
        </w:tc>
        <w:tc>
          <w:tcPr>
            <w:tcW w:w="336"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lastRenderedPageBreak/>
              <w:t>不符合</w:t>
            </w:r>
          </w:p>
        </w:tc>
        <w:tc>
          <w:tcPr>
            <w:tcW w:w="1759" w:type="pct"/>
            <w:gridSpan w:val="3"/>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缺少</w:t>
            </w:r>
            <w:r w:rsidRPr="00123108">
              <w:rPr>
                <w:rFonts w:ascii="宋体" w:hAnsi="宋体" w:cs="宋体"/>
                <w:kern w:val="0"/>
                <w:szCs w:val="21"/>
              </w:rPr>
              <w:t>禁止震动、撞击和摩擦</w:t>
            </w:r>
            <w:r w:rsidRPr="00123108">
              <w:rPr>
                <w:rFonts w:ascii="宋体" w:hAnsi="宋体" w:cs="宋体" w:hint="eastAsia"/>
                <w:kern w:val="0"/>
                <w:szCs w:val="21"/>
              </w:rPr>
              <w:t>安全警示标志，配备消防器材</w:t>
            </w:r>
            <w:r w:rsidRPr="00123108">
              <w:rPr>
                <w:rFonts w:ascii="宋体" w:hAnsi="宋体" w:cs="宋体"/>
                <w:kern w:val="0"/>
                <w:szCs w:val="21"/>
              </w:rPr>
              <w:t>。</w:t>
            </w:r>
          </w:p>
        </w:tc>
      </w:tr>
      <w:tr w:rsidR="004F34D9" w:rsidRPr="00123108">
        <w:trPr>
          <w:trHeight w:val="510"/>
          <w:jc w:val="center"/>
        </w:trPr>
        <w:tc>
          <w:tcPr>
            <w:tcW w:w="263" w:type="pct"/>
            <w:gridSpan w:val="3"/>
            <w:vAlign w:val="center"/>
          </w:tcPr>
          <w:p w:rsidR="004F34D9" w:rsidRPr="00123108" w:rsidRDefault="004F34D9">
            <w:r w:rsidRPr="00123108">
              <w:rPr>
                <w:rFonts w:hint="eastAsia"/>
              </w:rPr>
              <w:t>5</w:t>
            </w:r>
          </w:p>
        </w:tc>
        <w:tc>
          <w:tcPr>
            <w:tcW w:w="2642" w:type="pct"/>
            <w:gridSpan w:val="4"/>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生产过程中易引起燃烧爆炸的机械化作业应设置自动报警、自动停机、自动泄爆、自动雨淋等安全自控装置；自动化生产线的单机设备除有自动控制系统监控外，在现场还应设置应急控制操作装置。</w:t>
            </w:r>
          </w:p>
        </w:tc>
        <w:tc>
          <w:tcPr>
            <w:tcW w:w="336"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w:t>
            </w:r>
          </w:p>
        </w:tc>
        <w:tc>
          <w:tcPr>
            <w:tcW w:w="1759" w:type="pct"/>
            <w:gridSpan w:val="3"/>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不涉及生产</w:t>
            </w:r>
          </w:p>
        </w:tc>
      </w:tr>
      <w:tr w:rsidR="004F34D9" w:rsidRPr="00123108">
        <w:trPr>
          <w:trHeight w:val="510"/>
          <w:jc w:val="center"/>
        </w:trPr>
        <w:tc>
          <w:tcPr>
            <w:tcW w:w="263" w:type="pct"/>
            <w:gridSpan w:val="3"/>
            <w:vAlign w:val="center"/>
          </w:tcPr>
          <w:p w:rsidR="004F34D9" w:rsidRPr="00123108" w:rsidRDefault="004F34D9">
            <w:r w:rsidRPr="00123108">
              <w:rPr>
                <w:rFonts w:hint="eastAsia"/>
              </w:rPr>
              <w:t>6</w:t>
            </w:r>
          </w:p>
        </w:tc>
        <w:tc>
          <w:tcPr>
            <w:tcW w:w="2642" w:type="pct"/>
            <w:gridSpan w:val="4"/>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生产过程中产生的不合格品和废品应隔离存放、及时处理；内包装材料应统一回收存放在远离热源的场所，并及时销毁。</w:t>
            </w:r>
          </w:p>
        </w:tc>
        <w:tc>
          <w:tcPr>
            <w:tcW w:w="336"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w:t>
            </w:r>
          </w:p>
        </w:tc>
        <w:tc>
          <w:tcPr>
            <w:tcW w:w="1759" w:type="pct"/>
            <w:gridSpan w:val="3"/>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不涉及生产</w:t>
            </w:r>
          </w:p>
        </w:tc>
      </w:tr>
      <w:tr w:rsidR="004F34D9" w:rsidRPr="00123108">
        <w:trPr>
          <w:trHeight w:val="297"/>
          <w:jc w:val="center"/>
        </w:trPr>
        <w:tc>
          <w:tcPr>
            <w:tcW w:w="263" w:type="pct"/>
            <w:gridSpan w:val="3"/>
            <w:vAlign w:val="center"/>
          </w:tcPr>
          <w:p w:rsidR="004F34D9" w:rsidRPr="00123108" w:rsidRDefault="004F34D9">
            <w:r w:rsidRPr="00123108">
              <w:rPr>
                <w:rFonts w:hint="eastAsia"/>
              </w:rPr>
              <w:t>二</w:t>
            </w:r>
          </w:p>
        </w:tc>
        <w:tc>
          <w:tcPr>
            <w:tcW w:w="4737" w:type="pct"/>
            <w:gridSpan w:val="9"/>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安全措施特殊要求</w:t>
            </w:r>
          </w:p>
        </w:tc>
      </w:tr>
      <w:tr w:rsidR="004F34D9" w:rsidRPr="00123108">
        <w:trPr>
          <w:trHeight w:val="510"/>
          <w:jc w:val="center"/>
        </w:trPr>
        <w:tc>
          <w:tcPr>
            <w:tcW w:w="263" w:type="pct"/>
            <w:gridSpan w:val="3"/>
            <w:vMerge w:val="restart"/>
            <w:vAlign w:val="center"/>
          </w:tcPr>
          <w:p w:rsidR="004F34D9" w:rsidRPr="00123108" w:rsidRDefault="004F34D9">
            <w:r w:rsidRPr="00123108">
              <w:rPr>
                <w:rFonts w:hint="eastAsia"/>
              </w:rPr>
              <w:t>1</w:t>
            </w:r>
          </w:p>
        </w:tc>
        <w:tc>
          <w:tcPr>
            <w:tcW w:w="316" w:type="pct"/>
            <w:gridSpan w:val="3"/>
            <w:vMerge w:val="restar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操作安全</w:t>
            </w:r>
          </w:p>
        </w:tc>
        <w:tc>
          <w:tcPr>
            <w:tcW w:w="2326" w:type="pc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装置内配备防毒面具等防护用品，操作人员在操作、取样、检维修时宜佩戴防毒面具。</w:t>
            </w:r>
          </w:p>
        </w:tc>
        <w:tc>
          <w:tcPr>
            <w:tcW w:w="336"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符合</w:t>
            </w:r>
          </w:p>
        </w:tc>
        <w:tc>
          <w:tcPr>
            <w:tcW w:w="1759" w:type="pct"/>
            <w:gridSpan w:val="3"/>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操作人员佩戴防护用品。</w:t>
            </w:r>
          </w:p>
        </w:tc>
      </w:tr>
      <w:tr w:rsidR="004F34D9" w:rsidRPr="00123108">
        <w:trPr>
          <w:trHeight w:val="510"/>
          <w:jc w:val="center"/>
        </w:trPr>
        <w:tc>
          <w:tcPr>
            <w:tcW w:w="263" w:type="pct"/>
            <w:gridSpan w:val="3"/>
            <w:vMerge/>
            <w:vAlign w:val="center"/>
          </w:tcPr>
          <w:p w:rsidR="004F34D9" w:rsidRPr="00123108" w:rsidRDefault="004F34D9"/>
        </w:tc>
        <w:tc>
          <w:tcPr>
            <w:tcW w:w="316" w:type="pct"/>
            <w:gridSpan w:val="3"/>
            <w:vMerge/>
            <w:vAlign w:val="center"/>
          </w:tcPr>
          <w:p w:rsidR="004F34D9" w:rsidRPr="00123108" w:rsidRDefault="004F34D9">
            <w:pPr>
              <w:snapToGrid w:val="0"/>
              <w:rPr>
                <w:rFonts w:ascii="宋体" w:hAnsi="宋体" w:cs="宋体"/>
                <w:kern w:val="0"/>
                <w:szCs w:val="21"/>
              </w:rPr>
            </w:pPr>
          </w:p>
        </w:tc>
        <w:tc>
          <w:tcPr>
            <w:tcW w:w="2326" w:type="pc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避免与还原剂、促进剂、有机物、酸类、胺类、易（可）燃物接触。搬运时要轻装轻卸，防止包装及容器损坏。配备相应品种和数量的消防器材及泄漏应急处理设备。</w:t>
            </w:r>
          </w:p>
        </w:tc>
        <w:tc>
          <w:tcPr>
            <w:tcW w:w="336"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符合</w:t>
            </w:r>
          </w:p>
        </w:tc>
        <w:tc>
          <w:tcPr>
            <w:tcW w:w="1759" w:type="pct"/>
            <w:gridSpan w:val="3"/>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不与其它物料接触，配备消防器材</w:t>
            </w:r>
          </w:p>
        </w:tc>
      </w:tr>
      <w:tr w:rsidR="004F34D9" w:rsidRPr="00123108">
        <w:trPr>
          <w:trHeight w:val="510"/>
          <w:jc w:val="center"/>
        </w:trPr>
        <w:tc>
          <w:tcPr>
            <w:tcW w:w="263" w:type="pct"/>
            <w:gridSpan w:val="3"/>
            <w:vMerge/>
            <w:vAlign w:val="center"/>
          </w:tcPr>
          <w:p w:rsidR="004F34D9" w:rsidRPr="00123108" w:rsidRDefault="004F34D9"/>
        </w:tc>
        <w:tc>
          <w:tcPr>
            <w:tcW w:w="316" w:type="pct"/>
            <w:gridSpan w:val="3"/>
            <w:vMerge/>
            <w:vAlign w:val="center"/>
          </w:tcPr>
          <w:p w:rsidR="004F34D9" w:rsidRPr="00123108" w:rsidRDefault="004F34D9">
            <w:pPr>
              <w:snapToGrid w:val="0"/>
              <w:rPr>
                <w:rFonts w:ascii="宋体" w:hAnsi="宋体" w:cs="宋体"/>
                <w:kern w:val="0"/>
                <w:szCs w:val="21"/>
              </w:rPr>
            </w:pPr>
          </w:p>
        </w:tc>
        <w:tc>
          <w:tcPr>
            <w:tcW w:w="2326" w:type="pc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不得与促进剂直接接触。如必须使用促进剂，可先加入促进剂，搅拌均匀后再慢慢地，逐渐加入本品，避免引发剂堆积或局部过热。</w:t>
            </w:r>
          </w:p>
        </w:tc>
        <w:tc>
          <w:tcPr>
            <w:tcW w:w="336"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w:t>
            </w:r>
          </w:p>
        </w:tc>
        <w:tc>
          <w:tcPr>
            <w:tcW w:w="1759" w:type="pct"/>
            <w:gridSpan w:val="3"/>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不涉及促进剂</w:t>
            </w:r>
          </w:p>
        </w:tc>
      </w:tr>
      <w:tr w:rsidR="004F34D9" w:rsidRPr="00123108">
        <w:trPr>
          <w:trHeight w:val="510"/>
          <w:jc w:val="center"/>
        </w:trPr>
        <w:tc>
          <w:tcPr>
            <w:tcW w:w="263" w:type="pct"/>
            <w:gridSpan w:val="3"/>
            <w:vMerge/>
            <w:vAlign w:val="center"/>
          </w:tcPr>
          <w:p w:rsidR="004F34D9" w:rsidRPr="00123108" w:rsidRDefault="004F34D9"/>
        </w:tc>
        <w:tc>
          <w:tcPr>
            <w:tcW w:w="316" w:type="pct"/>
            <w:gridSpan w:val="3"/>
            <w:vMerge/>
            <w:vAlign w:val="center"/>
          </w:tcPr>
          <w:p w:rsidR="004F34D9" w:rsidRPr="00123108" w:rsidRDefault="004F34D9">
            <w:pPr>
              <w:snapToGrid w:val="0"/>
              <w:rPr>
                <w:rFonts w:ascii="宋体" w:hAnsi="宋体" w:cs="宋体"/>
                <w:kern w:val="0"/>
                <w:szCs w:val="21"/>
              </w:rPr>
            </w:pPr>
          </w:p>
        </w:tc>
        <w:tc>
          <w:tcPr>
            <w:tcW w:w="2326" w:type="pc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生产过程中需用热媒加热或加工过程中可能引起物料温升的作业点，均应设置温度检测仪器并采取温控措施。</w:t>
            </w:r>
          </w:p>
        </w:tc>
        <w:tc>
          <w:tcPr>
            <w:tcW w:w="336"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符合</w:t>
            </w:r>
          </w:p>
        </w:tc>
        <w:tc>
          <w:tcPr>
            <w:tcW w:w="1759" w:type="pct"/>
            <w:gridSpan w:val="3"/>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反应釜温度检测报警及联锁措施</w:t>
            </w:r>
          </w:p>
        </w:tc>
      </w:tr>
      <w:tr w:rsidR="004F34D9" w:rsidRPr="00123108">
        <w:trPr>
          <w:trHeight w:val="653"/>
          <w:jc w:val="center"/>
        </w:trPr>
        <w:tc>
          <w:tcPr>
            <w:tcW w:w="263" w:type="pct"/>
            <w:gridSpan w:val="3"/>
            <w:vMerge w:val="restart"/>
            <w:vAlign w:val="center"/>
          </w:tcPr>
          <w:p w:rsidR="004F34D9" w:rsidRPr="00123108" w:rsidRDefault="004F34D9">
            <w:r w:rsidRPr="00123108">
              <w:rPr>
                <w:rFonts w:hint="eastAsia"/>
              </w:rPr>
              <w:t>2</w:t>
            </w:r>
          </w:p>
        </w:tc>
        <w:tc>
          <w:tcPr>
            <w:tcW w:w="316" w:type="pct"/>
            <w:gridSpan w:val="3"/>
            <w:vMerge w:val="restar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储存安全</w:t>
            </w:r>
          </w:p>
        </w:tc>
        <w:tc>
          <w:tcPr>
            <w:tcW w:w="2326" w:type="pc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储存于阴凉、通风的库房。远离火种、热源，避免阳光直射。库房温度不超过30</w:t>
            </w:r>
            <w:r w:rsidRPr="00123108">
              <w:rPr>
                <w:rFonts w:ascii="宋体" w:hAnsi="宋体" w:cs="宋体" w:hint="eastAsia"/>
                <w:kern w:val="0"/>
                <w:szCs w:val="21"/>
              </w:rPr>
              <w:t>℃</w:t>
            </w:r>
            <w:r w:rsidRPr="00123108">
              <w:rPr>
                <w:rFonts w:ascii="宋体" w:hAnsi="宋体" w:cs="宋体"/>
                <w:kern w:val="0"/>
                <w:szCs w:val="21"/>
              </w:rPr>
              <w:t>，相对湿度不超过80％。</w:t>
            </w:r>
          </w:p>
        </w:tc>
        <w:tc>
          <w:tcPr>
            <w:tcW w:w="336"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符合</w:t>
            </w:r>
          </w:p>
        </w:tc>
        <w:tc>
          <w:tcPr>
            <w:tcW w:w="1759" w:type="pct"/>
            <w:gridSpan w:val="3"/>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冷库低温储存</w:t>
            </w:r>
          </w:p>
        </w:tc>
      </w:tr>
      <w:tr w:rsidR="004F34D9" w:rsidRPr="00123108">
        <w:trPr>
          <w:trHeight w:val="653"/>
          <w:jc w:val="center"/>
        </w:trPr>
        <w:tc>
          <w:tcPr>
            <w:tcW w:w="263" w:type="pct"/>
            <w:gridSpan w:val="3"/>
            <w:vMerge/>
            <w:vAlign w:val="center"/>
          </w:tcPr>
          <w:p w:rsidR="004F34D9" w:rsidRPr="00123108" w:rsidRDefault="004F34D9"/>
        </w:tc>
        <w:tc>
          <w:tcPr>
            <w:tcW w:w="316" w:type="pct"/>
            <w:gridSpan w:val="3"/>
            <w:vMerge/>
            <w:vAlign w:val="center"/>
          </w:tcPr>
          <w:p w:rsidR="004F34D9" w:rsidRPr="00123108" w:rsidRDefault="004F34D9">
            <w:pPr>
              <w:snapToGrid w:val="0"/>
              <w:rPr>
                <w:rFonts w:ascii="宋体" w:hAnsi="宋体" w:cs="宋体"/>
                <w:kern w:val="0"/>
                <w:szCs w:val="21"/>
              </w:rPr>
            </w:pPr>
          </w:p>
        </w:tc>
        <w:tc>
          <w:tcPr>
            <w:tcW w:w="2326" w:type="pc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应与还原剂、促进剂、有机物、酸类、胺类、易（可）燃物分开存放，切忌混储。储存区应备有合适的材料收容泄漏物。禁止震动、撞击和摩擦。禁止使用易产生火花的机械设备和工具。</w:t>
            </w:r>
          </w:p>
        </w:tc>
        <w:tc>
          <w:tcPr>
            <w:tcW w:w="336"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符合</w:t>
            </w:r>
          </w:p>
        </w:tc>
        <w:tc>
          <w:tcPr>
            <w:tcW w:w="1759" w:type="pct"/>
            <w:gridSpan w:val="3"/>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独立冷藏库储存</w:t>
            </w:r>
          </w:p>
        </w:tc>
      </w:tr>
      <w:tr w:rsidR="004F34D9" w:rsidRPr="00123108">
        <w:trPr>
          <w:trHeight w:val="653"/>
          <w:jc w:val="center"/>
        </w:trPr>
        <w:tc>
          <w:tcPr>
            <w:tcW w:w="263" w:type="pct"/>
            <w:gridSpan w:val="3"/>
            <w:vMerge w:val="restart"/>
            <w:vAlign w:val="center"/>
          </w:tcPr>
          <w:p w:rsidR="004F34D9" w:rsidRPr="00123108" w:rsidRDefault="004F34D9">
            <w:r w:rsidRPr="00123108">
              <w:rPr>
                <w:rFonts w:hint="eastAsia"/>
              </w:rPr>
              <w:t>3</w:t>
            </w:r>
          </w:p>
        </w:tc>
        <w:tc>
          <w:tcPr>
            <w:tcW w:w="316" w:type="pct"/>
            <w:gridSpan w:val="3"/>
            <w:vMerge w:val="restart"/>
            <w:vAlign w:val="center"/>
          </w:tcPr>
          <w:p w:rsidR="004F34D9" w:rsidRPr="00123108" w:rsidRDefault="004F34D9">
            <w:r w:rsidRPr="00123108">
              <w:rPr>
                <w:rFonts w:hint="eastAsia"/>
              </w:rPr>
              <w:t>运输安全</w:t>
            </w:r>
          </w:p>
        </w:tc>
        <w:tc>
          <w:tcPr>
            <w:tcW w:w="2326" w:type="pc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运输车辆应有危险货物运输标志、安装具有行驶记录功能的卫星定位装置。未经公安机关批准，运输车辆不得进入危险化学品运输车辆限制通行的区域。</w:t>
            </w:r>
          </w:p>
        </w:tc>
        <w:tc>
          <w:tcPr>
            <w:tcW w:w="336"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符合</w:t>
            </w:r>
          </w:p>
        </w:tc>
        <w:tc>
          <w:tcPr>
            <w:tcW w:w="1759" w:type="pct"/>
            <w:gridSpan w:val="3"/>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有资质运输按要求运输</w:t>
            </w:r>
          </w:p>
        </w:tc>
      </w:tr>
      <w:tr w:rsidR="004F34D9" w:rsidRPr="00123108">
        <w:trPr>
          <w:trHeight w:val="653"/>
          <w:jc w:val="center"/>
        </w:trPr>
        <w:tc>
          <w:tcPr>
            <w:tcW w:w="263" w:type="pct"/>
            <w:gridSpan w:val="3"/>
            <w:vMerge/>
            <w:vAlign w:val="center"/>
          </w:tcPr>
          <w:p w:rsidR="004F34D9" w:rsidRPr="00123108" w:rsidRDefault="004F34D9"/>
        </w:tc>
        <w:tc>
          <w:tcPr>
            <w:tcW w:w="316" w:type="pct"/>
            <w:gridSpan w:val="3"/>
            <w:vMerge/>
            <w:vAlign w:val="center"/>
          </w:tcPr>
          <w:p w:rsidR="004F34D9" w:rsidRPr="00123108" w:rsidRDefault="004F34D9"/>
        </w:tc>
        <w:tc>
          <w:tcPr>
            <w:tcW w:w="2326" w:type="pc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运输过程中应有遮盖物，防止曝晒和雨淋、猛烈撞击、包装破损，不得倒置。严禁与还原剂、促进剂、有机物、酸类、胺类、易（可）燃物等同车混运，尤其是促进剂。运输过程中要确保容器不泄漏、不倒塌、不坠落、不损坏。运输时运输车辆应配备相应品种和数量的消防器材。搬运时要轻装倾卸，防止包装及容器损坏。禁止震动、撞击和摩擦。</w:t>
            </w:r>
          </w:p>
        </w:tc>
        <w:tc>
          <w:tcPr>
            <w:tcW w:w="336"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符合</w:t>
            </w:r>
          </w:p>
        </w:tc>
        <w:tc>
          <w:tcPr>
            <w:tcW w:w="1759" w:type="pct"/>
            <w:gridSpan w:val="3"/>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委托有资质运输单位进行运输</w:t>
            </w:r>
          </w:p>
        </w:tc>
      </w:tr>
      <w:tr w:rsidR="004F34D9" w:rsidRPr="00123108">
        <w:trPr>
          <w:trHeight w:val="1538"/>
          <w:jc w:val="center"/>
        </w:trPr>
        <w:tc>
          <w:tcPr>
            <w:tcW w:w="263" w:type="pct"/>
            <w:gridSpan w:val="3"/>
            <w:vMerge/>
            <w:vAlign w:val="center"/>
          </w:tcPr>
          <w:p w:rsidR="004F34D9" w:rsidRPr="00123108" w:rsidRDefault="004F34D9"/>
        </w:tc>
        <w:tc>
          <w:tcPr>
            <w:tcW w:w="316" w:type="pct"/>
            <w:gridSpan w:val="3"/>
            <w:vMerge/>
            <w:vAlign w:val="center"/>
          </w:tcPr>
          <w:p w:rsidR="004F34D9" w:rsidRPr="00123108" w:rsidRDefault="004F34D9"/>
        </w:tc>
        <w:tc>
          <w:tcPr>
            <w:tcW w:w="2326" w:type="pc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拥有齐全的危险化学品运输资质，必须配备押运人员，并随时处于押运人员的监管之下，不得超装、超载，不得进入危险化学品运输车辆禁止通行的区域；确需进入禁止通行区域的，应当事先向当地公安部门报告，运输时车速不宜过快，不得强行超车。运输车辆装卸前后，均应彻底清扫、洗净，严禁混入有机物、易燃物等杂质。</w:t>
            </w:r>
          </w:p>
        </w:tc>
        <w:tc>
          <w:tcPr>
            <w:tcW w:w="336" w:type="pct"/>
            <w:gridSpan w:val="2"/>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符合</w:t>
            </w:r>
          </w:p>
        </w:tc>
        <w:tc>
          <w:tcPr>
            <w:tcW w:w="1759" w:type="pct"/>
            <w:gridSpan w:val="3"/>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委托有资质运输单位进行运输</w:t>
            </w:r>
          </w:p>
        </w:tc>
      </w:tr>
    </w:tbl>
    <w:bookmarkEnd w:id="1812"/>
    <w:p w:rsidR="004F34D9" w:rsidRPr="00123108" w:rsidRDefault="004F34D9">
      <w:pPr>
        <w:snapToGrid w:val="0"/>
        <w:spacing w:line="360" w:lineRule="auto"/>
        <w:ind w:firstLineChars="225" w:firstLine="630"/>
        <w:rPr>
          <w:rFonts w:ascii="宋体" w:hAnsi="宋体" w:cs="宋体" w:hint="eastAsia"/>
          <w:kern w:val="0"/>
          <w:sz w:val="28"/>
          <w:szCs w:val="28"/>
        </w:rPr>
      </w:pPr>
      <w:r w:rsidRPr="00123108">
        <w:rPr>
          <w:rFonts w:hint="eastAsia"/>
          <w:sz w:val="28"/>
          <w:szCs w:val="28"/>
        </w:rPr>
        <w:t>小结：根据</w:t>
      </w:r>
      <w:r w:rsidRPr="00123108">
        <w:rPr>
          <w:rFonts w:cs="宋体" w:hint="eastAsia"/>
          <w:sz w:val="28"/>
          <w:szCs w:val="28"/>
        </w:rPr>
        <w:t>《国家安全监管总局关于公布首批重点监管的危险化学品名</w:t>
      </w:r>
      <w:r w:rsidRPr="00123108">
        <w:rPr>
          <w:rFonts w:cs="宋体" w:hint="eastAsia"/>
          <w:sz w:val="28"/>
          <w:szCs w:val="28"/>
        </w:rPr>
        <w:lastRenderedPageBreak/>
        <w:t>录的通知》安监总管三〔</w:t>
      </w:r>
      <w:r w:rsidRPr="00123108">
        <w:rPr>
          <w:rFonts w:cs="宋体" w:hint="eastAsia"/>
          <w:sz w:val="28"/>
          <w:szCs w:val="28"/>
        </w:rPr>
        <w:t>2011</w:t>
      </w:r>
      <w:r w:rsidRPr="00123108">
        <w:rPr>
          <w:rFonts w:cs="宋体" w:hint="eastAsia"/>
          <w:sz w:val="28"/>
          <w:szCs w:val="28"/>
        </w:rPr>
        <w:t>〕</w:t>
      </w:r>
      <w:r w:rsidRPr="00123108">
        <w:rPr>
          <w:rFonts w:cs="宋体" w:hint="eastAsia"/>
          <w:sz w:val="28"/>
          <w:szCs w:val="28"/>
        </w:rPr>
        <w:t>95</w:t>
      </w:r>
      <w:r w:rsidRPr="00123108">
        <w:rPr>
          <w:rFonts w:cs="宋体" w:hint="eastAsia"/>
          <w:sz w:val="28"/>
          <w:szCs w:val="28"/>
        </w:rPr>
        <w:t>号及《国家安全监管总局关于公布第二批重点监管危险化学品名录的通知》安监总管三〔</w:t>
      </w:r>
      <w:r w:rsidRPr="00123108">
        <w:rPr>
          <w:rFonts w:cs="宋体" w:hint="eastAsia"/>
          <w:sz w:val="28"/>
          <w:szCs w:val="28"/>
        </w:rPr>
        <w:t>2013</w:t>
      </w:r>
      <w:r w:rsidRPr="00123108">
        <w:rPr>
          <w:rFonts w:cs="宋体" w:hint="eastAsia"/>
          <w:sz w:val="28"/>
          <w:szCs w:val="28"/>
        </w:rPr>
        <w:t>〕</w:t>
      </w:r>
      <w:r w:rsidRPr="00123108">
        <w:rPr>
          <w:rFonts w:cs="宋体" w:hint="eastAsia"/>
          <w:sz w:val="28"/>
          <w:szCs w:val="28"/>
        </w:rPr>
        <w:t>12</w:t>
      </w:r>
      <w:r w:rsidRPr="00123108">
        <w:rPr>
          <w:rFonts w:cs="宋体" w:hint="eastAsia"/>
          <w:sz w:val="28"/>
          <w:szCs w:val="28"/>
        </w:rPr>
        <w:t>号对</w:t>
      </w:r>
      <w:r w:rsidRPr="00123108">
        <w:rPr>
          <w:rFonts w:hint="eastAsia"/>
          <w:sz w:val="28"/>
          <w:szCs w:val="28"/>
        </w:rPr>
        <w:t>重点监管危险化学品设置的安全措施及应急处置措施检查，存在问题：冷库缺少</w:t>
      </w:r>
      <w:r w:rsidRPr="00123108">
        <w:rPr>
          <w:sz w:val="28"/>
          <w:szCs w:val="28"/>
        </w:rPr>
        <w:t>禁止震动、撞击和摩擦</w:t>
      </w:r>
      <w:r w:rsidRPr="00123108">
        <w:rPr>
          <w:rFonts w:hint="eastAsia"/>
          <w:sz w:val="28"/>
          <w:szCs w:val="28"/>
        </w:rPr>
        <w:t>安全警示标志</w:t>
      </w:r>
      <w:r w:rsidRPr="00123108">
        <w:rPr>
          <w:rFonts w:ascii="宋体" w:hAnsi="宋体" w:cs="宋体" w:hint="eastAsia"/>
          <w:kern w:val="0"/>
          <w:sz w:val="28"/>
          <w:szCs w:val="28"/>
        </w:rPr>
        <w:t>。</w:t>
      </w:r>
    </w:p>
    <w:p w:rsidR="004F34D9" w:rsidRPr="00123108" w:rsidRDefault="004F34D9">
      <w:pPr>
        <w:pStyle w:val="aff4"/>
        <w:widowControl w:val="0"/>
        <w:adjustRightInd w:val="0"/>
        <w:spacing w:before="0" w:beforeAutospacing="0" w:after="0" w:afterAutospacing="0" w:line="360" w:lineRule="auto"/>
        <w:jc w:val="both"/>
        <w:outlineLvl w:val="2"/>
        <w:rPr>
          <w:rFonts w:cs="宋体" w:hint="eastAsia"/>
          <w:b/>
          <w:bCs/>
          <w:sz w:val="28"/>
          <w:szCs w:val="28"/>
        </w:rPr>
      </w:pPr>
      <w:bookmarkStart w:id="1813" w:name="_Toc190935915"/>
      <w:r w:rsidRPr="00123108">
        <w:rPr>
          <w:rFonts w:cs="宋体" w:hint="eastAsia"/>
          <w:b/>
          <w:bCs/>
          <w:sz w:val="28"/>
          <w:szCs w:val="28"/>
        </w:rPr>
        <w:t>附件2.10.2  重点监管的危险化工工艺安全控制措施评价</w:t>
      </w:r>
      <w:bookmarkEnd w:id="1813"/>
    </w:p>
    <w:p w:rsidR="004F34D9" w:rsidRPr="00123108" w:rsidRDefault="004F34D9">
      <w:pPr>
        <w:pStyle w:val="aff4"/>
        <w:widowControl w:val="0"/>
        <w:adjustRightInd w:val="0"/>
        <w:spacing w:before="0" w:beforeAutospacing="0" w:after="0" w:afterAutospacing="0" w:line="360" w:lineRule="auto"/>
        <w:ind w:firstLineChars="200" w:firstLine="560"/>
        <w:rPr>
          <w:rFonts w:cs="宋体" w:hint="eastAsia"/>
          <w:sz w:val="28"/>
        </w:rPr>
      </w:pPr>
      <w:r w:rsidRPr="00123108">
        <w:rPr>
          <w:rFonts w:cs="宋体" w:hint="eastAsia"/>
          <w:sz w:val="28"/>
        </w:rPr>
        <w:t>根据《国家安全监管总局关于公布首批重点监管的危险化工工艺目录的通知》原安监总管三[2009]116号及《国家安全监管总局关于公布第二批重点监管危险化工工艺目录和调整首批重点监管危险化工工艺中部分典型工艺的通知》原安监总管三[2013]3号，本项目涉及重点监管的危险化工工艺为聚合</w:t>
      </w:r>
      <w:r w:rsidRPr="00123108">
        <w:rPr>
          <w:sz w:val="28"/>
          <w:szCs w:val="28"/>
        </w:rPr>
        <w:t>工艺</w:t>
      </w:r>
      <w:r w:rsidRPr="00123108">
        <w:rPr>
          <w:rFonts w:cs="宋体" w:hint="eastAsia"/>
          <w:sz w:val="28"/>
        </w:rPr>
        <w:t>。</w:t>
      </w:r>
    </w:p>
    <w:p w:rsidR="004F34D9" w:rsidRPr="00123108" w:rsidRDefault="004F34D9">
      <w:pPr>
        <w:pStyle w:val="aff4"/>
        <w:widowControl w:val="0"/>
        <w:adjustRightInd w:val="0"/>
        <w:spacing w:before="0" w:beforeAutospacing="0" w:after="0" w:afterAutospacing="0" w:line="360" w:lineRule="auto"/>
        <w:ind w:firstLineChars="200" w:firstLine="560"/>
        <w:rPr>
          <w:rFonts w:hint="eastAsia"/>
          <w:sz w:val="28"/>
          <w:szCs w:val="28"/>
        </w:rPr>
      </w:pPr>
      <w:r w:rsidRPr="00123108">
        <w:rPr>
          <w:rFonts w:hint="eastAsia"/>
          <w:sz w:val="28"/>
          <w:szCs w:val="28"/>
        </w:rPr>
        <w:t>根据《国家安全监管总局关于公布首批重点监管的危险化工工艺目录的通知》原安监总管三[2009]116号，对本项目涉及的危险化工工艺的安全控制要求进行检查，见附表2.10-2：</w:t>
      </w:r>
    </w:p>
    <w:p w:rsidR="004F34D9" w:rsidRPr="00123108" w:rsidRDefault="004F34D9">
      <w:pPr>
        <w:pStyle w:val="aff4"/>
        <w:widowControl w:val="0"/>
        <w:adjustRightInd w:val="0"/>
        <w:spacing w:before="0" w:beforeAutospacing="0" w:after="0" w:afterAutospacing="0" w:line="360" w:lineRule="auto"/>
        <w:jc w:val="center"/>
        <w:rPr>
          <w:rFonts w:cs="宋体" w:hint="eastAsia"/>
          <w:b/>
          <w:bCs/>
          <w:sz w:val="28"/>
          <w:szCs w:val="28"/>
        </w:rPr>
      </w:pPr>
      <w:r w:rsidRPr="00123108">
        <w:rPr>
          <w:rFonts w:cs="宋体" w:hint="eastAsia"/>
          <w:b/>
          <w:bCs/>
          <w:sz w:val="28"/>
          <w:szCs w:val="28"/>
        </w:rPr>
        <w:t>附表2.10-2  重点监管的危险化工工艺（聚合反应）安全控制检查表</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
        <w:gridCol w:w="4214"/>
        <w:gridCol w:w="3633"/>
        <w:gridCol w:w="833"/>
      </w:tblGrid>
      <w:tr w:rsidR="004F34D9" w:rsidRPr="00123108">
        <w:trPr>
          <w:cantSplit/>
          <w:trHeight w:val="340"/>
          <w:tblHeader/>
          <w:jc w:val="center"/>
        </w:trPr>
        <w:tc>
          <w:tcPr>
            <w:tcW w:w="383" w:type="pct"/>
            <w:vAlign w:val="center"/>
          </w:tcPr>
          <w:p w:rsidR="004F34D9" w:rsidRPr="00123108" w:rsidRDefault="004F34D9">
            <w:pPr>
              <w:jc w:val="center"/>
              <w:rPr>
                <w:rFonts w:ascii="宋体" w:hAnsi="宋体"/>
                <w:szCs w:val="21"/>
              </w:rPr>
            </w:pPr>
            <w:r w:rsidRPr="00123108">
              <w:rPr>
                <w:rFonts w:ascii="宋体" w:hAnsi="宋体"/>
                <w:szCs w:val="21"/>
              </w:rPr>
              <w:t>序号</w:t>
            </w:r>
          </w:p>
        </w:tc>
        <w:tc>
          <w:tcPr>
            <w:tcW w:w="2241" w:type="pct"/>
            <w:vAlign w:val="center"/>
          </w:tcPr>
          <w:p w:rsidR="004F34D9" w:rsidRPr="00123108" w:rsidRDefault="004F34D9">
            <w:pPr>
              <w:jc w:val="center"/>
              <w:rPr>
                <w:rFonts w:ascii="宋体" w:hAnsi="宋体"/>
                <w:szCs w:val="21"/>
              </w:rPr>
            </w:pPr>
            <w:r w:rsidRPr="00123108">
              <w:rPr>
                <w:rFonts w:ascii="宋体" w:hAnsi="宋体" w:hint="eastAsia"/>
                <w:szCs w:val="21"/>
              </w:rPr>
              <w:t>项目</w:t>
            </w:r>
          </w:p>
        </w:tc>
        <w:tc>
          <w:tcPr>
            <w:tcW w:w="1932" w:type="pct"/>
            <w:vAlign w:val="center"/>
          </w:tcPr>
          <w:p w:rsidR="004F34D9" w:rsidRPr="00123108" w:rsidRDefault="004F34D9">
            <w:pPr>
              <w:jc w:val="center"/>
              <w:rPr>
                <w:rFonts w:ascii="宋体" w:hAnsi="宋体"/>
                <w:szCs w:val="21"/>
              </w:rPr>
            </w:pPr>
            <w:r w:rsidRPr="00123108">
              <w:rPr>
                <w:rFonts w:ascii="宋体" w:hAnsi="宋体" w:hint="eastAsia"/>
                <w:szCs w:val="21"/>
              </w:rPr>
              <w:t>实际情况说明</w:t>
            </w:r>
          </w:p>
        </w:tc>
        <w:tc>
          <w:tcPr>
            <w:tcW w:w="443" w:type="pct"/>
            <w:vAlign w:val="center"/>
          </w:tcPr>
          <w:p w:rsidR="004F34D9" w:rsidRPr="00123108" w:rsidRDefault="004F34D9">
            <w:pPr>
              <w:jc w:val="center"/>
              <w:rPr>
                <w:rFonts w:ascii="宋体" w:hAnsi="宋体"/>
                <w:szCs w:val="21"/>
              </w:rPr>
            </w:pPr>
            <w:r w:rsidRPr="00123108">
              <w:rPr>
                <w:rFonts w:ascii="宋体" w:hAnsi="宋体"/>
                <w:szCs w:val="21"/>
              </w:rPr>
              <w:t>检查结果</w:t>
            </w:r>
          </w:p>
        </w:tc>
      </w:tr>
      <w:tr w:rsidR="004F34D9" w:rsidRPr="00123108">
        <w:trPr>
          <w:cantSplit/>
          <w:trHeight w:val="340"/>
          <w:jc w:val="center"/>
        </w:trPr>
        <w:tc>
          <w:tcPr>
            <w:tcW w:w="383" w:type="pct"/>
            <w:vAlign w:val="center"/>
          </w:tcPr>
          <w:p w:rsidR="004F34D9" w:rsidRPr="00123108" w:rsidRDefault="004F34D9">
            <w:pPr>
              <w:jc w:val="center"/>
              <w:rPr>
                <w:rFonts w:ascii="宋体" w:hAnsi="宋体"/>
                <w:szCs w:val="21"/>
              </w:rPr>
            </w:pPr>
            <w:r w:rsidRPr="00123108">
              <w:rPr>
                <w:rFonts w:ascii="宋体" w:hAnsi="宋体" w:hint="eastAsia"/>
                <w:szCs w:val="21"/>
              </w:rPr>
              <w:t>一</w:t>
            </w:r>
          </w:p>
        </w:tc>
        <w:tc>
          <w:tcPr>
            <w:tcW w:w="2241" w:type="pct"/>
            <w:vAlign w:val="center"/>
          </w:tcPr>
          <w:p w:rsidR="004F34D9" w:rsidRPr="00123108" w:rsidRDefault="004F34D9">
            <w:pPr>
              <w:jc w:val="center"/>
              <w:rPr>
                <w:rFonts w:ascii="宋体" w:hAnsi="宋体"/>
                <w:szCs w:val="21"/>
              </w:rPr>
            </w:pPr>
            <w:r w:rsidRPr="00123108">
              <w:rPr>
                <w:rFonts w:ascii="宋体" w:hAnsi="宋体" w:hint="eastAsia"/>
                <w:szCs w:val="21"/>
              </w:rPr>
              <w:t>重点监控工艺参数</w:t>
            </w:r>
          </w:p>
        </w:tc>
        <w:tc>
          <w:tcPr>
            <w:tcW w:w="1932" w:type="pct"/>
            <w:vAlign w:val="center"/>
          </w:tcPr>
          <w:p w:rsidR="004F34D9" w:rsidRPr="00123108" w:rsidRDefault="004F34D9">
            <w:pPr>
              <w:jc w:val="center"/>
              <w:rPr>
                <w:rFonts w:ascii="宋体" w:hAnsi="宋体"/>
                <w:szCs w:val="21"/>
              </w:rPr>
            </w:pPr>
          </w:p>
        </w:tc>
        <w:tc>
          <w:tcPr>
            <w:tcW w:w="443" w:type="pct"/>
            <w:vAlign w:val="center"/>
          </w:tcPr>
          <w:p w:rsidR="004F34D9" w:rsidRPr="00123108" w:rsidRDefault="004F34D9">
            <w:pPr>
              <w:jc w:val="center"/>
              <w:rPr>
                <w:rFonts w:ascii="宋体" w:hAnsi="宋体"/>
                <w:szCs w:val="21"/>
              </w:rPr>
            </w:pPr>
          </w:p>
        </w:tc>
      </w:tr>
      <w:tr w:rsidR="004F34D9" w:rsidRPr="00123108">
        <w:trPr>
          <w:cantSplit/>
          <w:trHeight w:val="340"/>
          <w:jc w:val="center"/>
        </w:trPr>
        <w:tc>
          <w:tcPr>
            <w:tcW w:w="383" w:type="pct"/>
            <w:vAlign w:val="center"/>
          </w:tcPr>
          <w:p w:rsidR="004F34D9" w:rsidRPr="00123108" w:rsidRDefault="004F34D9">
            <w:pPr>
              <w:jc w:val="center"/>
              <w:rPr>
                <w:rFonts w:ascii="宋体" w:hAnsi="宋体"/>
                <w:szCs w:val="21"/>
              </w:rPr>
            </w:pPr>
            <w:r w:rsidRPr="00123108">
              <w:rPr>
                <w:rFonts w:ascii="宋体" w:hAnsi="宋体" w:hint="eastAsia"/>
                <w:szCs w:val="21"/>
              </w:rPr>
              <w:t>1</w:t>
            </w:r>
          </w:p>
        </w:tc>
        <w:tc>
          <w:tcPr>
            <w:tcW w:w="2241"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聚合反应釜内温度、压力，聚合反应釜内搅拌速率；引发剂流量；冷却水流量；料仓静电、可燃气体监控等。</w:t>
            </w:r>
          </w:p>
        </w:tc>
        <w:tc>
          <w:tcPr>
            <w:tcW w:w="1932"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已设置聚合反应釜温度、压力监控，聚合反应釜搅拌电流监控，引发剂通过定量称重加入，已设有冷却水管网压力监控，反应釜已进行接地，已设置可燃气体监控。</w:t>
            </w:r>
          </w:p>
        </w:tc>
        <w:tc>
          <w:tcPr>
            <w:tcW w:w="443" w:type="pct"/>
            <w:vAlign w:val="center"/>
          </w:tcPr>
          <w:p w:rsidR="004F34D9" w:rsidRPr="00123108" w:rsidRDefault="004F34D9">
            <w:pPr>
              <w:jc w:val="center"/>
              <w:rPr>
                <w:rFonts w:ascii="宋体" w:hAnsi="宋体"/>
                <w:szCs w:val="21"/>
              </w:rPr>
            </w:pPr>
            <w:r w:rsidRPr="00123108">
              <w:rPr>
                <w:rFonts w:ascii="宋体" w:hAnsi="宋体" w:hint="eastAsia"/>
                <w:szCs w:val="21"/>
              </w:rPr>
              <w:t>符合</w:t>
            </w:r>
          </w:p>
        </w:tc>
      </w:tr>
      <w:tr w:rsidR="004F34D9" w:rsidRPr="00123108">
        <w:trPr>
          <w:cantSplit/>
          <w:trHeight w:val="340"/>
          <w:jc w:val="center"/>
        </w:trPr>
        <w:tc>
          <w:tcPr>
            <w:tcW w:w="383" w:type="pct"/>
            <w:vAlign w:val="center"/>
          </w:tcPr>
          <w:p w:rsidR="004F34D9" w:rsidRPr="00123108" w:rsidRDefault="004F34D9">
            <w:pPr>
              <w:jc w:val="center"/>
              <w:rPr>
                <w:rFonts w:ascii="宋体" w:hAnsi="宋体"/>
                <w:szCs w:val="21"/>
              </w:rPr>
            </w:pPr>
            <w:r w:rsidRPr="00123108">
              <w:rPr>
                <w:rFonts w:ascii="宋体" w:hAnsi="宋体" w:hint="eastAsia"/>
                <w:szCs w:val="21"/>
              </w:rPr>
              <w:t>二</w:t>
            </w:r>
          </w:p>
        </w:tc>
        <w:tc>
          <w:tcPr>
            <w:tcW w:w="2241"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安全控制的基本要求</w:t>
            </w:r>
          </w:p>
        </w:tc>
        <w:tc>
          <w:tcPr>
            <w:tcW w:w="1932" w:type="pct"/>
            <w:vAlign w:val="center"/>
          </w:tcPr>
          <w:p w:rsidR="004F34D9" w:rsidRPr="00123108" w:rsidRDefault="004F34D9">
            <w:pPr>
              <w:snapToGrid w:val="0"/>
              <w:rPr>
                <w:rFonts w:ascii="宋体" w:hAnsi="宋体" w:cs="宋体"/>
                <w:kern w:val="0"/>
                <w:szCs w:val="21"/>
              </w:rPr>
            </w:pPr>
          </w:p>
        </w:tc>
        <w:tc>
          <w:tcPr>
            <w:tcW w:w="443" w:type="pct"/>
            <w:vAlign w:val="center"/>
          </w:tcPr>
          <w:p w:rsidR="004F34D9" w:rsidRPr="00123108" w:rsidRDefault="004F34D9">
            <w:pPr>
              <w:jc w:val="center"/>
              <w:rPr>
                <w:rFonts w:ascii="宋体" w:hAnsi="宋体"/>
                <w:szCs w:val="21"/>
              </w:rPr>
            </w:pPr>
          </w:p>
        </w:tc>
      </w:tr>
      <w:tr w:rsidR="004F34D9" w:rsidRPr="00123108">
        <w:trPr>
          <w:cantSplit/>
          <w:trHeight w:val="340"/>
          <w:jc w:val="center"/>
        </w:trPr>
        <w:tc>
          <w:tcPr>
            <w:tcW w:w="383" w:type="pct"/>
            <w:vAlign w:val="center"/>
          </w:tcPr>
          <w:p w:rsidR="004F34D9" w:rsidRPr="00123108" w:rsidRDefault="004F34D9">
            <w:pPr>
              <w:jc w:val="center"/>
              <w:rPr>
                <w:rFonts w:ascii="宋体" w:hAnsi="宋体"/>
                <w:szCs w:val="21"/>
              </w:rPr>
            </w:pPr>
            <w:r w:rsidRPr="00123108">
              <w:rPr>
                <w:rFonts w:ascii="宋体" w:hAnsi="宋体" w:hint="eastAsia"/>
                <w:szCs w:val="21"/>
              </w:rPr>
              <w:t>1</w:t>
            </w:r>
          </w:p>
        </w:tc>
        <w:tc>
          <w:tcPr>
            <w:tcW w:w="2241"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反应釜温度和压力的报警和联锁。</w:t>
            </w:r>
          </w:p>
        </w:tc>
        <w:tc>
          <w:tcPr>
            <w:tcW w:w="1932"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本项目反应釜设置有温度和压力报警和联锁。</w:t>
            </w:r>
          </w:p>
        </w:tc>
        <w:tc>
          <w:tcPr>
            <w:tcW w:w="443" w:type="pct"/>
            <w:vAlign w:val="center"/>
          </w:tcPr>
          <w:p w:rsidR="004F34D9" w:rsidRPr="00123108" w:rsidRDefault="004F34D9">
            <w:pPr>
              <w:rPr>
                <w:rFonts w:ascii="宋体" w:hAnsi="宋体"/>
                <w:szCs w:val="21"/>
              </w:rPr>
            </w:pPr>
            <w:r w:rsidRPr="00123108">
              <w:rPr>
                <w:rFonts w:ascii="宋体" w:hAnsi="宋体" w:hint="eastAsia"/>
                <w:szCs w:val="21"/>
              </w:rPr>
              <w:t>符合</w:t>
            </w:r>
          </w:p>
        </w:tc>
      </w:tr>
      <w:tr w:rsidR="004F34D9" w:rsidRPr="00123108">
        <w:trPr>
          <w:cantSplit/>
          <w:trHeight w:val="340"/>
          <w:jc w:val="center"/>
        </w:trPr>
        <w:tc>
          <w:tcPr>
            <w:tcW w:w="383" w:type="pct"/>
            <w:vAlign w:val="center"/>
          </w:tcPr>
          <w:p w:rsidR="004F34D9" w:rsidRPr="00123108" w:rsidRDefault="004F34D9">
            <w:pPr>
              <w:jc w:val="center"/>
              <w:rPr>
                <w:rFonts w:ascii="宋体" w:hAnsi="宋体"/>
                <w:szCs w:val="21"/>
              </w:rPr>
            </w:pPr>
            <w:r w:rsidRPr="00123108">
              <w:rPr>
                <w:rFonts w:ascii="宋体" w:hAnsi="宋体" w:hint="eastAsia"/>
                <w:szCs w:val="21"/>
              </w:rPr>
              <w:t>2</w:t>
            </w:r>
          </w:p>
        </w:tc>
        <w:tc>
          <w:tcPr>
            <w:tcW w:w="2241"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紧急冷却系统。</w:t>
            </w:r>
          </w:p>
        </w:tc>
        <w:tc>
          <w:tcPr>
            <w:tcW w:w="1932"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反应釜设置有大流量冷却</w:t>
            </w:r>
          </w:p>
        </w:tc>
        <w:tc>
          <w:tcPr>
            <w:tcW w:w="443" w:type="pct"/>
            <w:vAlign w:val="center"/>
          </w:tcPr>
          <w:p w:rsidR="004F34D9" w:rsidRPr="00123108" w:rsidRDefault="004F34D9">
            <w:pPr>
              <w:rPr>
                <w:rFonts w:ascii="宋体" w:hAnsi="宋体"/>
                <w:szCs w:val="21"/>
              </w:rPr>
            </w:pPr>
            <w:r w:rsidRPr="00123108">
              <w:rPr>
                <w:rFonts w:ascii="宋体" w:hAnsi="宋体" w:hint="eastAsia"/>
                <w:szCs w:val="21"/>
              </w:rPr>
              <w:t>符合</w:t>
            </w:r>
          </w:p>
        </w:tc>
      </w:tr>
      <w:tr w:rsidR="004F34D9" w:rsidRPr="00123108">
        <w:trPr>
          <w:cantSplit/>
          <w:trHeight w:val="340"/>
          <w:jc w:val="center"/>
        </w:trPr>
        <w:tc>
          <w:tcPr>
            <w:tcW w:w="383" w:type="pct"/>
            <w:vAlign w:val="center"/>
          </w:tcPr>
          <w:p w:rsidR="004F34D9" w:rsidRPr="00123108" w:rsidRDefault="004F34D9">
            <w:pPr>
              <w:jc w:val="center"/>
              <w:rPr>
                <w:rFonts w:ascii="宋体" w:hAnsi="宋体"/>
                <w:szCs w:val="21"/>
              </w:rPr>
            </w:pPr>
            <w:r w:rsidRPr="00123108">
              <w:rPr>
                <w:rFonts w:ascii="宋体" w:hAnsi="宋体" w:hint="eastAsia"/>
                <w:szCs w:val="21"/>
              </w:rPr>
              <w:t>3</w:t>
            </w:r>
          </w:p>
        </w:tc>
        <w:tc>
          <w:tcPr>
            <w:tcW w:w="2241"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紧急切断系统。</w:t>
            </w:r>
          </w:p>
        </w:tc>
        <w:tc>
          <w:tcPr>
            <w:tcW w:w="1932"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反应釜设置有急停按钮、停蒸汽的同时开冷却。</w:t>
            </w:r>
          </w:p>
        </w:tc>
        <w:tc>
          <w:tcPr>
            <w:tcW w:w="443" w:type="pct"/>
            <w:vAlign w:val="center"/>
          </w:tcPr>
          <w:p w:rsidR="004F34D9" w:rsidRPr="00123108" w:rsidRDefault="004F34D9">
            <w:pPr>
              <w:rPr>
                <w:rFonts w:ascii="宋体" w:hAnsi="宋体"/>
                <w:szCs w:val="21"/>
              </w:rPr>
            </w:pPr>
            <w:r w:rsidRPr="00123108">
              <w:rPr>
                <w:rFonts w:ascii="宋体" w:hAnsi="宋体" w:hint="eastAsia"/>
                <w:szCs w:val="21"/>
              </w:rPr>
              <w:t>符合</w:t>
            </w:r>
          </w:p>
        </w:tc>
      </w:tr>
      <w:tr w:rsidR="004F34D9" w:rsidRPr="00123108">
        <w:trPr>
          <w:cantSplit/>
          <w:trHeight w:val="340"/>
          <w:jc w:val="center"/>
        </w:trPr>
        <w:tc>
          <w:tcPr>
            <w:tcW w:w="383" w:type="pct"/>
            <w:vAlign w:val="center"/>
          </w:tcPr>
          <w:p w:rsidR="004F34D9" w:rsidRPr="00123108" w:rsidRDefault="004F34D9">
            <w:pPr>
              <w:jc w:val="center"/>
              <w:rPr>
                <w:rFonts w:ascii="宋体" w:hAnsi="宋体"/>
                <w:szCs w:val="21"/>
              </w:rPr>
            </w:pPr>
            <w:r w:rsidRPr="00123108">
              <w:rPr>
                <w:rFonts w:ascii="宋体" w:hAnsi="宋体" w:hint="eastAsia"/>
                <w:szCs w:val="21"/>
              </w:rPr>
              <w:t>4</w:t>
            </w:r>
          </w:p>
        </w:tc>
        <w:tc>
          <w:tcPr>
            <w:tcW w:w="2241"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紧急加入反应终止剂系统。</w:t>
            </w:r>
          </w:p>
        </w:tc>
        <w:tc>
          <w:tcPr>
            <w:tcW w:w="1932"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设置有紧急加入阻聚剂系统。</w:t>
            </w:r>
          </w:p>
        </w:tc>
        <w:tc>
          <w:tcPr>
            <w:tcW w:w="443" w:type="pct"/>
            <w:vAlign w:val="center"/>
          </w:tcPr>
          <w:p w:rsidR="004F34D9" w:rsidRPr="00123108" w:rsidRDefault="004F34D9">
            <w:pPr>
              <w:rPr>
                <w:rFonts w:ascii="宋体" w:hAnsi="宋体"/>
                <w:szCs w:val="21"/>
              </w:rPr>
            </w:pPr>
            <w:r w:rsidRPr="00123108">
              <w:rPr>
                <w:rFonts w:ascii="宋体" w:hAnsi="宋体" w:hint="eastAsia"/>
                <w:szCs w:val="21"/>
              </w:rPr>
              <w:t>符合</w:t>
            </w:r>
          </w:p>
        </w:tc>
      </w:tr>
      <w:tr w:rsidR="004F34D9" w:rsidRPr="00123108">
        <w:trPr>
          <w:cantSplit/>
          <w:trHeight w:val="340"/>
          <w:jc w:val="center"/>
        </w:trPr>
        <w:tc>
          <w:tcPr>
            <w:tcW w:w="383" w:type="pct"/>
            <w:vAlign w:val="center"/>
          </w:tcPr>
          <w:p w:rsidR="004F34D9" w:rsidRPr="00123108" w:rsidRDefault="004F34D9">
            <w:pPr>
              <w:jc w:val="center"/>
              <w:rPr>
                <w:rFonts w:ascii="宋体" w:hAnsi="宋体"/>
                <w:szCs w:val="21"/>
              </w:rPr>
            </w:pPr>
            <w:r w:rsidRPr="00123108">
              <w:rPr>
                <w:rFonts w:ascii="宋体" w:hAnsi="宋体" w:hint="eastAsia"/>
                <w:szCs w:val="21"/>
              </w:rPr>
              <w:t>5</w:t>
            </w:r>
          </w:p>
        </w:tc>
        <w:tc>
          <w:tcPr>
            <w:tcW w:w="2241"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搅拌的稳定控制和联锁系统。</w:t>
            </w:r>
          </w:p>
        </w:tc>
        <w:tc>
          <w:tcPr>
            <w:tcW w:w="1932"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设置有搅拌电流异常有报警及联锁</w:t>
            </w:r>
          </w:p>
        </w:tc>
        <w:tc>
          <w:tcPr>
            <w:tcW w:w="443" w:type="pct"/>
            <w:vAlign w:val="center"/>
          </w:tcPr>
          <w:p w:rsidR="004F34D9" w:rsidRPr="00123108" w:rsidRDefault="004F34D9">
            <w:pPr>
              <w:rPr>
                <w:rFonts w:ascii="宋体" w:hAnsi="宋体"/>
                <w:kern w:val="0"/>
                <w:szCs w:val="21"/>
              </w:rPr>
            </w:pPr>
            <w:r w:rsidRPr="00123108">
              <w:rPr>
                <w:rFonts w:ascii="宋体" w:hAnsi="宋体" w:hint="eastAsia"/>
                <w:szCs w:val="21"/>
              </w:rPr>
              <w:t>符合</w:t>
            </w:r>
          </w:p>
        </w:tc>
      </w:tr>
      <w:tr w:rsidR="004F34D9" w:rsidRPr="00123108">
        <w:trPr>
          <w:cantSplit/>
          <w:trHeight w:val="340"/>
          <w:jc w:val="center"/>
        </w:trPr>
        <w:tc>
          <w:tcPr>
            <w:tcW w:w="383" w:type="pct"/>
            <w:vAlign w:val="center"/>
          </w:tcPr>
          <w:p w:rsidR="004F34D9" w:rsidRPr="00123108" w:rsidRDefault="004F34D9">
            <w:pPr>
              <w:jc w:val="center"/>
              <w:rPr>
                <w:rFonts w:ascii="宋体" w:hAnsi="宋体"/>
                <w:szCs w:val="21"/>
              </w:rPr>
            </w:pPr>
            <w:r w:rsidRPr="00123108">
              <w:rPr>
                <w:rFonts w:ascii="宋体" w:hAnsi="宋体" w:hint="eastAsia"/>
                <w:szCs w:val="21"/>
              </w:rPr>
              <w:t>6</w:t>
            </w:r>
          </w:p>
        </w:tc>
        <w:tc>
          <w:tcPr>
            <w:tcW w:w="2241"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料仓静电消除、可燃气体置换系统，可燃和有毒气体检测报警装置。</w:t>
            </w:r>
          </w:p>
        </w:tc>
        <w:tc>
          <w:tcPr>
            <w:tcW w:w="1932"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反应釜按要求进行接地，反应釜设有氮气吹扫系统以及可燃气体检测报警装置。</w:t>
            </w:r>
          </w:p>
        </w:tc>
        <w:tc>
          <w:tcPr>
            <w:tcW w:w="443" w:type="pct"/>
            <w:vAlign w:val="center"/>
          </w:tcPr>
          <w:p w:rsidR="004F34D9" w:rsidRPr="00123108" w:rsidRDefault="004F34D9">
            <w:pPr>
              <w:rPr>
                <w:rFonts w:ascii="宋体" w:hAnsi="宋体"/>
                <w:szCs w:val="21"/>
              </w:rPr>
            </w:pPr>
            <w:r w:rsidRPr="00123108">
              <w:rPr>
                <w:rFonts w:ascii="宋体" w:hAnsi="宋体" w:hint="eastAsia"/>
                <w:szCs w:val="21"/>
              </w:rPr>
              <w:t>符合</w:t>
            </w:r>
          </w:p>
        </w:tc>
      </w:tr>
      <w:tr w:rsidR="004F34D9" w:rsidRPr="00123108">
        <w:trPr>
          <w:cantSplit/>
          <w:trHeight w:val="340"/>
          <w:jc w:val="center"/>
        </w:trPr>
        <w:tc>
          <w:tcPr>
            <w:tcW w:w="383" w:type="pct"/>
            <w:vAlign w:val="center"/>
          </w:tcPr>
          <w:p w:rsidR="004F34D9" w:rsidRPr="00123108" w:rsidRDefault="004F34D9">
            <w:pPr>
              <w:jc w:val="center"/>
              <w:rPr>
                <w:rFonts w:ascii="宋体" w:hAnsi="宋体"/>
                <w:szCs w:val="21"/>
              </w:rPr>
            </w:pPr>
            <w:r w:rsidRPr="00123108">
              <w:rPr>
                <w:rFonts w:ascii="宋体" w:hAnsi="宋体" w:hint="eastAsia"/>
                <w:szCs w:val="21"/>
              </w:rPr>
              <w:lastRenderedPageBreak/>
              <w:t>7</w:t>
            </w:r>
          </w:p>
        </w:tc>
        <w:tc>
          <w:tcPr>
            <w:tcW w:w="2241"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高压聚合反应釜设有防爆墙和泄爆面等。</w:t>
            </w:r>
          </w:p>
        </w:tc>
        <w:tc>
          <w:tcPr>
            <w:tcW w:w="1932"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本项目聚合反应釜为低压反应。</w:t>
            </w:r>
          </w:p>
        </w:tc>
        <w:tc>
          <w:tcPr>
            <w:tcW w:w="443" w:type="pct"/>
            <w:vAlign w:val="center"/>
          </w:tcPr>
          <w:p w:rsidR="004F34D9" w:rsidRPr="00123108" w:rsidRDefault="004F34D9">
            <w:pPr>
              <w:rPr>
                <w:rFonts w:ascii="宋体" w:hAnsi="宋体"/>
                <w:szCs w:val="21"/>
              </w:rPr>
            </w:pPr>
            <w:r w:rsidRPr="00123108">
              <w:rPr>
                <w:rFonts w:ascii="宋体" w:hAnsi="宋体" w:hint="eastAsia"/>
                <w:szCs w:val="21"/>
              </w:rPr>
              <w:t>不涉及</w:t>
            </w:r>
          </w:p>
        </w:tc>
      </w:tr>
      <w:tr w:rsidR="004F34D9" w:rsidRPr="00123108">
        <w:trPr>
          <w:cantSplit/>
          <w:trHeight w:val="340"/>
          <w:jc w:val="center"/>
        </w:trPr>
        <w:tc>
          <w:tcPr>
            <w:tcW w:w="383" w:type="pct"/>
            <w:vAlign w:val="center"/>
          </w:tcPr>
          <w:p w:rsidR="004F34D9" w:rsidRPr="00123108" w:rsidRDefault="004F34D9">
            <w:pPr>
              <w:jc w:val="center"/>
              <w:rPr>
                <w:rFonts w:ascii="宋体" w:hAnsi="宋体"/>
                <w:szCs w:val="21"/>
              </w:rPr>
            </w:pPr>
            <w:r w:rsidRPr="00123108">
              <w:rPr>
                <w:rFonts w:ascii="宋体" w:hAnsi="宋体" w:hint="eastAsia"/>
                <w:szCs w:val="21"/>
              </w:rPr>
              <w:t>三</w:t>
            </w:r>
          </w:p>
        </w:tc>
        <w:tc>
          <w:tcPr>
            <w:tcW w:w="2241"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宜采用的控制方式</w:t>
            </w:r>
          </w:p>
        </w:tc>
        <w:tc>
          <w:tcPr>
            <w:tcW w:w="1932" w:type="pct"/>
            <w:vAlign w:val="center"/>
          </w:tcPr>
          <w:p w:rsidR="004F34D9" w:rsidRPr="00123108" w:rsidRDefault="004F34D9">
            <w:pPr>
              <w:snapToGrid w:val="0"/>
              <w:rPr>
                <w:rFonts w:ascii="宋体" w:hAnsi="宋体" w:cs="宋体"/>
                <w:kern w:val="0"/>
                <w:szCs w:val="21"/>
              </w:rPr>
            </w:pPr>
          </w:p>
        </w:tc>
        <w:tc>
          <w:tcPr>
            <w:tcW w:w="443" w:type="pct"/>
            <w:vAlign w:val="center"/>
          </w:tcPr>
          <w:p w:rsidR="004F34D9" w:rsidRPr="00123108" w:rsidRDefault="004F34D9">
            <w:pPr>
              <w:rPr>
                <w:rFonts w:ascii="宋体" w:hAnsi="宋体"/>
                <w:szCs w:val="21"/>
              </w:rPr>
            </w:pPr>
          </w:p>
        </w:tc>
      </w:tr>
      <w:tr w:rsidR="004F34D9" w:rsidRPr="00123108">
        <w:trPr>
          <w:cantSplit/>
          <w:trHeight w:val="340"/>
          <w:jc w:val="center"/>
        </w:trPr>
        <w:tc>
          <w:tcPr>
            <w:tcW w:w="383" w:type="pct"/>
            <w:vAlign w:val="center"/>
          </w:tcPr>
          <w:p w:rsidR="004F34D9" w:rsidRPr="00123108" w:rsidRDefault="004F34D9">
            <w:pPr>
              <w:jc w:val="center"/>
              <w:rPr>
                <w:rFonts w:ascii="宋体" w:hAnsi="宋体"/>
                <w:szCs w:val="21"/>
              </w:rPr>
            </w:pPr>
            <w:r w:rsidRPr="00123108">
              <w:rPr>
                <w:rFonts w:ascii="宋体" w:hAnsi="宋体" w:hint="eastAsia"/>
                <w:szCs w:val="21"/>
              </w:rPr>
              <w:t>8</w:t>
            </w:r>
          </w:p>
        </w:tc>
        <w:tc>
          <w:tcPr>
            <w:tcW w:w="2241"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将聚合反应釜内温度、压力与釜内搅拌电流、聚合单体流量、引发剂加入量、聚合反应釜夹套冷却水进水阀形成联锁关系，在聚合反应釜处设立紧急停车系统。</w:t>
            </w:r>
          </w:p>
        </w:tc>
        <w:tc>
          <w:tcPr>
            <w:tcW w:w="1932"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聚合反应釜间歇反应，批次投料；聚合反应釜内温度、压力与釜内搅拌电流与冷却水、蒸汽、泄压阀等形成联锁，设有紧急停车系统。</w:t>
            </w:r>
          </w:p>
        </w:tc>
        <w:tc>
          <w:tcPr>
            <w:tcW w:w="443" w:type="pct"/>
            <w:vAlign w:val="center"/>
          </w:tcPr>
          <w:p w:rsidR="004F34D9" w:rsidRPr="00123108" w:rsidRDefault="004F34D9">
            <w:pPr>
              <w:rPr>
                <w:rFonts w:ascii="宋体" w:hAnsi="宋体"/>
                <w:szCs w:val="21"/>
              </w:rPr>
            </w:pPr>
            <w:r w:rsidRPr="00123108">
              <w:rPr>
                <w:rFonts w:ascii="宋体" w:hAnsi="宋体" w:hint="eastAsia"/>
                <w:szCs w:val="21"/>
              </w:rPr>
              <w:t>符合</w:t>
            </w:r>
          </w:p>
        </w:tc>
      </w:tr>
      <w:tr w:rsidR="004F34D9" w:rsidRPr="00123108">
        <w:trPr>
          <w:cantSplit/>
          <w:trHeight w:val="340"/>
          <w:jc w:val="center"/>
        </w:trPr>
        <w:tc>
          <w:tcPr>
            <w:tcW w:w="383" w:type="pct"/>
            <w:vAlign w:val="center"/>
          </w:tcPr>
          <w:p w:rsidR="004F34D9" w:rsidRPr="00123108" w:rsidRDefault="004F34D9">
            <w:pPr>
              <w:jc w:val="center"/>
              <w:rPr>
                <w:rFonts w:ascii="宋体" w:hAnsi="宋体"/>
                <w:szCs w:val="21"/>
              </w:rPr>
            </w:pPr>
            <w:r w:rsidRPr="00123108">
              <w:rPr>
                <w:rFonts w:ascii="宋体" w:hAnsi="宋体" w:hint="eastAsia"/>
                <w:szCs w:val="21"/>
              </w:rPr>
              <w:t>9</w:t>
            </w:r>
          </w:p>
        </w:tc>
        <w:tc>
          <w:tcPr>
            <w:tcW w:w="2241"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当反应超温、搅拌失效或冷却失效时，能及时加入聚合反应终止剂。</w:t>
            </w:r>
          </w:p>
        </w:tc>
        <w:tc>
          <w:tcPr>
            <w:tcW w:w="1932"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反应失控时可及时添加反应终止剂。</w:t>
            </w:r>
          </w:p>
        </w:tc>
        <w:tc>
          <w:tcPr>
            <w:tcW w:w="443"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符合</w:t>
            </w:r>
          </w:p>
        </w:tc>
      </w:tr>
      <w:tr w:rsidR="004F34D9" w:rsidRPr="00123108">
        <w:trPr>
          <w:cantSplit/>
          <w:trHeight w:val="340"/>
          <w:jc w:val="center"/>
        </w:trPr>
        <w:tc>
          <w:tcPr>
            <w:tcW w:w="383" w:type="pct"/>
            <w:vAlign w:val="center"/>
          </w:tcPr>
          <w:p w:rsidR="004F34D9" w:rsidRPr="00123108" w:rsidRDefault="004F34D9">
            <w:pPr>
              <w:jc w:val="center"/>
              <w:rPr>
                <w:rFonts w:ascii="宋体" w:hAnsi="宋体"/>
                <w:szCs w:val="21"/>
              </w:rPr>
            </w:pPr>
            <w:r w:rsidRPr="00123108">
              <w:rPr>
                <w:rFonts w:ascii="宋体" w:hAnsi="宋体" w:hint="eastAsia"/>
                <w:szCs w:val="21"/>
              </w:rPr>
              <w:t>10</w:t>
            </w:r>
          </w:p>
        </w:tc>
        <w:tc>
          <w:tcPr>
            <w:tcW w:w="2241"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安全泄放系统。</w:t>
            </w:r>
          </w:p>
        </w:tc>
        <w:tc>
          <w:tcPr>
            <w:tcW w:w="1932"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聚合反应釜设置有安全泄放系统</w:t>
            </w:r>
          </w:p>
        </w:tc>
        <w:tc>
          <w:tcPr>
            <w:tcW w:w="443"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符合</w:t>
            </w:r>
          </w:p>
        </w:tc>
      </w:tr>
    </w:tbl>
    <w:p w:rsidR="004F34D9" w:rsidRPr="00123108" w:rsidRDefault="004F34D9">
      <w:pPr>
        <w:pStyle w:val="aff4"/>
        <w:widowControl w:val="0"/>
        <w:adjustRightInd w:val="0"/>
        <w:spacing w:before="0" w:beforeAutospacing="0" w:after="0" w:afterAutospacing="0" w:line="360" w:lineRule="auto"/>
        <w:ind w:firstLineChars="200" w:firstLine="560"/>
        <w:rPr>
          <w:rFonts w:cs="宋体" w:hint="eastAsia"/>
          <w:sz w:val="28"/>
          <w:szCs w:val="28"/>
        </w:rPr>
      </w:pPr>
      <w:r w:rsidRPr="00123108">
        <w:rPr>
          <w:rFonts w:cs="宋体" w:hint="eastAsia"/>
          <w:sz w:val="28"/>
          <w:szCs w:val="28"/>
        </w:rPr>
        <w:t>小结：通过以上检查分析，新桥化工重点危险工艺-聚合工艺的控制措施能符合</w:t>
      </w:r>
      <w:r w:rsidRPr="00123108">
        <w:rPr>
          <w:rFonts w:cs="宋体" w:hint="eastAsia"/>
          <w:sz w:val="28"/>
        </w:rPr>
        <w:t>安监总管三[2009]116</w:t>
      </w:r>
      <w:r w:rsidRPr="00123108">
        <w:rPr>
          <w:rFonts w:cs="宋体" w:hint="eastAsia"/>
          <w:sz w:val="28"/>
          <w:szCs w:val="28"/>
        </w:rPr>
        <w:t>要求。</w:t>
      </w:r>
    </w:p>
    <w:p w:rsidR="004F34D9" w:rsidRPr="00123108" w:rsidRDefault="004F34D9">
      <w:pPr>
        <w:pStyle w:val="aff4"/>
        <w:widowControl w:val="0"/>
        <w:adjustRightInd w:val="0"/>
        <w:spacing w:before="0" w:beforeAutospacing="0" w:after="0" w:afterAutospacing="0" w:line="360" w:lineRule="auto"/>
        <w:jc w:val="both"/>
        <w:outlineLvl w:val="2"/>
        <w:rPr>
          <w:rFonts w:cs="宋体" w:hint="eastAsia"/>
          <w:b/>
          <w:bCs/>
          <w:sz w:val="28"/>
          <w:szCs w:val="28"/>
        </w:rPr>
      </w:pPr>
      <w:bookmarkStart w:id="1814" w:name="_Toc190935916"/>
      <w:r w:rsidRPr="00123108">
        <w:rPr>
          <w:rFonts w:cs="宋体" w:hint="eastAsia"/>
          <w:b/>
          <w:bCs/>
          <w:sz w:val="28"/>
          <w:szCs w:val="28"/>
        </w:rPr>
        <w:t>附件2.10.3  危险化学品重大危险源评价</w:t>
      </w:r>
      <w:bookmarkEnd w:id="1814"/>
    </w:p>
    <w:p w:rsidR="004F34D9" w:rsidRPr="00123108" w:rsidRDefault="004F34D9">
      <w:pPr>
        <w:numPr>
          <w:ilvl w:val="0"/>
          <w:numId w:val="66"/>
        </w:numPr>
        <w:spacing w:line="360" w:lineRule="auto"/>
        <w:ind w:firstLineChars="200" w:firstLine="560"/>
        <w:rPr>
          <w:rFonts w:ascii="宋体" w:hAnsi="宋体" w:cs="宋体" w:hint="eastAsia"/>
          <w:sz w:val="28"/>
          <w:szCs w:val="28"/>
        </w:rPr>
      </w:pPr>
      <w:bookmarkStart w:id="1815" w:name="_Toc355277445"/>
      <w:r w:rsidRPr="00123108">
        <w:rPr>
          <w:rFonts w:ascii="宋体" w:hAnsi="宋体" w:cs="宋体" w:hint="eastAsia"/>
          <w:sz w:val="28"/>
          <w:szCs w:val="28"/>
        </w:rPr>
        <w:t>建设项目中危险化学品生产装置和储存数量构成危险化学品重大危险源的储存设施与8类场所、区域的距离见附</w:t>
      </w:r>
      <w:r w:rsidRPr="00123108">
        <w:rPr>
          <w:rFonts w:ascii="宋体" w:hAnsi="宋体" w:cs="宋体" w:hint="eastAsia"/>
          <w:sz w:val="28"/>
          <w:szCs w:val="28"/>
          <w:lang w:val="zh-CN"/>
        </w:rPr>
        <w:t>表2.10-3</w:t>
      </w:r>
      <w:r w:rsidRPr="00123108">
        <w:rPr>
          <w:rFonts w:ascii="宋体" w:hAnsi="宋体" w:cs="宋体" w:hint="eastAsia"/>
          <w:sz w:val="28"/>
          <w:szCs w:val="28"/>
        </w:rPr>
        <w:t>。</w:t>
      </w:r>
    </w:p>
    <w:p w:rsidR="004F34D9" w:rsidRPr="00123108" w:rsidRDefault="004F34D9">
      <w:pPr>
        <w:pStyle w:val="afffff4"/>
        <w:autoSpaceDE/>
        <w:autoSpaceDN/>
        <w:adjustRightInd/>
        <w:spacing w:line="360" w:lineRule="auto"/>
        <w:jc w:val="center"/>
        <w:textAlignment w:val="auto"/>
        <w:rPr>
          <w:rFonts w:ascii="宋体" w:eastAsia="宋体" w:hAnsi="宋体" w:cs="宋体" w:hint="eastAsia"/>
          <w:b/>
          <w:szCs w:val="28"/>
        </w:rPr>
      </w:pPr>
      <w:r w:rsidRPr="00123108">
        <w:rPr>
          <w:rFonts w:ascii="宋体" w:eastAsia="宋体" w:hAnsi="宋体" w:cs="宋体" w:hint="eastAsia"/>
          <w:b/>
          <w:szCs w:val="28"/>
        </w:rPr>
        <w:t>附表2.10-3  危险化学品重大危险源与8类场所、区域的距离</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
        <w:gridCol w:w="2538"/>
        <w:gridCol w:w="1593"/>
        <w:gridCol w:w="1229"/>
        <w:gridCol w:w="2255"/>
        <w:gridCol w:w="973"/>
      </w:tblGrid>
      <w:tr w:rsidR="004F34D9" w:rsidRPr="00123108">
        <w:trPr>
          <w:cantSplit/>
        </w:trPr>
        <w:tc>
          <w:tcPr>
            <w:tcW w:w="320" w:type="pct"/>
            <w:vAlign w:val="center"/>
          </w:tcPr>
          <w:p w:rsidR="004F34D9" w:rsidRPr="00123108" w:rsidRDefault="004F34D9">
            <w:pPr>
              <w:pStyle w:val="afff7"/>
              <w:spacing w:line="240" w:lineRule="auto"/>
              <w:rPr>
                <w:rFonts w:ascii="宋体" w:hAnsi="宋体"/>
                <w:sz w:val="21"/>
                <w:szCs w:val="21"/>
              </w:rPr>
            </w:pPr>
            <w:r w:rsidRPr="00123108">
              <w:rPr>
                <w:rFonts w:ascii="宋体" w:hAnsi="宋体"/>
                <w:sz w:val="21"/>
                <w:szCs w:val="21"/>
              </w:rPr>
              <w:t>序号</w:t>
            </w:r>
          </w:p>
        </w:tc>
        <w:tc>
          <w:tcPr>
            <w:tcW w:w="1383" w:type="pct"/>
            <w:vAlign w:val="center"/>
          </w:tcPr>
          <w:p w:rsidR="004F34D9" w:rsidRPr="00123108" w:rsidRDefault="004F34D9">
            <w:pPr>
              <w:pStyle w:val="afff7"/>
              <w:spacing w:line="240" w:lineRule="auto"/>
              <w:rPr>
                <w:rFonts w:ascii="宋体" w:hAnsi="宋体"/>
                <w:sz w:val="21"/>
                <w:szCs w:val="21"/>
              </w:rPr>
            </w:pPr>
            <w:r w:rsidRPr="00123108">
              <w:rPr>
                <w:rFonts w:ascii="宋体" w:hAnsi="宋体"/>
                <w:sz w:val="21"/>
                <w:szCs w:val="21"/>
              </w:rPr>
              <w:t>场所</w:t>
            </w:r>
          </w:p>
        </w:tc>
        <w:tc>
          <w:tcPr>
            <w:tcW w:w="868" w:type="pct"/>
            <w:vAlign w:val="center"/>
          </w:tcPr>
          <w:p w:rsidR="004F34D9" w:rsidRPr="00123108" w:rsidRDefault="004F34D9">
            <w:pPr>
              <w:pStyle w:val="afff7"/>
              <w:spacing w:line="240" w:lineRule="auto"/>
              <w:rPr>
                <w:rFonts w:ascii="宋体" w:hAnsi="宋体"/>
                <w:sz w:val="21"/>
                <w:szCs w:val="21"/>
              </w:rPr>
            </w:pPr>
            <w:r w:rsidRPr="00123108">
              <w:rPr>
                <w:rFonts w:ascii="宋体" w:hAnsi="宋体"/>
                <w:sz w:val="21"/>
                <w:szCs w:val="21"/>
              </w:rPr>
              <w:t>标准依据</w:t>
            </w:r>
          </w:p>
        </w:tc>
        <w:tc>
          <w:tcPr>
            <w:tcW w:w="670" w:type="pct"/>
            <w:vAlign w:val="center"/>
          </w:tcPr>
          <w:p w:rsidR="004F34D9" w:rsidRPr="00123108" w:rsidRDefault="004F34D9">
            <w:pPr>
              <w:pStyle w:val="afff7"/>
              <w:spacing w:line="240" w:lineRule="auto"/>
              <w:rPr>
                <w:rFonts w:ascii="宋体" w:hAnsi="宋体"/>
                <w:sz w:val="21"/>
                <w:szCs w:val="21"/>
              </w:rPr>
            </w:pPr>
            <w:r w:rsidRPr="00123108">
              <w:rPr>
                <w:rFonts w:ascii="宋体" w:hAnsi="宋体"/>
                <w:sz w:val="21"/>
                <w:szCs w:val="21"/>
              </w:rPr>
              <w:t>标准规定</w:t>
            </w:r>
          </w:p>
        </w:tc>
        <w:tc>
          <w:tcPr>
            <w:tcW w:w="1229" w:type="pct"/>
            <w:vAlign w:val="center"/>
          </w:tcPr>
          <w:p w:rsidR="004F34D9" w:rsidRPr="00123108" w:rsidRDefault="004F34D9">
            <w:pPr>
              <w:pStyle w:val="afff7"/>
              <w:spacing w:line="240" w:lineRule="auto"/>
              <w:rPr>
                <w:rFonts w:ascii="宋体" w:hAnsi="宋体"/>
                <w:sz w:val="21"/>
                <w:szCs w:val="21"/>
              </w:rPr>
            </w:pPr>
            <w:r w:rsidRPr="00123108">
              <w:rPr>
                <w:rFonts w:ascii="宋体" w:hAnsi="宋体"/>
                <w:sz w:val="21"/>
                <w:szCs w:val="21"/>
              </w:rPr>
              <w:t>实际情况</w:t>
            </w:r>
            <w:r w:rsidRPr="00123108">
              <w:rPr>
                <w:rFonts w:ascii="宋体" w:hAnsi="宋体" w:hint="eastAsia"/>
                <w:sz w:val="21"/>
                <w:szCs w:val="21"/>
              </w:rPr>
              <w:t>说明</w:t>
            </w:r>
          </w:p>
        </w:tc>
        <w:tc>
          <w:tcPr>
            <w:tcW w:w="531" w:type="pct"/>
            <w:vAlign w:val="center"/>
          </w:tcPr>
          <w:p w:rsidR="004F34D9" w:rsidRPr="00123108" w:rsidRDefault="004F34D9">
            <w:pPr>
              <w:pStyle w:val="afff7"/>
              <w:spacing w:line="240" w:lineRule="auto"/>
              <w:rPr>
                <w:rFonts w:ascii="宋体" w:hAnsi="宋体"/>
                <w:sz w:val="21"/>
                <w:szCs w:val="21"/>
              </w:rPr>
            </w:pPr>
            <w:r w:rsidRPr="00123108">
              <w:rPr>
                <w:rFonts w:ascii="宋体" w:hAnsi="宋体"/>
                <w:sz w:val="21"/>
                <w:szCs w:val="21"/>
              </w:rPr>
              <w:t>符合性</w:t>
            </w:r>
          </w:p>
        </w:tc>
      </w:tr>
      <w:tr w:rsidR="004F34D9" w:rsidRPr="00123108">
        <w:trPr>
          <w:cantSplit/>
        </w:trPr>
        <w:tc>
          <w:tcPr>
            <w:tcW w:w="320" w:type="pct"/>
            <w:vAlign w:val="center"/>
          </w:tcPr>
          <w:p w:rsidR="004F34D9" w:rsidRPr="00123108" w:rsidRDefault="004F34D9">
            <w:pPr>
              <w:pStyle w:val="afff7"/>
              <w:spacing w:line="240" w:lineRule="auto"/>
              <w:rPr>
                <w:rFonts w:ascii="宋体" w:hAnsi="宋体"/>
                <w:sz w:val="21"/>
                <w:szCs w:val="21"/>
              </w:rPr>
            </w:pPr>
            <w:r w:rsidRPr="00123108">
              <w:rPr>
                <w:rFonts w:ascii="宋体" w:hAnsi="宋体"/>
                <w:sz w:val="21"/>
                <w:szCs w:val="21"/>
              </w:rPr>
              <w:t>1</w:t>
            </w:r>
          </w:p>
        </w:tc>
        <w:tc>
          <w:tcPr>
            <w:tcW w:w="1383" w:type="pc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居住区以及商业中心、公园等人员密集场所</w:t>
            </w:r>
          </w:p>
        </w:tc>
        <w:tc>
          <w:tcPr>
            <w:tcW w:w="868" w:type="pct"/>
            <w:vMerge w:val="restar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w:t>
            </w:r>
          </w:p>
        </w:tc>
        <w:tc>
          <w:tcPr>
            <w:tcW w:w="670" w:type="pct"/>
            <w:vMerge w:val="restar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w:t>
            </w:r>
          </w:p>
        </w:tc>
        <w:tc>
          <w:tcPr>
            <w:tcW w:w="1229"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厂界</w:t>
            </w:r>
            <w:r w:rsidRPr="00123108">
              <w:rPr>
                <w:rFonts w:ascii="宋体" w:hAnsi="宋体" w:cs="宋体"/>
                <w:kern w:val="0"/>
                <w:szCs w:val="21"/>
              </w:rPr>
              <w:t>周边</w:t>
            </w:r>
            <w:r w:rsidRPr="00123108">
              <w:rPr>
                <w:rFonts w:ascii="宋体" w:hAnsi="宋体" w:cs="宋体" w:hint="eastAsia"/>
                <w:kern w:val="0"/>
                <w:szCs w:val="21"/>
              </w:rPr>
              <w:t>460m内</w:t>
            </w:r>
            <w:r w:rsidRPr="00123108">
              <w:rPr>
                <w:rFonts w:ascii="宋体" w:hAnsi="宋体" w:cs="宋体"/>
                <w:kern w:val="0"/>
                <w:szCs w:val="21"/>
              </w:rPr>
              <w:t xml:space="preserve">无人口密集区域 </w:t>
            </w:r>
          </w:p>
        </w:tc>
        <w:tc>
          <w:tcPr>
            <w:tcW w:w="531" w:type="pc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符合</w:t>
            </w:r>
          </w:p>
        </w:tc>
      </w:tr>
      <w:tr w:rsidR="004F34D9" w:rsidRPr="00123108">
        <w:trPr>
          <w:cantSplit/>
        </w:trPr>
        <w:tc>
          <w:tcPr>
            <w:tcW w:w="320" w:type="pct"/>
            <w:vAlign w:val="center"/>
          </w:tcPr>
          <w:p w:rsidR="004F34D9" w:rsidRPr="00123108" w:rsidRDefault="004F34D9">
            <w:pPr>
              <w:pStyle w:val="afff7"/>
              <w:spacing w:line="240" w:lineRule="auto"/>
              <w:rPr>
                <w:rFonts w:ascii="宋体" w:hAnsi="宋体"/>
                <w:sz w:val="21"/>
                <w:szCs w:val="21"/>
              </w:rPr>
            </w:pPr>
            <w:r w:rsidRPr="00123108">
              <w:rPr>
                <w:rFonts w:ascii="宋体" w:hAnsi="宋体"/>
                <w:sz w:val="21"/>
                <w:szCs w:val="21"/>
              </w:rPr>
              <w:t>2</w:t>
            </w:r>
          </w:p>
        </w:tc>
        <w:tc>
          <w:tcPr>
            <w:tcW w:w="1383" w:type="pc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学校、医院、影剧院、体育场（馆）等公共设施</w:t>
            </w:r>
          </w:p>
        </w:tc>
        <w:tc>
          <w:tcPr>
            <w:tcW w:w="868" w:type="pct"/>
            <w:vMerge/>
            <w:vAlign w:val="center"/>
          </w:tcPr>
          <w:p w:rsidR="004F34D9" w:rsidRPr="00123108" w:rsidRDefault="004F34D9">
            <w:pPr>
              <w:snapToGrid w:val="0"/>
              <w:rPr>
                <w:rFonts w:ascii="宋体" w:hAnsi="宋体" w:cs="宋体"/>
                <w:kern w:val="0"/>
                <w:szCs w:val="21"/>
              </w:rPr>
            </w:pPr>
          </w:p>
        </w:tc>
        <w:tc>
          <w:tcPr>
            <w:tcW w:w="670" w:type="pct"/>
            <w:vMerge/>
            <w:vAlign w:val="center"/>
          </w:tcPr>
          <w:p w:rsidR="004F34D9" w:rsidRPr="00123108" w:rsidRDefault="004F34D9">
            <w:pPr>
              <w:snapToGrid w:val="0"/>
              <w:rPr>
                <w:rFonts w:ascii="宋体" w:hAnsi="宋体" w:cs="宋体"/>
                <w:kern w:val="0"/>
                <w:szCs w:val="21"/>
              </w:rPr>
            </w:pPr>
          </w:p>
        </w:tc>
        <w:tc>
          <w:tcPr>
            <w:tcW w:w="1229"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厂界</w:t>
            </w:r>
            <w:r w:rsidRPr="00123108">
              <w:rPr>
                <w:rFonts w:ascii="宋体" w:hAnsi="宋体" w:cs="宋体"/>
                <w:kern w:val="0"/>
                <w:szCs w:val="21"/>
              </w:rPr>
              <w:t>周边</w:t>
            </w:r>
            <w:r w:rsidRPr="00123108">
              <w:rPr>
                <w:rFonts w:ascii="宋体" w:hAnsi="宋体" w:cs="宋体" w:hint="eastAsia"/>
                <w:kern w:val="0"/>
                <w:szCs w:val="21"/>
              </w:rPr>
              <w:t>1000m内</w:t>
            </w:r>
            <w:r w:rsidRPr="00123108">
              <w:rPr>
                <w:rFonts w:ascii="宋体" w:hAnsi="宋体" w:cs="宋体"/>
                <w:kern w:val="0"/>
                <w:szCs w:val="21"/>
              </w:rPr>
              <w:t>无公共设施</w:t>
            </w:r>
          </w:p>
        </w:tc>
        <w:tc>
          <w:tcPr>
            <w:tcW w:w="531" w:type="pc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符合</w:t>
            </w:r>
          </w:p>
        </w:tc>
      </w:tr>
      <w:tr w:rsidR="004F34D9" w:rsidRPr="00123108">
        <w:trPr>
          <w:cantSplit/>
        </w:trPr>
        <w:tc>
          <w:tcPr>
            <w:tcW w:w="320" w:type="pct"/>
            <w:vAlign w:val="center"/>
          </w:tcPr>
          <w:p w:rsidR="004F34D9" w:rsidRPr="00123108" w:rsidRDefault="004F34D9">
            <w:pPr>
              <w:pStyle w:val="afff7"/>
              <w:spacing w:line="240" w:lineRule="auto"/>
              <w:rPr>
                <w:rFonts w:ascii="宋体" w:hAnsi="宋体"/>
                <w:sz w:val="21"/>
                <w:szCs w:val="21"/>
              </w:rPr>
            </w:pPr>
            <w:r w:rsidRPr="00123108">
              <w:rPr>
                <w:rFonts w:ascii="宋体" w:hAnsi="宋体"/>
                <w:sz w:val="21"/>
                <w:szCs w:val="21"/>
              </w:rPr>
              <w:t>3</w:t>
            </w:r>
          </w:p>
        </w:tc>
        <w:tc>
          <w:tcPr>
            <w:tcW w:w="1383" w:type="pc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饮用水源、水厂以及水源保护区</w:t>
            </w:r>
          </w:p>
        </w:tc>
        <w:tc>
          <w:tcPr>
            <w:tcW w:w="868" w:type="pct"/>
            <w:vAlign w:val="center"/>
          </w:tcPr>
          <w:p w:rsidR="004F34D9" w:rsidRPr="00123108" w:rsidRDefault="004F34D9">
            <w:pPr>
              <w:snapToGrid w:val="0"/>
              <w:rPr>
                <w:rFonts w:ascii="宋体" w:hAnsi="宋体" w:cs="宋体"/>
                <w:kern w:val="0"/>
                <w:szCs w:val="21"/>
              </w:rPr>
            </w:pPr>
          </w:p>
        </w:tc>
        <w:tc>
          <w:tcPr>
            <w:tcW w:w="670" w:type="pct"/>
            <w:vAlign w:val="center"/>
          </w:tcPr>
          <w:p w:rsidR="004F34D9" w:rsidRPr="00123108" w:rsidRDefault="004F34D9">
            <w:pPr>
              <w:snapToGrid w:val="0"/>
              <w:rPr>
                <w:rFonts w:ascii="宋体" w:hAnsi="宋体" w:cs="宋体"/>
                <w:kern w:val="0"/>
                <w:szCs w:val="21"/>
              </w:rPr>
            </w:pPr>
          </w:p>
        </w:tc>
        <w:tc>
          <w:tcPr>
            <w:tcW w:w="1229"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周边无</w:t>
            </w:r>
            <w:r w:rsidRPr="00123108">
              <w:rPr>
                <w:rFonts w:ascii="宋体" w:hAnsi="宋体" w:cs="宋体"/>
                <w:kern w:val="0"/>
                <w:szCs w:val="21"/>
              </w:rPr>
              <w:t>水源保护区</w:t>
            </w:r>
          </w:p>
        </w:tc>
        <w:tc>
          <w:tcPr>
            <w:tcW w:w="531" w:type="pc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符合</w:t>
            </w:r>
          </w:p>
        </w:tc>
      </w:tr>
      <w:tr w:rsidR="004F34D9" w:rsidRPr="00123108">
        <w:trPr>
          <w:cantSplit/>
        </w:trPr>
        <w:tc>
          <w:tcPr>
            <w:tcW w:w="320" w:type="pct"/>
            <w:vAlign w:val="center"/>
          </w:tcPr>
          <w:p w:rsidR="004F34D9" w:rsidRPr="00123108" w:rsidRDefault="004F34D9">
            <w:pPr>
              <w:pStyle w:val="afff7"/>
              <w:spacing w:line="240" w:lineRule="auto"/>
              <w:rPr>
                <w:rFonts w:ascii="宋体" w:hAnsi="宋体"/>
                <w:sz w:val="21"/>
                <w:szCs w:val="21"/>
              </w:rPr>
            </w:pPr>
            <w:r w:rsidRPr="00123108">
              <w:rPr>
                <w:rFonts w:ascii="宋体" w:hAnsi="宋体"/>
                <w:sz w:val="21"/>
                <w:szCs w:val="21"/>
              </w:rPr>
              <w:t>4</w:t>
            </w:r>
          </w:p>
        </w:tc>
        <w:tc>
          <w:tcPr>
            <w:tcW w:w="1383" w:type="pc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车站、码头(依法经许可从事危险化学品装卸作业的除外)、机场以及通信干线、通信枢纽、铁路线路、道路交通干线、水路交通干线、地铁风亭以及地铁站出入口</w:t>
            </w:r>
          </w:p>
        </w:tc>
        <w:tc>
          <w:tcPr>
            <w:tcW w:w="868" w:type="pc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w:t>
            </w:r>
            <w:r w:rsidRPr="00123108">
              <w:rPr>
                <w:rFonts w:ascii="宋体" w:hAnsi="宋体" w:cs="宋体" w:hint="eastAsia"/>
                <w:kern w:val="0"/>
                <w:szCs w:val="21"/>
              </w:rPr>
              <w:t>公路安全保护条例</w:t>
            </w:r>
            <w:r w:rsidRPr="00123108">
              <w:rPr>
                <w:rFonts w:ascii="宋体" w:hAnsi="宋体" w:cs="宋体"/>
                <w:kern w:val="0"/>
                <w:szCs w:val="21"/>
              </w:rPr>
              <w:t>》</w:t>
            </w:r>
          </w:p>
        </w:tc>
        <w:tc>
          <w:tcPr>
            <w:tcW w:w="670"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公路渡口和中型以上公路桥梁周围200m禁止设危险物品场所</w:t>
            </w:r>
          </w:p>
        </w:tc>
        <w:tc>
          <w:tcPr>
            <w:tcW w:w="1229"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招宝山大桥离厂区230m</w:t>
            </w:r>
          </w:p>
        </w:tc>
        <w:tc>
          <w:tcPr>
            <w:tcW w:w="531" w:type="pc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符合</w:t>
            </w:r>
          </w:p>
        </w:tc>
      </w:tr>
      <w:tr w:rsidR="004F34D9" w:rsidRPr="00123108">
        <w:trPr>
          <w:cantSplit/>
        </w:trPr>
        <w:tc>
          <w:tcPr>
            <w:tcW w:w="320" w:type="pct"/>
            <w:vAlign w:val="center"/>
          </w:tcPr>
          <w:p w:rsidR="004F34D9" w:rsidRPr="00123108" w:rsidRDefault="004F34D9">
            <w:pPr>
              <w:pStyle w:val="afff7"/>
              <w:spacing w:line="240" w:lineRule="auto"/>
              <w:rPr>
                <w:rFonts w:ascii="宋体" w:hAnsi="宋体"/>
                <w:sz w:val="21"/>
                <w:szCs w:val="21"/>
              </w:rPr>
            </w:pPr>
            <w:r w:rsidRPr="00123108">
              <w:rPr>
                <w:rFonts w:ascii="宋体" w:hAnsi="宋体"/>
                <w:sz w:val="21"/>
                <w:szCs w:val="21"/>
              </w:rPr>
              <w:t>5</w:t>
            </w:r>
          </w:p>
        </w:tc>
        <w:tc>
          <w:tcPr>
            <w:tcW w:w="1383" w:type="pc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基本农田保护区、基本草原、畜禽遗传资源保护区、畜禽规模化养殖场(养殖小区)、渔业水域以及种子、种畜禽、水产苗种生产基地</w:t>
            </w:r>
          </w:p>
        </w:tc>
        <w:tc>
          <w:tcPr>
            <w:tcW w:w="868" w:type="pct"/>
            <w:vAlign w:val="center"/>
          </w:tcPr>
          <w:p w:rsidR="004F34D9" w:rsidRPr="00123108" w:rsidRDefault="004F34D9">
            <w:pPr>
              <w:snapToGrid w:val="0"/>
              <w:rPr>
                <w:rFonts w:ascii="宋体" w:hAnsi="宋体" w:cs="宋体"/>
                <w:kern w:val="0"/>
                <w:szCs w:val="21"/>
              </w:rPr>
            </w:pPr>
          </w:p>
        </w:tc>
        <w:tc>
          <w:tcPr>
            <w:tcW w:w="670" w:type="pct"/>
            <w:vAlign w:val="center"/>
          </w:tcPr>
          <w:p w:rsidR="004F34D9" w:rsidRPr="00123108" w:rsidRDefault="004F34D9">
            <w:pPr>
              <w:snapToGrid w:val="0"/>
              <w:rPr>
                <w:rFonts w:ascii="宋体" w:hAnsi="宋体" w:cs="宋体"/>
                <w:kern w:val="0"/>
                <w:szCs w:val="21"/>
              </w:rPr>
            </w:pPr>
          </w:p>
        </w:tc>
        <w:tc>
          <w:tcPr>
            <w:tcW w:w="1229"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周边</w:t>
            </w:r>
            <w:r w:rsidRPr="00123108">
              <w:rPr>
                <w:rFonts w:ascii="宋体" w:hAnsi="宋体" w:cs="宋体"/>
                <w:kern w:val="0"/>
                <w:szCs w:val="21"/>
              </w:rPr>
              <w:t>无基本农田保护区</w:t>
            </w:r>
          </w:p>
        </w:tc>
        <w:tc>
          <w:tcPr>
            <w:tcW w:w="531" w:type="pc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符合</w:t>
            </w:r>
          </w:p>
        </w:tc>
      </w:tr>
      <w:tr w:rsidR="004F34D9" w:rsidRPr="00123108">
        <w:trPr>
          <w:cantSplit/>
        </w:trPr>
        <w:tc>
          <w:tcPr>
            <w:tcW w:w="320" w:type="pct"/>
            <w:vAlign w:val="center"/>
          </w:tcPr>
          <w:p w:rsidR="004F34D9" w:rsidRPr="00123108" w:rsidRDefault="004F34D9">
            <w:pPr>
              <w:pStyle w:val="afff7"/>
              <w:spacing w:line="240" w:lineRule="auto"/>
              <w:rPr>
                <w:rFonts w:ascii="宋体" w:hAnsi="宋体"/>
                <w:sz w:val="21"/>
                <w:szCs w:val="21"/>
              </w:rPr>
            </w:pPr>
            <w:r w:rsidRPr="00123108">
              <w:rPr>
                <w:rFonts w:ascii="宋体" w:hAnsi="宋体"/>
                <w:sz w:val="21"/>
                <w:szCs w:val="21"/>
              </w:rPr>
              <w:lastRenderedPageBreak/>
              <w:t>6</w:t>
            </w:r>
          </w:p>
        </w:tc>
        <w:tc>
          <w:tcPr>
            <w:tcW w:w="1383" w:type="pc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河流、湖泊、风景名胜区和自然保护区</w:t>
            </w:r>
          </w:p>
        </w:tc>
        <w:tc>
          <w:tcPr>
            <w:tcW w:w="868" w:type="pct"/>
            <w:vAlign w:val="center"/>
          </w:tcPr>
          <w:p w:rsidR="004F34D9" w:rsidRPr="00123108" w:rsidRDefault="004F34D9">
            <w:pPr>
              <w:snapToGrid w:val="0"/>
              <w:rPr>
                <w:rFonts w:ascii="宋体" w:hAnsi="宋体" w:cs="宋体"/>
                <w:kern w:val="0"/>
                <w:szCs w:val="21"/>
              </w:rPr>
            </w:pPr>
          </w:p>
        </w:tc>
        <w:tc>
          <w:tcPr>
            <w:tcW w:w="670" w:type="pct"/>
            <w:vAlign w:val="center"/>
          </w:tcPr>
          <w:p w:rsidR="004F34D9" w:rsidRPr="00123108" w:rsidRDefault="004F34D9">
            <w:pPr>
              <w:snapToGrid w:val="0"/>
              <w:rPr>
                <w:rFonts w:ascii="宋体" w:hAnsi="宋体" w:cs="宋体"/>
                <w:kern w:val="0"/>
                <w:szCs w:val="21"/>
              </w:rPr>
            </w:pPr>
          </w:p>
        </w:tc>
        <w:tc>
          <w:tcPr>
            <w:tcW w:w="1229"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周边</w:t>
            </w:r>
            <w:r w:rsidRPr="00123108">
              <w:rPr>
                <w:rFonts w:ascii="宋体" w:hAnsi="宋体" w:cs="宋体"/>
                <w:kern w:val="0"/>
                <w:szCs w:val="21"/>
              </w:rPr>
              <w:t>无河流、湖泊、风景名胜区和自然保护区</w:t>
            </w:r>
          </w:p>
        </w:tc>
        <w:tc>
          <w:tcPr>
            <w:tcW w:w="531" w:type="pc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符合</w:t>
            </w:r>
          </w:p>
        </w:tc>
      </w:tr>
      <w:tr w:rsidR="004F34D9" w:rsidRPr="00123108">
        <w:trPr>
          <w:cantSplit/>
        </w:trPr>
        <w:tc>
          <w:tcPr>
            <w:tcW w:w="320" w:type="pct"/>
            <w:vAlign w:val="center"/>
          </w:tcPr>
          <w:p w:rsidR="004F34D9" w:rsidRPr="00123108" w:rsidRDefault="004F34D9">
            <w:pPr>
              <w:pStyle w:val="afff7"/>
              <w:spacing w:line="240" w:lineRule="auto"/>
              <w:rPr>
                <w:rFonts w:ascii="宋体" w:hAnsi="宋体"/>
                <w:sz w:val="21"/>
                <w:szCs w:val="21"/>
              </w:rPr>
            </w:pPr>
            <w:r w:rsidRPr="00123108">
              <w:rPr>
                <w:rFonts w:ascii="宋体" w:hAnsi="宋体"/>
                <w:sz w:val="21"/>
                <w:szCs w:val="21"/>
              </w:rPr>
              <w:t>7</w:t>
            </w:r>
          </w:p>
        </w:tc>
        <w:tc>
          <w:tcPr>
            <w:tcW w:w="1383" w:type="pc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军事禁区、军事管理区</w:t>
            </w:r>
          </w:p>
        </w:tc>
        <w:tc>
          <w:tcPr>
            <w:tcW w:w="868" w:type="pct"/>
            <w:vAlign w:val="center"/>
          </w:tcPr>
          <w:p w:rsidR="004F34D9" w:rsidRPr="00123108" w:rsidRDefault="004F34D9">
            <w:pPr>
              <w:snapToGrid w:val="0"/>
              <w:rPr>
                <w:rFonts w:ascii="宋体" w:hAnsi="宋体" w:cs="宋体"/>
                <w:kern w:val="0"/>
                <w:szCs w:val="21"/>
              </w:rPr>
            </w:pPr>
          </w:p>
        </w:tc>
        <w:tc>
          <w:tcPr>
            <w:tcW w:w="670" w:type="pct"/>
            <w:vAlign w:val="center"/>
          </w:tcPr>
          <w:p w:rsidR="004F34D9" w:rsidRPr="00123108" w:rsidRDefault="004F34D9">
            <w:pPr>
              <w:snapToGrid w:val="0"/>
              <w:rPr>
                <w:rFonts w:ascii="宋体" w:hAnsi="宋体" w:cs="宋体"/>
                <w:kern w:val="0"/>
                <w:szCs w:val="21"/>
              </w:rPr>
            </w:pPr>
          </w:p>
        </w:tc>
        <w:tc>
          <w:tcPr>
            <w:tcW w:w="1229" w:type="pc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周边无军事管理区</w:t>
            </w:r>
          </w:p>
        </w:tc>
        <w:tc>
          <w:tcPr>
            <w:tcW w:w="531" w:type="pc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符合</w:t>
            </w:r>
          </w:p>
        </w:tc>
      </w:tr>
      <w:tr w:rsidR="004F34D9" w:rsidRPr="00123108">
        <w:trPr>
          <w:cantSplit/>
        </w:trPr>
        <w:tc>
          <w:tcPr>
            <w:tcW w:w="320" w:type="pct"/>
            <w:vAlign w:val="center"/>
          </w:tcPr>
          <w:p w:rsidR="004F34D9" w:rsidRPr="00123108" w:rsidRDefault="004F34D9">
            <w:pPr>
              <w:pStyle w:val="afff7"/>
              <w:spacing w:line="240" w:lineRule="auto"/>
              <w:rPr>
                <w:rFonts w:ascii="宋体" w:hAnsi="宋体"/>
                <w:sz w:val="21"/>
                <w:szCs w:val="21"/>
              </w:rPr>
            </w:pPr>
            <w:r w:rsidRPr="00123108">
              <w:rPr>
                <w:rFonts w:ascii="宋体" w:hAnsi="宋体"/>
                <w:sz w:val="21"/>
                <w:szCs w:val="21"/>
              </w:rPr>
              <w:t>8</w:t>
            </w:r>
          </w:p>
        </w:tc>
        <w:tc>
          <w:tcPr>
            <w:tcW w:w="1383" w:type="pc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法律、行政法规规定的其他场所、设施、区域</w:t>
            </w:r>
          </w:p>
        </w:tc>
        <w:tc>
          <w:tcPr>
            <w:tcW w:w="868" w:type="pct"/>
            <w:vAlign w:val="center"/>
          </w:tcPr>
          <w:p w:rsidR="004F34D9" w:rsidRPr="00123108" w:rsidRDefault="004F34D9">
            <w:pPr>
              <w:snapToGrid w:val="0"/>
              <w:rPr>
                <w:rFonts w:ascii="宋体" w:hAnsi="宋体" w:cs="宋体"/>
                <w:kern w:val="0"/>
                <w:szCs w:val="21"/>
              </w:rPr>
            </w:pPr>
          </w:p>
        </w:tc>
        <w:tc>
          <w:tcPr>
            <w:tcW w:w="670" w:type="pct"/>
            <w:vAlign w:val="center"/>
          </w:tcPr>
          <w:p w:rsidR="004F34D9" w:rsidRPr="00123108" w:rsidRDefault="004F34D9">
            <w:pPr>
              <w:snapToGrid w:val="0"/>
              <w:rPr>
                <w:rFonts w:ascii="宋体" w:hAnsi="宋体" w:cs="宋体"/>
                <w:kern w:val="0"/>
                <w:szCs w:val="21"/>
              </w:rPr>
            </w:pPr>
          </w:p>
        </w:tc>
        <w:tc>
          <w:tcPr>
            <w:tcW w:w="1229"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周边</w:t>
            </w:r>
            <w:r w:rsidRPr="00123108">
              <w:rPr>
                <w:rFonts w:ascii="宋体" w:hAnsi="宋体" w:cs="宋体"/>
                <w:kern w:val="0"/>
                <w:szCs w:val="21"/>
              </w:rPr>
              <w:t>无法律、行政法规规定予以保护的其他区域</w:t>
            </w:r>
          </w:p>
        </w:tc>
        <w:tc>
          <w:tcPr>
            <w:tcW w:w="531" w:type="pct"/>
            <w:vAlign w:val="center"/>
          </w:tcPr>
          <w:p w:rsidR="004F34D9" w:rsidRPr="00123108" w:rsidRDefault="004F34D9">
            <w:pPr>
              <w:snapToGrid w:val="0"/>
              <w:rPr>
                <w:rFonts w:ascii="宋体" w:hAnsi="宋体" w:cs="宋体"/>
                <w:kern w:val="0"/>
                <w:szCs w:val="21"/>
              </w:rPr>
            </w:pPr>
            <w:r w:rsidRPr="00123108">
              <w:rPr>
                <w:rFonts w:ascii="宋体" w:hAnsi="宋体" w:cs="宋体"/>
                <w:kern w:val="0"/>
                <w:szCs w:val="21"/>
              </w:rPr>
              <w:t>符合</w:t>
            </w:r>
          </w:p>
        </w:tc>
      </w:tr>
    </w:tbl>
    <w:p w:rsidR="004F34D9" w:rsidRPr="00123108" w:rsidRDefault="004F34D9">
      <w:pPr>
        <w:ind w:firstLineChars="200" w:firstLine="560"/>
        <w:jc w:val="left"/>
        <w:rPr>
          <w:rFonts w:ascii="宋体" w:hAnsi="宋体" w:cs="宋体" w:hint="eastAsia"/>
          <w:sz w:val="28"/>
          <w:szCs w:val="28"/>
        </w:rPr>
      </w:pPr>
    </w:p>
    <w:p w:rsidR="004F34D9" w:rsidRPr="00123108" w:rsidRDefault="004F34D9">
      <w:pPr>
        <w:spacing w:line="360" w:lineRule="auto"/>
        <w:ind w:firstLineChars="200" w:firstLine="560"/>
        <w:jc w:val="left"/>
        <w:rPr>
          <w:rFonts w:ascii="宋体" w:hAnsi="宋体" w:cs="宋体" w:hint="eastAsia"/>
          <w:sz w:val="28"/>
          <w:szCs w:val="28"/>
        </w:rPr>
      </w:pPr>
      <w:r w:rsidRPr="00123108">
        <w:rPr>
          <w:rFonts w:ascii="宋体" w:hAnsi="宋体" w:cs="宋体" w:hint="eastAsia"/>
          <w:sz w:val="28"/>
          <w:szCs w:val="28"/>
        </w:rPr>
        <w:t>小结：新桥化工危险化学品重大危险源与8类场所、区域的距离符合规范要求。</w:t>
      </w:r>
    </w:p>
    <w:p w:rsidR="004F34D9" w:rsidRPr="00123108" w:rsidRDefault="004F34D9">
      <w:pPr>
        <w:spacing w:line="360" w:lineRule="auto"/>
        <w:ind w:firstLineChars="200" w:firstLine="560"/>
        <w:jc w:val="left"/>
        <w:rPr>
          <w:rFonts w:ascii="宋体" w:hAnsi="宋体" w:cs="宋体" w:hint="eastAsia"/>
          <w:sz w:val="28"/>
          <w:szCs w:val="28"/>
        </w:rPr>
      </w:pPr>
      <w:r w:rsidRPr="00123108">
        <w:rPr>
          <w:rFonts w:ascii="宋体" w:hAnsi="宋体" w:cs="宋体" w:hint="eastAsia"/>
          <w:sz w:val="28"/>
          <w:szCs w:val="28"/>
        </w:rPr>
        <w:t>（2）安全管理措施</w:t>
      </w:r>
      <w:bookmarkEnd w:id="1815"/>
    </w:p>
    <w:p w:rsidR="004F34D9" w:rsidRPr="00123108" w:rsidRDefault="004F34D9">
      <w:pPr>
        <w:spacing w:line="360" w:lineRule="auto"/>
        <w:ind w:firstLineChars="200" w:firstLine="560"/>
        <w:jc w:val="left"/>
        <w:rPr>
          <w:rFonts w:ascii="宋体" w:hAnsi="宋体" w:hint="eastAsia"/>
          <w:sz w:val="28"/>
          <w:szCs w:val="28"/>
        </w:rPr>
      </w:pPr>
      <w:r w:rsidRPr="00123108">
        <w:rPr>
          <w:rFonts w:ascii="宋体" w:hAnsi="宋体" w:hint="eastAsia"/>
          <w:sz w:val="28"/>
          <w:szCs w:val="28"/>
        </w:rPr>
        <w:t>依据《危险化学品重大危险源监督管理暂行规定》原国家安全生产监督管理总局令第40号（79号令修改）的规定，新桥化工对辨识确认的危险化学品重大危险源相关文件、资料进行登记建档，建立了重大危险源档案。</w:t>
      </w:r>
    </w:p>
    <w:p w:rsidR="004F34D9" w:rsidRPr="00123108" w:rsidRDefault="004F34D9">
      <w:pPr>
        <w:spacing w:line="360" w:lineRule="auto"/>
        <w:ind w:firstLineChars="200" w:firstLine="560"/>
        <w:jc w:val="left"/>
        <w:rPr>
          <w:rFonts w:ascii="宋体" w:hAnsi="宋体" w:hint="eastAsia"/>
          <w:sz w:val="28"/>
          <w:szCs w:val="28"/>
        </w:rPr>
      </w:pPr>
      <w:r w:rsidRPr="00123108">
        <w:rPr>
          <w:rFonts w:ascii="宋体" w:hAnsi="宋体" w:hint="eastAsia"/>
          <w:sz w:val="28"/>
          <w:szCs w:val="28"/>
        </w:rPr>
        <w:t>根据《应急管理部办公厅关于印发危险化学品企业重大危险源安全包保责任制办法（试行）的通知》应急厅〔2021〕12号的规定，新桥化工能严格落实各项管理要求。公司制定的《重大危险源管理规定》，明确了重大危险源的主要负责人、技术负责人和操作负责人，明确了各负责人的安全包保责任。</w:t>
      </w:r>
    </w:p>
    <w:p w:rsidR="004F34D9" w:rsidRPr="00123108" w:rsidRDefault="004F34D9">
      <w:pPr>
        <w:spacing w:line="360" w:lineRule="auto"/>
        <w:jc w:val="center"/>
        <w:rPr>
          <w:rFonts w:ascii="宋体" w:hAnsi="宋体" w:cs="宋体" w:hint="eastAsia"/>
          <w:b/>
          <w:sz w:val="28"/>
          <w:szCs w:val="28"/>
        </w:rPr>
      </w:pPr>
      <w:r w:rsidRPr="00123108">
        <w:rPr>
          <w:rFonts w:ascii="宋体" w:hAnsi="宋体" w:cs="宋体" w:hint="eastAsia"/>
          <w:b/>
          <w:sz w:val="28"/>
          <w:szCs w:val="28"/>
        </w:rPr>
        <w:t>附表2.10-4  各重大危险源单元包保责任人清单</w:t>
      </w:r>
    </w:p>
    <w:tbl>
      <w:tblPr>
        <w:tblW w:w="9401" w:type="dxa"/>
        <w:jc w:val="center"/>
        <w:tblInd w:w="0" w:type="dxa"/>
        <w:tblBorders>
          <w:top w:val="single" w:sz="8" w:space="0" w:color="auto"/>
          <w:left w:val="single" w:sz="8" w:space="0" w:color="auto"/>
          <w:bottom w:val="single" w:sz="4" w:space="0" w:color="auto"/>
          <w:insideH w:val="single" w:sz="4" w:space="0" w:color="auto"/>
          <w:insideV w:val="single" w:sz="4" w:space="0" w:color="auto"/>
        </w:tblBorders>
        <w:tblLook w:val="0000" w:firstRow="0" w:lastRow="0" w:firstColumn="0" w:lastColumn="0" w:noHBand="0" w:noVBand="0"/>
      </w:tblPr>
      <w:tblGrid>
        <w:gridCol w:w="760"/>
        <w:gridCol w:w="1481"/>
        <w:gridCol w:w="1752"/>
        <w:gridCol w:w="1260"/>
        <w:gridCol w:w="1575"/>
        <w:gridCol w:w="1323"/>
        <w:gridCol w:w="1250"/>
      </w:tblGrid>
      <w:tr w:rsidR="004F34D9" w:rsidRPr="00123108">
        <w:trPr>
          <w:trHeight w:val="340"/>
          <w:jc w:val="center"/>
        </w:trPr>
        <w:tc>
          <w:tcPr>
            <w:tcW w:w="760" w:type="dxa"/>
            <w:noWrap/>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序号</w:t>
            </w:r>
          </w:p>
        </w:tc>
        <w:tc>
          <w:tcPr>
            <w:tcW w:w="1481" w:type="dxa"/>
            <w:noWrap/>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重大危险源名称</w:t>
            </w:r>
          </w:p>
        </w:tc>
        <w:tc>
          <w:tcPr>
            <w:tcW w:w="1752" w:type="dxa"/>
            <w:noWrap/>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物料</w:t>
            </w:r>
          </w:p>
        </w:tc>
        <w:tc>
          <w:tcPr>
            <w:tcW w:w="1260" w:type="dxa"/>
            <w:noWrap/>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负责部门</w:t>
            </w:r>
          </w:p>
        </w:tc>
        <w:tc>
          <w:tcPr>
            <w:tcW w:w="1575" w:type="dxa"/>
            <w:noWrap/>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主要负责人</w:t>
            </w:r>
          </w:p>
        </w:tc>
        <w:tc>
          <w:tcPr>
            <w:tcW w:w="1323" w:type="dxa"/>
            <w:noWrap/>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技术负责人</w:t>
            </w:r>
          </w:p>
        </w:tc>
        <w:tc>
          <w:tcPr>
            <w:tcW w:w="1250" w:type="dxa"/>
            <w:noWrap/>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操作负责人</w:t>
            </w:r>
          </w:p>
        </w:tc>
      </w:tr>
      <w:tr w:rsidR="004F34D9" w:rsidRPr="00123108">
        <w:trPr>
          <w:trHeight w:val="340"/>
          <w:jc w:val="center"/>
        </w:trPr>
        <w:tc>
          <w:tcPr>
            <w:tcW w:w="760" w:type="dxa"/>
            <w:noWrap/>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1</w:t>
            </w:r>
          </w:p>
        </w:tc>
        <w:tc>
          <w:tcPr>
            <w:tcW w:w="1481" w:type="dxa"/>
            <w:noWrap/>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苯乙烯罐区</w:t>
            </w:r>
          </w:p>
        </w:tc>
        <w:tc>
          <w:tcPr>
            <w:tcW w:w="1752" w:type="dxa"/>
            <w:noWrap/>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苯乙烯</w:t>
            </w:r>
          </w:p>
        </w:tc>
        <w:tc>
          <w:tcPr>
            <w:tcW w:w="1260" w:type="dxa"/>
            <w:noWrap/>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资材组</w:t>
            </w:r>
          </w:p>
        </w:tc>
        <w:tc>
          <w:tcPr>
            <w:tcW w:w="1575" w:type="dxa"/>
            <w:noWrap/>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田志雨</w:t>
            </w:r>
          </w:p>
        </w:tc>
        <w:tc>
          <w:tcPr>
            <w:tcW w:w="1323" w:type="dxa"/>
            <w:noWrap/>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杨小松</w:t>
            </w:r>
          </w:p>
        </w:tc>
        <w:tc>
          <w:tcPr>
            <w:tcW w:w="1250" w:type="dxa"/>
            <w:noWrap/>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马金军</w:t>
            </w:r>
          </w:p>
        </w:tc>
      </w:tr>
      <w:tr w:rsidR="004F34D9" w:rsidRPr="00123108">
        <w:trPr>
          <w:trHeight w:val="340"/>
          <w:jc w:val="center"/>
        </w:trPr>
        <w:tc>
          <w:tcPr>
            <w:tcW w:w="760" w:type="dxa"/>
            <w:noWrap/>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2</w:t>
            </w:r>
          </w:p>
        </w:tc>
        <w:tc>
          <w:tcPr>
            <w:tcW w:w="1481" w:type="dxa"/>
            <w:noWrap/>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5#成品仓库</w:t>
            </w:r>
          </w:p>
        </w:tc>
        <w:tc>
          <w:tcPr>
            <w:tcW w:w="1752" w:type="dxa"/>
            <w:noWrap/>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可发性聚苯乙烯（EPS)</w:t>
            </w:r>
          </w:p>
        </w:tc>
        <w:tc>
          <w:tcPr>
            <w:tcW w:w="1260" w:type="dxa"/>
            <w:noWrap/>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资材组</w:t>
            </w:r>
          </w:p>
        </w:tc>
        <w:tc>
          <w:tcPr>
            <w:tcW w:w="1575" w:type="dxa"/>
            <w:noWrap/>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田志雨</w:t>
            </w:r>
          </w:p>
        </w:tc>
        <w:tc>
          <w:tcPr>
            <w:tcW w:w="1323" w:type="dxa"/>
            <w:noWrap/>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杨小松</w:t>
            </w:r>
          </w:p>
        </w:tc>
        <w:tc>
          <w:tcPr>
            <w:tcW w:w="1250" w:type="dxa"/>
            <w:noWrap/>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徐云富</w:t>
            </w:r>
          </w:p>
        </w:tc>
      </w:tr>
    </w:tbl>
    <w:p w:rsidR="004F34D9" w:rsidRPr="00123108" w:rsidRDefault="0027750A">
      <w:pPr>
        <w:jc w:val="left"/>
        <w:rPr>
          <w:rFonts w:ascii="宋体" w:hAnsi="宋体" w:cs="宋体" w:hint="eastAsia"/>
          <w:sz w:val="28"/>
        </w:rPr>
      </w:pPr>
      <w:r w:rsidRPr="00123108">
        <w:rPr>
          <w:rFonts w:ascii="宋体" w:hAnsi="宋体" w:cs="宋体" w:hint="eastAsia"/>
          <w:noProof/>
          <w:sz w:val="28"/>
        </w:rPr>
        <w:drawing>
          <wp:inline distT="0" distB="0" distL="0" distR="0">
            <wp:extent cx="5827395" cy="1160145"/>
            <wp:effectExtent l="0" t="0" r="0" b="0"/>
            <wp:docPr id="18"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27395" cy="1160145"/>
                    </a:xfrm>
                    <a:prstGeom prst="rect">
                      <a:avLst/>
                    </a:prstGeom>
                    <a:noFill/>
                    <a:ln>
                      <a:noFill/>
                    </a:ln>
                  </pic:spPr>
                </pic:pic>
              </a:graphicData>
            </a:graphic>
          </wp:inline>
        </w:drawing>
      </w:r>
    </w:p>
    <w:p w:rsidR="004F34D9" w:rsidRPr="00123108" w:rsidRDefault="004F34D9">
      <w:pPr>
        <w:jc w:val="center"/>
        <w:rPr>
          <w:rFonts w:ascii="黑体" w:eastAsia="黑体" w:hAnsi="黑体" w:cs="宋体" w:hint="eastAsia"/>
          <w:b/>
          <w:sz w:val="28"/>
        </w:rPr>
      </w:pPr>
      <w:r w:rsidRPr="00123108">
        <w:rPr>
          <w:rFonts w:ascii="黑体" w:eastAsia="黑体" w:hAnsi="黑体" w:cs="宋体" w:hint="eastAsia"/>
          <w:b/>
          <w:sz w:val="28"/>
        </w:rPr>
        <w:t>附图2.10-1 重大危险源履职情况</w:t>
      </w:r>
    </w:p>
    <w:p w:rsidR="004F34D9" w:rsidRPr="00123108" w:rsidRDefault="004F34D9">
      <w:pPr>
        <w:ind w:firstLineChars="200" w:firstLine="560"/>
        <w:jc w:val="left"/>
        <w:rPr>
          <w:rFonts w:ascii="宋体" w:hAnsi="宋体" w:cs="宋体" w:hint="eastAsia"/>
          <w:sz w:val="28"/>
        </w:rPr>
      </w:pPr>
    </w:p>
    <w:p w:rsidR="004F34D9" w:rsidRPr="00123108" w:rsidRDefault="004F34D9">
      <w:pPr>
        <w:spacing w:line="360" w:lineRule="auto"/>
        <w:ind w:firstLineChars="200" w:firstLine="560"/>
        <w:jc w:val="left"/>
        <w:rPr>
          <w:rFonts w:ascii="宋体" w:hAnsi="宋体" w:cs="宋体" w:hint="eastAsia"/>
          <w:sz w:val="28"/>
        </w:rPr>
      </w:pPr>
      <w:r w:rsidRPr="00123108">
        <w:rPr>
          <w:rFonts w:ascii="宋体" w:hAnsi="宋体" w:cs="宋体" w:hint="eastAsia"/>
          <w:sz w:val="28"/>
        </w:rPr>
        <w:lastRenderedPageBreak/>
        <w:t>依据《危险化学品重大危险源监督管理暂行规定》原国家安全生产监督管理总局令第40号（79号令修改）的规定对新桥化工危险化学品重大危险源的安全管理措施进行检查，具体见附表2.10-5。</w:t>
      </w:r>
    </w:p>
    <w:p w:rsidR="004F34D9" w:rsidRPr="00123108" w:rsidRDefault="004F34D9">
      <w:pPr>
        <w:spacing w:line="360" w:lineRule="auto"/>
        <w:jc w:val="center"/>
        <w:rPr>
          <w:rFonts w:ascii="宋体" w:hAnsi="宋体" w:cs="宋体" w:hint="eastAsia"/>
          <w:b/>
          <w:sz w:val="28"/>
          <w:szCs w:val="28"/>
        </w:rPr>
      </w:pPr>
      <w:r w:rsidRPr="00123108">
        <w:rPr>
          <w:rFonts w:ascii="宋体" w:hAnsi="宋体" w:cs="宋体" w:hint="eastAsia"/>
          <w:b/>
          <w:sz w:val="28"/>
          <w:szCs w:val="28"/>
        </w:rPr>
        <w:t>附表2.10-5  重大危险源安全管理措施检查表</w:t>
      </w:r>
    </w:p>
    <w:tbl>
      <w:tblPr>
        <w:tblW w:w="925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3"/>
        <w:gridCol w:w="4410"/>
        <w:gridCol w:w="1575"/>
        <w:gridCol w:w="1129"/>
        <w:gridCol w:w="1509"/>
      </w:tblGrid>
      <w:tr w:rsidR="004F34D9" w:rsidRPr="00123108">
        <w:trPr>
          <w:trHeight w:val="294"/>
          <w:jc w:val="center"/>
        </w:trPr>
        <w:tc>
          <w:tcPr>
            <w:tcW w:w="633"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序号</w:t>
            </w:r>
          </w:p>
        </w:tc>
        <w:tc>
          <w:tcPr>
            <w:tcW w:w="4410"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检查项目及内容</w:t>
            </w:r>
          </w:p>
        </w:tc>
        <w:tc>
          <w:tcPr>
            <w:tcW w:w="1575"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依据法规</w:t>
            </w:r>
          </w:p>
        </w:tc>
        <w:tc>
          <w:tcPr>
            <w:tcW w:w="112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结论</w:t>
            </w:r>
          </w:p>
        </w:tc>
        <w:tc>
          <w:tcPr>
            <w:tcW w:w="150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实际情况说明</w:t>
            </w:r>
          </w:p>
        </w:tc>
      </w:tr>
      <w:tr w:rsidR="004F34D9" w:rsidRPr="00123108">
        <w:trPr>
          <w:trHeight w:val="459"/>
          <w:jc w:val="center"/>
        </w:trPr>
        <w:tc>
          <w:tcPr>
            <w:tcW w:w="633"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1</w:t>
            </w:r>
          </w:p>
        </w:tc>
        <w:tc>
          <w:tcPr>
            <w:tcW w:w="4410"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危险化学品单位应当按照《危险化学品重大危险源辨识》标准，对本单位的危险化学品生产、经营、储存和使用装置、设施或者场所进行重大危险源辨识，并记录辨识过程与结果。</w:t>
            </w:r>
          </w:p>
        </w:tc>
        <w:tc>
          <w:tcPr>
            <w:tcW w:w="157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《危险化学品重大危险源监督管理暂行规定》第七条</w:t>
            </w:r>
          </w:p>
        </w:tc>
        <w:tc>
          <w:tcPr>
            <w:tcW w:w="1129"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1509"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已进行重大危险源辨识并做相应记录</w:t>
            </w:r>
          </w:p>
        </w:tc>
      </w:tr>
      <w:tr w:rsidR="004F34D9" w:rsidRPr="00123108">
        <w:trPr>
          <w:trHeight w:val="70"/>
          <w:jc w:val="center"/>
        </w:trPr>
        <w:tc>
          <w:tcPr>
            <w:tcW w:w="633"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2</w:t>
            </w:r>
          </w:p>
        </w:tc>
        <w:tc>
          <w:tcPr>
            <w:tcW w:w="4410"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危险化学品单位应当对重大危险源进行安全评估并确定重大危险源等级。</w:t>
            </w:r>
          </w:p>
        </w:tc>
        <w:tc>
          <w:tcPr>
            <w:tcW w:w="157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《危险化学品重大危险源监督管理暂行规定》第八条</w:t>
            </w:r>
          </w:p>
        </w:tc>
        <w:tc>
          <w:tcPr>
            <w:tcW w:w="1129"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1509"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已进行安全评估，确定重大危险源等级</w:t>
            </w:r>
          </w:p>
        </w:tc>
      </w:tr>
      <w:tr w:rsidR="004F34D9" w:rsidRPr="00123108">
        <w:trPr>
          <w:trHeight w:val="140"/>
          <w:jc w:val="center"/>
        </w:trPr>
        <w:tc>
          <w:tcPr>
            <w:tcW w:w="633"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3</w:t>
            </w:r>
          </w:p>
        </w:tc>
        <w:tc>
          <w:tcPr>
            <w:tcW w:w="4410"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重大危险源有下列情形之一的，应当委托具有相应资质的安全评估机构，按照有关标准的规定采用定量风险评估方法进行安全评估，确定个人和社会风险值：</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（一）构成一级或者二级重大危险源，且毒性气体实际存在（在线）量与其在《危险化学品重大危险源辨识》中规定的临界量比值之和大于或等于1的；</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（二）构成一级重大危险源，且爆炸品或液化易燃气体实际存在（在线）量与其在《危险化学品重大危险源辨识》中规定的临界量比值之和大于或等于1的。</w:t>
            </w:r>
          </w:p>
        </w:tc>
        <w:tc>
          <w:tcPr>
            <w:tcW w:w="157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《危险化学品重大危险源监督管理暂行规定》第九条</w:t>
            </w:r>
          </w:p>
        </w:tc>
        <w:tc>
          <w:tcPr>
            <w:tcW w:w="1129"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1509"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已进行安全评估，确定个人和社会风险值</w:t>
            </w:r>
          </w:p>
        </w:tc>
      </w:tr>
      <w:tr w:rsidR="004F34D9" w:rsidRPr="00123108">
        <w:trPr>
          <w:trHeight w:val="963"/>
          <w:jc w:val="center"/>
        </w:trPr>
        <w:tc>
          <w:tcPr>
            <w:tcW w:w="633"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4</w:t>
            </w:r>
          </w:p>
        </w:tc>
        <w:tc>
          <w:tcPr>
            <w:tcW w:w="4410"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危险化学品单位应当建立完善重大危险源安全管理规章制度和安全操作规程，并采取有效措施保证其得到执行。</w:t>
            </w:r>
          </w:p>
        </w:tc>
        <w:tc>
          <w:tcPr>
            <w:tcW w:w="1575"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《危险化学品重大危险源监督管理暂行规定》第十二条</w:t>
            </w:r>
          </w:p>
        </w:tc>
        <w:tc>
          <w:tcPr>
            <w:tcW w:w="1129"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符合</w:t>
            </w:r>
          </w:p>
        </w:tc>
        <w:tc>
          <w:tcPr>
            <w:tcW w:w="1509"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已制定重大危险源安全管理制度，根据企业实际制定了较完善的岗位安全操作规程，定期培训</w:t>
            </w:r>
          </w:p>
        </w:tc>
      </w:tr>
      <w:tr w:rsidR="004F34D9" w:rsidRPr="00123108">
        <w:trPr>
          <w:trHeight w:val="1008"/>
          <w:jc w:val="center"/>
        </w:trPr>
        <w:tc>
          <w:tcPr>
            <w:tcW w:w="633"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5</w:t>
            </w:r>
          </w:p>
        </w:tc>
        <w:tc>
          <w:tcPr>
            <w:tcW w:w="4410"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通过定量风险评估确定的重大危险源的个人和社会风险值，不得超过本规定附件2列示的个人和社会可容许风险限值标准。</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超过个人和社会可容许风险限值标准的，危险化学品单位应当采取相应的降低风险措施。</w:t>
            </w:r>
          </w:p>
        </w:tc>
        <w:tc>
          <w:tcPr>
            <w:tcW w:w="1575"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《危险化学品重大危险源监督管理暂行规定》第十四条</w:t>
            </w:r>
          </w:p>
        </w:tc>
        <w:tc>
          <w:tcPr>
            <w:tcW w:w="1129"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符合</w:t>
            </w:r>
          </w:p>
        </w:tc>
        <w:tc>
          <w:tcPr>
            <w:tcW w:w="1509"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个人和社会风险值均在容许范围内</w:t>
            </w:r>
          </w:p>
        </w:tc>
      </w:tr>
      <w:tr w:rsidR="004F34D9" w:rsidRPr="00123108">
        <w:trPr>
          <w:trHeight w:val="1008"/>
          <w:jc w:val="center"/>
        </w:trPr>
        <w:tc>
          <w:tcPr>
            <w:tcW w:w="633"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6</w:t>
            </w:r>
          </w:p>
        </w:tc>
        <w:tc>
          <w:tcPr>
            <w:tcW w:w="4410"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有下列情形之一的，危险化学品单位应当对重大危险源重新进行辨识、安全评估及分级：</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（一）重大危险源安全评估已满三年的；</w:t>
            </w:r>
          </w:p>
          <w:p w:rsidR="004F34D9" w:rsidRPr="00123108" w:rsidRDefault="004F34D9">
            <w:pPr>
              <w:snapToGrid w:val="0"/>
              <w:textAlignment w:val="baseline"/>
              <w:rPr>
                <w:rFonts w:ascii="宋体" w:hAnsi="宋体" w:cs="宋体" w:hint="eastAsia"/>
                <w:kern w:val="0"/>
                <w:szCs w:val="21"/>
              </w:rPr>
            </w:pPr>
            <w:r w:rsidRPr="00123108">
              <w:rPr>
                <w:rFonts w:ascii="宋体" w:hAnsi="宋体" w:cs="宋体" w:hint="eastAsia"/>
                <w:kern w:val="0"/>
                <w:szCs w:val="21"/>
              </w:rPr>
              <w:t>（二）构成重大危险源的装置、设施或者场所进行新建、改建、扩建的；</w:t>
            </w:r>
          </w:p>
          <w:p w:rsidR="004F34D9" w:rsidRPr="00123108" w:rsidRDefault="004F34D9">
            <w:pPr>
              <w:snapToGrid w:val="0"/>
              <w:textAlignment w:val="baseline"/>
              <w:rPr>
                <w:rFonts w:ascii="宋体" w:hAnsi="宋体" w:cs="宋体" w:hint="eastAsia"/>
                <w:kern w:val="0"/>
                <w:szCs w:val="21"/>
              </w:rPr>
            </w:pPr>
            <w:r w:rsidRPr="00123108">
              <w:rPr>
                <w:rFonts w:ascii="宋体" w:hAnsi="宋体" w:cs="宋体" w:hint="eastAsia"/>
                <w:kern w:val="0"/>
                <w:szCs w:val="21"/>
              </w:rPr>
              <w:t>（三）危险化学品种类、数量、生产、使用工艺或者储存方式及重要设备、设施等发生变化，影响重大危险源级别或者风险程度的；</w:t>
            </w:r>
          </w:p>
          <w:p w:rsidR="004F34D9" w:rsidRPr="00123108" w:rsidRDefault="004F34D9">
            <w:pPr>
              <w:snapToGrid w:val="0"/>
              <w:textAlignment w:val="baseline"/>
              <w:rPr>
                <w:rFonts w:ascii="宋体" w:hAnsi="宋体" w:cs="宋体" w:hint="eastAsia"/>
                <w:kern w:val="0"/>
                <w:szCs w:val="21"/>
              </w:rPr>
            </w:pPr>
            <w:r w:rsidRPr="00123108">
              <w:rPr>
                <w:rFonts w:ascii="宋体" w:hAnsi="宋体" w:cs="宋体" w:hint="eastAsia"/>
                <w:kern w:val="0"/>
                <w:szCs w:val="21"/>
              </w:rPr>
              <w:t>（四）外界生产安全环境因素发生变化，影响重</w:t>
            </w:r>
            <w:r w:rsidRPr="00123108">
              <w:rPr>
                <w:rFonts w:ascii="宋体" w:hAnsi="宋体" w:cs="宋体" w:hint="eastAsia"/>
                <w:kern w:val="0"/>
                <w:szCs w:val="21"/>
              </w:rPr>
              <w:lastRenderedPageBreak/>
              <w:t>大危险源级别和风险程度的；</w:t>
            </w:r>
          </w:p>
          <w:p w:rsidR="004F34D9" w:rsidRPr="00123108" w:rsidRDefault="004F34D9">
            <w:pPr>
              <w:snapToGrid w:val="0"/>
              <w:textAlignment w:val="baseline"/>
              <w:rPr>
                <w:rFonts w:ascii="宋体" w:hAnsi="宋体" w:cs="宋体" w:hint="eastAsia"/>
                <w:kern w:val="0"/>
                <w:szCs w:val="21"/>
              </w:rPr>
            </w:pPr>
            <w:r w:rsidRPr="00123108">
              <w:rPr>
                <w:rFonts w:ascii="宋体" w:hAnsi="宋体" w:cs="宋体" w:hint="eastAsia"/>
                <w:kern w:val="0"/>
                <w:szCs w:val="21"/>
              </w:rPr>
              <w:t>（五）发生危险化学品事故造成人员死亡，或者10人以上受伤，或者影响到公共安全的；</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（六）有关重大危险源辨识和安全评估的国家标准、行业标准发生变化的。</w:t>
            </w:r>
          </w:p>
        </w:tc>
        <w:tc>
          <w:tcPr>
            <w:tcW w:w="1575"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lastRenderedPageBreak/>
              <w:t>《危险化学品重大危险源监督管理暂行规定》第十一条</w:t>
            </w:r>
          </w:p>
        </w:tc>
        <w:tc>
          <w:tcPr>
            <w:tcW w:w="1129"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符合</w:t>
            </w:r>
          </w:p>
        </w:tc>
        <w:tc>
          <w:tcPr>
            <w:tcW w:w="1509"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已按《危险化学品重大危险源辨识》GB 18218-2018对重大危险源重新进行辨识、安全评估及分级</w:t>
            </w:r>
          </w:p>
        </w:tc>
      </w:tr>
      <w:tr w:rsidR="004F34D9" w:rsidRPr="00123108">
        <w:trPr>
          <w:trHeight w:val="70"/>
          <w:jc w:val="center"/>
        </w:trPr>
        <w:tc>
          <w:tcPr>
            <w:tcW w:w="633"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7</w:t>
            </w:r>
          </w:p>
        </w:tc>
        <w:tc>
          <w:tcPr>
            <w:tcW w:w="4410"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危险化学品单位应当根据构成重大危险源的危险化学品种类、数量、生产、使用工艺（方式）或者相关设备、设施等实际情况，按照下列要求建立健全安全监测监控体系，完善控制措施：</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一）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30天；</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（二）重大危险源的化工生产装置装备满足安全生产要求的自动化控制系统；一级或者二级重大危险源，装备紧急停车系统；</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三）对重大危险源中的毒性气体、剧毒液体和易燃气体等重点设施，设置紧急切断装置；毒性气体的设施，设置泄漏物紧急处置装置。涉及毒性气体、液化气体、剧毒液体的一级或者二级重大危险源，配备独立的安全仪表系统（SIS）；</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（四）重大危险源中储存剧毒物质的场所或者设施，设置视频监控系统；</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（五）安全监测监控系统符合国家标准或者行业标准的规定。</w:t>
            </w:r>
          </w:p>
        </w:tc>
        <w:tc>
          <w:tcPr>
            <w:tcW w:w="1575"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《危险化学品重大危险源监督管理暂行规定》第十三条</w:t>
            </w:r>
          </w:p>
        </w:tc>
        <w:tc>
          <w:tcPr>
            <w:tcW w:w="1129"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符合</w:t>
            </w:r>
          </w:p>
        </w:tc>
        <w:tc>
          <w:tcPr>
            <w:tcW w:w="1509"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已设置液位、压力、温度等的监测系统，相关场所配备可燃气体检测报警器，已设置DCS系统、SIS系统，安全监测监控系统符合国家相关标准</w:t>
            </w:r>
          </w:p>
        </w:tc>
      </w:tr>
      <w:tr w:rsidR="004F34D9" w:rsidRPr="00123108">
        <w:trPr>
          <w:trHeight w:val="1340"/>
          <w:jc w:val="center"/>
        </w:trPr>
        <w:tc>
          <w:tcPr>
            <w:tcW w:w="633"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8</w:t>
            </w:r>
          </w:p>
        </w:tc>
        <w:tc>
          <w:tcPr>
            <w:tcW w:w="4410"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危险化学品单位应当按照国家有关规定，定期对重大危险源的安全设施和安全监测监控系统进行检测、检验，并进行经常性维护、保养，保证重大危险源的安全设施和安全监测监控系统有效、可靠运行。维护、保养、检测应当作好记录，并由有关人员签字。</w:t>
            </w:r>
          </w:p>
        </w:tc>
        <w:tc>
          <w:tcPr>
            <w:tcW w:w="1575"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《危险化学品重大危险源监督管理暂行规定》第十五条</w:t>
            </w:r>
          </w:p>
        </w:tc>
        <w:tc>
          <w:tcPr>
            <w:tcW w:w="1129"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符合</w:t>
            </w:r>
          </w:p>
        </w:tc>
        <w:tc>
          <w:tcPr>
            <w:tcW w:w="1509"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定期对重大危险源的安全设施和安全监测监控系统进行检测、检验，并进行经常性维护、保养</w:t>
            </w:r>
          </w:p>
        </w:tc>
      </w:tr>
      <w:tr w:rsidR="004F34D9" w:rsidRPr="00123108">
        <w:trPr>
          <w:trHeight w:val="919"/>
          <w:jc w:val="center"/>
        </w:trPr>
        <w:tc>
          <w:tcPr>
            <w:tcW w:w="633"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9</w:t>
            </w:r>
          </w:p>
        </w:tc>
        <w:tc>
          <w:tcPr>
            <w:tcW w:w="4410"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tc>
        <w:tc>
          <w:tcPr>
            <w:tcW w:w="1575"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《危险化学品重大危险源监督管理暂行规定》第十六条</w:t>
            </w:r>
          </w:p>
        </w:tc>
        <w:tc>
          <w:tcPr>
            <w:tcW w:w="1129"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符合</w:t>
            </w:r>
          </w:p>
        </w:tc>
        <w:tc>
          <w:tcPr>
            <w:tcW w:w="1509"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已明确重大危险源中关键装置、重点部位的责任人及责任机构，并定期对其进行排查</w:t>
            </w:r>
          </w:p>
        </w:tc>
      </w:tr>
      <w:tr w:rsidR="004F34D9" w:rsidRPr="00123108">
        <w:trPr>
          <w:trHeight w:val="919"/>
          <w:jc w:val="center"/>
        </w:trPr>
        <w:tc>
          <w:tcPr>
            <w:tcW w:w="633"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10</w:t>
            </w:r>
          </w:p>
        </w:tc>
        <w:tc>
          <w:tcPr>
            <w:tcW w:w="4410"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危险化学品单位应当对重大危险源的管理和操作岗位人员进行安全操作技能培训，使其了解重大危险源的危险特性，熟悉重大危险源安全管理规章制度和安全操作规程，掌握本岗位的安全操作技能和应急措施。</w:t>
            </w:r>
          </w:p>
        </w:tc>
        <w:tc>
          <w:tcPr>
            <w:tcW w:w="1575"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《危险化学品重大危险源监督管理暂行规定》第十七条</w:t>
            </w:r>
          </w:p>
        </w:tc>
        <w:tc>
          <w:tcPr>
            <w:tcW w:w="1129"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符合</w:t>
            </w:r>
          </w:p>
        </w:tc>
        <w:tc>
          <w:tcPr>
            <w:tcW w:w="1509"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经过培训、考核，合格后方能上岗操作，员工熟知重大危险源相关制度和规程，掌握了岗位安全操作技能和应急措施</w:t>
            </w:r>
          </w:p>
        </w:tc>
      </w:tr>
      <w:tr w:rsidR="004F34D9" w:rsidRPr="00123108">
        <w:trPr>
          <w:trHeight w:val="409"/>
          <w:jc w:val="center"/>
        </w:trPr>
        <w:tc>
          <w:tcPr>
            <w:tcW w:w="633"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11</w:t>
            </w:r>
          </w:p>
        </w:tc>
        <w:tc>
          <w:tcPr>
            <w:tcW w:w="4410"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危险化学品单位应当在重大危险源所在场所设置明显的安全警示标志，写明紧急情况下的应急处置办法。</w:t>
            </w:r>
          </w:p>
        </w:tc>
        <w:tc>
          <w:tcPr>
            <w:tcW w:w="157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《危险化学品重大危险源监督管理暂行规定》第</w:t>
            </w:r>
            <w:r w:rsidRPr="00123108">
              <w:rPr>
                <w:rFonts w:ascii="宋体" w:hAnsi="宋体" w:cs="宋体" w:hint="eastAsia"/>
                <w:kern w:val="0"/>
                <w:szCs w:val="21"/>
              </w:rPr>
              <w:lastRenderedPageBreak/>
              <w:t>十八条</w:t>
            </w:r>
          </w:p>
        </w:tc>
        <w:tc>
          <w:tcPr>
            <w:tcW w:w="1129"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lastRenderedPageBreak/>
              <w:t>符合</w:t>
            </w:r>
          </w:p>
        </w:tc>
        <w:tc>
          <w:tcPr>
            <w:tcW w:w="1509"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已根据最新的辨识结果设置重大危险源“两</w:t>
            </w:r>
            <w:r w:rsidRPr="00123108">
              <w:rPr>
                <w:rFonts w:ascii="宋体" w:hAnsi="宋体" w:cs="宋体" w:hint="eastAsia"/>
                <w:kern w:val="0"/>
                <w:szCs w:val="21"/>
              </w:rPr>
              <w:lastRenderedPageBreak/>
              <w:t>牌一箱”</w:t>
            </w:r>
          </w:p>
        </w:tc>
      </w:tr>
      <w:tr w:rsidR="004F34D9" w:rsidRPr="00123108">
        <w:trPr>
          <w:trHeight w:val="409"/>
          <w:jc w:val="center"/>
        </w:trPr>
        <w:tc>
          <w:tcPr>
            <w:tcW w:w="633"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lastRenderedPageBreak/>
              <w:t>12</w:t>
            </w:r>
          </w:p>
        </w:tc>
        <w:tc>
          <w:tcPr>
            <w:tcW w:w="4410"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危险化学品单位应当将重大危险源可能发生的事故后果和应急措施等信息，以适当方式告知可能受影响的单位、区域及人员。</w:t>
            </w:r>
          </w:p>
        </w:tc>
        <w:tc>
          <w:tcPr>
            <w:tcW w:w="157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《危险化学品重大危险源监督管理暂行规定》第十九条</w:t>
            </w:r>
          </w:p>
        </w:tc>
        <w:tc>
          <w:tcPr>
            <w:tcW w:w="1129"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1509"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已告知周边企业</w:t>
            </w:r>
          </w:p>
        </w:tc>
      </w:tr>
      <w:tr w:rsidR="004F34D9" w:rsidRPr="00123108">
        <w:trPr>
          <w:trHeight w:val="409"/>
          <w:jc w:val="center"/>
        </w:trPr>
        <w:tc>
          <w:tcPr>
            <w:tcW w:w="633"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13</w:t>
            </w:r>
          </w:p>
        </w:tc>
        <w:tc>
          <w:tcPr>
            <w:tcW w:w="4410"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tc>
        <w:tc>
          <w:tcPr>
            <w:tcW w:w="157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《危险化学品重大危险源监督管理暂行规定》第二十条</w:t>
            </w:r>
          </w:p>
        </w:tc>
        <w:tc>
          <w:tcPr>
            <w:tcW w:w="1129"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1509"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已制定重大危险源事故应急预案，已配备相应的防护装备及应急救援器材</w:t>
            </w:r>
          </w:p>
        </w:tc>
      </w:tr>
      <w:tr w:rsidR="004F34D9" w:rsidRPr="00123108">
        <w:trPr>
          <w:trHeight w:val="567"/>
          <w:jc w:val="center"/>
        </w:trPr>
        <w:tc>
          <w:tcPr>
            <w:tcW w:w="633"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14</w:t>
            </w:r>
          </w:p>
        </w:tc>
        <w:tc>
          <w:tcPr>
            <w:tcW w:w="4410"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对存在吸入性有毒、有害气体的重大危险源，危险化学品单位应当配备便携式浓度检测设备、空气呼吸器、化学防护服、堵漏器材等应急器材和设备；涉及剧毒气体的重大危险源，还应当配备两套以上（含本数）气密型化学防护服；涉及易燃易爆气体或者易燃液体蒸气的重大危险源，还应当配备一定数量的便携式可燃气体检测设备。</w:t>
            </w:r>
          </w:p>
        </w:tc>
        <w:tc>
          <w:tcPr>
            <w:tcW w:w="157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《危险化学品重大危险源监督管理暂行规定》第二十条</w:t>
            </w:r>
          </w:p>
        </w:tc>
        <w:tc>
          <w:tcPr>
            <w:tcW w:w="1129"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1509"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应急器材和设备配备情况详见表2.11-8</w:t>
            </w:r>
          </w:p>
        </w:tc>
      </w:tr>
      <w:tr w:rsidR="004F34D9" w:rsidRPr="00123108">
        <w:trPr>
          <w:trHeight w:val="567"/>
          <w:jc w:val="center"/>
        </w:trPr>
        <w:tc>
          <w:tcPr>
            <w:tcW w:w="633"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15</w:t>
            </w:r>
          </w:p>
        </w:tc>
        <w:tc>
          <w:tcPr>
            <w:tcW w:w="4410"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危险化学品单位应当制定重大危险源事故应急预案演练计划，并按照下列要求进行事故应急预案演练：</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一）对重大危险源专项应急预案，每年至少进行一次；（二）对重大危险源现场处置方案，每半年至少进行一次。应急预案演练结束后，危险化学品单位应当对应急预案演练效果进行评估，撰写应急预案演练评估报告，分析存在的问题，对应急预案提出修订意见，并及时修订完善。</w:t>
            </w:r>
          </w:p>
        </w:tc>
        <w:tc>
          <w:tcPr>
            <w:tcW w:w="1575"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《危险化学品重大危险源监督管理暂行规定》第二十一条</w:t>
            </w:r>
          </w:p>
        </w:tc>
        <w:tc>
          <w:tcPr>
            <w:tcW w:w="1129"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符合</w:t>
            </w:r>
          </w:p>
        </w:tc>
        <w:tc>
          <w:tcPr>
            <w:tcW w:w="1509"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有应急预案演练计划及演练记录</w:t>
            </w:r>
          </w:p>
        </w:tc>
      </w:tr>
      <w:tr w:rsidR="004F34D9" w:rsidRPr="00123108">
        <w:trPr>
          <w:trHeight w:val="1549"/>
          <w:jc w:val="center"/>
        </w:trPr>
        <w:tc>
          <w:tcPr>
            <w:tcW w:w="633"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16</w:t>
            </w:r>
          </w:p>
        </w:tc>
        <w:tc>
          <w:tcPr>
            <w:tcW w:w="4410"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危险化学品单位应当对辨识确认的重大危险源及时、逐项进行登记建档。重大危险源档案应当包括下列文件、资料：</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一）辨识、分级记录；（二）重大危险源基本特征表；（三）涉及的所有化学品安全技术说明书；（四）区域位置图、平面布置图、工艺流程图和主要设备一览表；（五）重大危险源安全管理规章制度及安全操作规程；（六）安全监测监控系统、措施说明、检测、检验结果；（七）重大危险源事故应急预案、评审意见、演练计划和评估报告；</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（八）安全评估报告或者安全评估报告；（九）重大危险源关键装置、重点部位的责任人、责任机构名称；（十）重大危险源场所安全警示标志的设置情况；（十一）其他文件、资料。</w:t>
            </w:r>
          </w:p>
        </w:tc>
        <w:tc>
          <w:tcPr>
            <w:tcW w:w="1575"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《危险化学品重大危险源监督管理暂行规定》第二十二条</w:t>
            </w:r>
          </w:p>
        </w:tc>
        <w:tc>
          <w:tcPr>
            <w:tcW w:w="1129"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符合</w:t>
            </w:r>
          </w:p>
        </w:tc>
        <w:tc>
          <w:tcPr>
            <w:tcW w:w="1509"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已建立重大危险源档案，包括所述内容</w:t>
            </w:r>
          </w:p>
        </w:tc>
      </w:tr>
      <w:tr w:rsidR="004F34D9" w:rsidRPr="00123108">
        <w:trPr>
          <w:trHeight w:val="679"/>
          <w:jc w:val="center"/>
        </w:trPr>
        <w:tc>
          <w:tcPr>
            <w:tcW w:w="633"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17</w:t>
            </w:r>
          </w:p>
        </w:tc>
        <w:tc>
          <w:tcPr>
            <w:tcW w:w="4410"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危险化学品单位新建、改建和扩建危险化学品建设项目，应当在建设项目竣工验收前完成重大危险源的辨识、安全评估和分级、登记建档工作，并向所在地县级人民政府安全生产监督管理部门备案。</w:t>
            </w:r>
          </w:p>
        </w:tc>
        <w:tc>
          <w:tcPr>
            <w:tcW w:w="1575"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《危险化学品重大危险源监督管理暂行规定》第二十三条</w:t>
            </w:r>
          </w:p>
        </w:tc>
        <w:tc>
          <w:tcPr>
            <w:tcW w:w="1129"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符合</w:t>
            </w:r>
          </w:p>
        </w:tc>
        <w:tc>
          <w:tcPr>
            <w:tcW w:w="1509" w:type="dxa"/>
            <w:vAlign w:val="center"/>
          </w:tcPr>
          <w:p w:rsidR="004F34D9" w:rsidRPr="00123108" w:rsidRDefault="004F34D9">
            <w:pPr>
              <w:snapToGrid w:val="0"/>
              <w:spacing w:line="300" w:lineRule="exact"/>
              <w:rPr>
                <w:rFonts w:ascii="宋体" w:hAnsi="宋体" w:cs="宋体" w:hint="eastAsia"/>
                <w:kern w:val="0"/>
                <w:szCs w:val="21"/>
              </w:rPr>
            </w:pPr>
            <w:r w:rsidRPr="00123108">
              <w:rPr>
                <w:rFonts w:ascii="宋体" w:hAnsi="宋体" w:cs="宋体" w:hint="eastAsia"/>
                <w:kern w:val="0"/>
                <w:szCs w:val="21"/>
              </w:rPr>
              <w:t>已备案</w:t>
            </w:r>
          </w:p>
        </w:tc>
      </w:tr>
    </w:tbl>
    <w:p w:rsidR="004F34D9" w:rsidRPr="00123108" w:rsidRDefault="004F34D9">
      <w:pPr>
        <w:ind w:firstLineChars="200" w:firstLine="560"/>
        <w:jc w:val="left"/>
        <w:rPr>
          <w:rFonts w:ascii="宋体" w:hAnsi="宋体" w:cs="宋体" w:hint="eastAsia"/>
          <w:sz w:val="28"/>
          <w:szCs w:val="28"/>
        </w:rPr>
      </w:pPr>
    </w:p>
    <w:p w:rsidR="004F34D9" w:rsidRPr="00123108" w:rsidRDefault="004F34D9">
      <w:pPr>
        <w:spacing w:line="360" w:lineRule="auto"/>
        <w:ind w:firstLineChars="200" w:firstLine="560"/>
        <w:jc w:val="left"/>
        <w:rPr>
          <w:rFonts w:ascii="宋体" w:hAnsi="宋体" w:cs="宋体" w:hint="eastAsia"/>
          <w:sz w:val="28"/>
        </w:rPr>
      </w:pPr>
      <w:r w:rsidRPr="00123108">
        <w:rPr>
          <w:rFonts w:ascii="宋体" w:hAnsi="宋体" w:cs="宋体" w:hint="eastAsia"/>
          <w:sz w:val="28"/>
        </w:rPr>
        <w:t>小结：通过对新桥化工危险化学品重大危险源的安全管理措施进行检</w:t>
      </w:r>
      <w:r w:rsidRPr="00123108">
        <w:rPr>
          <w:rFonts w:ascii="宋体" w:hAnsi="宋体" w:cs="宋体" w:hint="eastAsia"/>
          <w:sz w:val="28"/>
        </w:rPr>
        <w:lastRenderedPageBreak/>
        <w:t>查，能够符合要求。</w:t>
      </w:r>
    </w:p>
    <w:p w:rsidR="004F34D9" w:rsidRPr="00123108" w:rsidRDefault="004F34D9">
      <w:pPr>
        <w:spacing w:line="360" w:lineRule="auto"/>
        <w:ind w:firstLineChars="200" w:firstLine="560"/>
        <w:jc w:val="left"/>
        <w:rPr>
          <w:rFonts w:ascii="宋体" w:hAnsi="宋体" w:cs="宋体" w:hint="eastAsia"/>
          <w:sz w:val="28"/>
          <w:szCs w:val="28"/>
        </w:rPr>
      </w:pPr>
      <w:bookmarkStart w:id="1816" w:name="_Toc355277446"/>
      <w:r w:rsidRPr="00123108">
        <w:rPr>
          <w:rFonts w:ascii="宋体" w:hAnsi="宋体" w:cs="宋体" w:hint="eastAsia"/>
          <w:sz w:val="28"/>
          <w:szCs w:val="28"/>
        </w:rPr>
        <w:t>（3）安全技术和监控措施</w:t>
      </w:r>
      <w:bookmarkEnd w:id="1816"/>
    </w:p>
    <w:p w:rsidR="004F34D9" w:rsidRPr="00123108" w:rsidRDefault="004F34D9">
      <w:pPr>
        <w:spacing w:line="360" w:lineRule="auto"/>
        <w:ind w:firstLineChars="200" w:firstLine="560"/>
        <w:rPr>
          <w:rFonts w:ascii="宋体" w:hAnsi="宋体" w:cs="宋体" w:hint="eastAsia"/>
          <w:b/>
          <w:sz w:val="28"/>
          <w:szCs w:val="28"/>
        </w:rPr>
      </w:pPr>
      <w:r w:rsidRPr="00123108">
        <w:rPr>
          <w:rFonts w:ascii="宋体" w:hAnsi="宋体" w:cs="宋体" w:hint="eastAsia"/>
          <w:sz w:val="28"/>
        </w:rPr>
        <w:t>依据《危险化学品重大危险源安全监控通用技术规范》AQ 3035-2010、《危险化学品重大危险源 罐区现场安全监控装备设置规范》AQ 3036-2010对新桥化工危险化学品重大危险源的安全技术和监控措施进行检查，见附表2.10-6。</w:t>
      </w:r>
    </w:p>
    <w:p w:rsidR="004F34D9" w:rsidRPr="00123108" w:rsidRDefault="004F34D9">
      <w:pPr>
        <w:spacing w:line="360" w:lineRule="auto"/>
        <w:jc w:val="center"/>
        <w:rPr>
          <w:rFonts w:ascii="宋体" w:hAnsi="宋体" w:cs="宋体" w:hint="eastAsia"/>
          <w:b/>
          <w:bCs/>
          <w:sz w:val="28"/>
          <w:szCs w:val="28"/>
        </w:rPr>
      </w:pPr>
      <w:r w:rsidRPr="00123108">
        <w:rPr>
          <w:rFonts w:ascii="宋体" w:hAnsi="宋体" w:cs="宋体" w:hint="eastAsia"/>
          <w:b/>
          <w:sz w:val="28"/>
          <w:szCs w:val="28"/>
        </w:rPr>
        <w:t>附表2.10-6</w:t>
      </w:r>
      <w:r w:rsidRPr="00123108">
        <w:rPr>
          <w:rFonts w:ascii="宋体" w:hAnsi="宋体" w:cs="宋体" w:hint="eastAsia"/>
          <w:b/>
          <w:bCs/>
          <w:sz w:val="28"/>
          <w:szCs w:val="28"/>
        </w:rPr>
        <w:t xml:space="preserve">  重大危险源安全技术及监控措施检查情况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4304"/>
        <w:gridCol w:w="1366"/>
        <w:gridCol w:w="708"/>
        <w:gridCol w:w="2125"/>
      </w:tblGrid>
      <w:tr w:rsidR="004F34D9" w:rsidRPr="00123108">
        <w:trPr>
          <w:trHeight w:val="567"/>
          <w:jc w:val="center"/>
        </w:trPr>
        <w:tc>
          <w:tcPr>
            <w:tcW w:w="739" w:type="dxa"/>
            <w:vAlign w:val="center"/>
          </w:tcPr>
          <w:p w:rsidR="004F34D9" w:rsidRPr="00123108" w:rsidRDefault="004F34D9">
            <w:pPr>
              <w:spacing w:line="276" w:lineRule="auto"/>
              <w:jc w:val="center"/>
              <w:rPr>
                <w:rFonts w:ascii="宋体" w:hAnsi="宋体" w:cs="宋体" w:hint="eastAsia"/>
                <w:szCs w:val="21"/>
              </w:rPr>
            </w:pPr>
            <w:r w:rsidRPr="00123108">
              <w:rPr>
                <w:rFonts w:ascii="宋体" w:hAnsi="宋体" w:cs="宋体" w:hint="eastAsia"/>
                <w:szCs w:val="21"/>
              </w:rPr>
              <w:t>序号</w:t>
            </w:r>
          </w:p>
        </w:tc>
        <w:tc>
          <w:tcPr>
            <w:tcW w:w="4304" w:type="dxa"/>
            <w:vAlign w:val="center"/>
          </w:tcPr>
          <w:p w:rsidR="004F34D9" w:rsidRPr="00123108" w:rsidRDefault="004F34D9">
            <w:pPr>
              <w:pStyle w:val="af0"/>
              <w:spacing w:line="276" w:lineRule="auto"/>
              <w:jc w:val="center"/>
              <w:rPr>
                <w:rFonts w:ascii="宋体" w:hAnsi="宋体" w:cs="宋体" w:hint="eastAsia"/>
                <w:szCs w:val="21"/>
              </w:rPr>
            </w:pPr>
            <w:r w:rsidRPr="00123108">
              <w:rPr>
                <w:rFonts w:ascii="宋体" w:hAnsi="宋体" w:cs="宋体" w:hint="eastAsia"/>
                <w:szCs w:val="21"/>
              </w:rPr>
              <w:t>检查项目及内容</w:t>
            </w:r>
          </w:p>
        </w:tc>
        <w:tc>
          <w:tcPr>
            <w:tcW w:w="1366" w:type="dxa"/>
            <w:vAlign w:val="center"/>
          </w:tcPr>
          <w:p w:rsidR="004F34D9" w:rsidRPr="00123108" w:rsidRDefault="004F34D9">
            <w:pPr>
              <w:spacing w:line="276" w:lineRule="auto"/>
              <w:jc w:val="center"/>
              <w:rPr>
                <w:rFonts w:ascii="宋体" w:hAnsi="宋体" w:cs="宋体" w:hint="eastAsia"/>
                <w:szCs w:val="21"/>
              </w:rPr>
            </w:pPr>
            <w:r w:rsidRPr="00123108">
              <w:rPr>
                <w:rFonts w:ascii="宋体" w:hAnsi="宋体" w:cs="宋体" w:hint="eastAsia"/>
                <w:szCs w:val="21"/>
              </w:rPr>
              <w:t>依据标准</w:t>
            </w:r>
          </w:p>
        </w:tc>
        <w:tc>
          <w:tcPr>
            <w:tcW w:w="708" w:type="dxa"/>
            <w:vAlign w:val="center"/>
          </w:tcPr>
          <w:p w:rsidR="004F34D9" w:rsidRPr="00123108" w:rsidRDefault="004F34D9">
            <w:pPr>
              <w:pStyle w:val="2f3"/>
              <w:tabs>
                <w:tab w:val="clear" w:pos="277"/>
                <w:tab w:val="clear" w:pos="600"/>
                <w:tab w:val="clear" w:pos="780"/>
                <w:tab w:val="clear" w:pos="2517"/>
              </w:tabs>
              <w:adjustRightInd/>
              <w:spacing w:before="0" w:line="276" w:lineRule="auto"/>
              <w:textAlignment w:val="auto"/>
              <w:rPr>
                <w:rFonts w:ascii="宋体" w:hAnsi="宋体" w:cs="宋体" w:hint="eastAsia"/>
                <w:kern w:val="2"/>
                <w:szCs w:val="21"/>
              </w:rPr>
            </w:pPr>
            <w:r w:rsidRPr="00123108">
              <w:rPr>
                <w:rFonts w:ascii="宋体" w:hAnsi="宋体" w:cs="宋体" w:hint="eastAsia"/>
                <w:szCs w:val="21"/>
              </w:rPr>
              <w:t>结论</w:t>
            </w:r>
          </w:p>
        </w:tc>
        <w:tc>
          <w:tcPr>
            <w:tcW w:w="2125" w:type="dxa"/>
            <w:vAlign w:val="center"/>
          </w:tcPr>
          <w:p w:rsidR="004F34D9" w:rsidRPr="00123108" w:rsidRDefault="004F34D9">
            <w:pPr>
              <w:spacing w:line="276" w:lineRule="auto"/>
              <w:jc w:val="center"/>
              <w:rPr>
                <w:rFonts w:ascii="宋体" w:hAnsi="宋体" w:cs="宋体" w:hint="eastAsia"/>
                <w:szCs w:val="21"/>
              </w:rPr>
            </w:pPr>
            <w:r w:rsidRPr="00123108">
              <w:rPr>
                <w:rFonts w:ascii="宋体" w:hAnsi="宋体" w:cs="宋体" w:hint="eastAsia"/>
                <w:szCs w:val="21"/>
              </w:rPr>
              <w:t>实际情况</w:t>
            </w:r>
          </w:p>
        </w:tc>
      </w:tr>
      <w:tr w:rsidR="004F34D9" w:rsidRPr="00123108">
        <w:trPr>
          <w:trHeight w:val="567"/>
          <w:jc w:val="center"/>
        </w:trPr>
        <w:tc>
          <w:tcPr>
            <w:tcW w:w="739" w:type="dxa"/>
            <w:vAlign w:val="center"/>
          </w:tcPr>
          <w:p w:rsidR="004F34D9" w:rsidRPr="00123108" w:rsidRDefault="004F34D9">
            <w:pPr>
              <w:spacing w:line="276" w:lineRule="auto"/>
              <w:jc w:val="center"/>
              <w:rPr>
                <w:rFonts w:ascii="宋体" w:hAnsi="宋体" w:cs="宋体" w:hint="eastAsia"/>
                <w:szCs w:val="21"/>
              </w:rPr>
            </w:pPr>
            <w:r w:rsidRPr="00123108">
              <w:rPr>
                <w:rFonts w:ascii="宋体" w:hAnsi="宋体" w:cs="宋体" w:hint="eastAsia"/>
                <w:szCs w:val="21"/>
              </w:rPr>
              <w:t>1</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重大危险源（储罐区、库区和生产场所）应设有相对独立的安全监控预警系统，相关现场探测仪器的数据宜直接接入到系统控制设备中，系统应符合本标准的规定。</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AQ 3035-2010第4.2条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重大危险源罐区已设置可燃气体检测报警器、温度、压力等超限报警等安全监控预警系统</w:t>
            </w:r>
          </w:p>
        </w:tc>
      </w:tr>
      <w:tr w:rsidR="004F34D9" w:rsidRPr="00123108">
        <w:trPr>
          <w:trHeight w:val="1126"/>
          <w:jc w:val="center"/>
        </w:trPr>
        <w:tc>
          <w:tcPr>
            <w:tcW w:w="739" w:type="dxa"/>
            <w:vAlign w:val="center"/>
          </w:tcPr>
          <w:p w:rsidR="004F34D9" w:rsidRPr="00123108" w:rsidRDefault="004F34D9">
            <w:pPr>
              <w:spacing w:line="276" w:lineRule="auto"/>
              <w:jc w:val="center"/>
              <w:rPr>
                <w:rFonts w:ascii="宋体" w:hAnsi="宋体" w:cs="宋体" w:hint="eastAsia"/>
                <w:szCs w:val="21"/>
              </w:rPr>
            </w:pPr>
            <w:r w:rsidRPr="00123108">
              <w:rPr>
                <w:rFonts w:ascii="宋体" w:hAnsi="宋体" w:cs="宋体" w:hint="eastAsia"/>
                <w:szCs w:val="21"/>
              </w:rPr>
              <w:t>2</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系统所用设备应符合现场和环境的具体要求，具有相应的功能和使用寿命。在火灾和爆炸危险场所设置的设备，应符合国家有关防爆、防雷、防静电等标准和规范的要求。</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AQ 3035-2010第4.2条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系统所用设备符合现场和环境的具体要求，电气防爆、防雷、防静电已检测合格</w:t>
            </w:r>
          </w:p>
        </w:tc>
      </w:tr>
      <w:tr w:rsidR="004F34D9" w:rsidRPr="00123108">
        <w:trPr>
          <w:trHeight w:val="1173"/>
          <w:jc w:val="center"/>
        </w:trPr>
        <w:tc>
          <w:tcPr>
            <w:tcW w:w="739" w:type="dxa"/>
            <w:vAlign w:val="center"/>
          </w:tcPr>
          <w:p w:rsidR="004F34D9" w:rsidRPr="00123108" w:rsidRDefault="004F34D9">
            <w:pPr>
              <w:spacing w:line="276" w:lineRule="auto"/>
              <w:jc w:val="center"/>
              <w:rPr>
                <w:rFonts w:ascii="宋体" w:hAnsi="宋体" w:cs="宋体" w:hint="eastAsia"/>
                <w:szCs w:val="21"/>
              </w:rPr>
            </w:pPr>
            <w:r w:rsidRPr="00123108">
              <w:rPr>
                <w:rFonts w:ascii="宋体" w:hAnsi="宋体" w:cs="宋体" w:hint="eastAsia"/>
                <w:szCs w:val="21"/>
              </w:rPr>
              <w:t>3</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系统应具有温度、压力、液位和可燃/有毒气体浓度等模拟量，以及液位高低报警等开关量的采集功能。数据采集时间的间隔应可调。系统应具有巡检功能。</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AQ 3035-2010第4.7.1条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系统设有温度、压力、液位、可燃、有毒气体浓度等采集功能</w:t>
            </w:r>
          </w:p>
        </w:tc>
      </w:tr>
      <w:tr w:rsidR="004F34D9" w:rsidRPr="00123108">
        <w:trPr>
          <w:trHeight w:val="567"/>
          <w:jc w:val="center"/>
        </w:trPr>
        <w:tc>
          <w:tcPr>
            <w:tcW w:w="739" w:type="dxa"/>
            <w:vAlign w:val="center"/>
          </w:tcPr>
          <w:p w:rsidR="004F34D9" w:rsidRPr="00123108" w:rsidRDefault="004F34D9">
            <w:pPr>
              <w:spacing w:line="276" w:lineRule="auto"/>
              <w:jc w:val="center"/>
              <w:rPr>
                <w:rFonts w:ascii="宋体" w:hAnsi="宋体" w:cs="宋体" w:hint="eastAsia"/>
                <w:szCs w:val="21"/>
              </w:rPr>
            </w:pPr>
            <w:r w:rsidRPr="00123108">
              <w:rPr>
                <w:rFonts w:ascii="宋体" w:hAnsi="宋体" w:cs="宋体" w:hint="eastAsia"/>
                <w:szCs w:val="21"/>
              </w:rPr>
              <w:t>4</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系统应具有监控参数列表显示功能，同一参数各量值应统一采用标准计算单位，包括模拟量、模拟量累计值和开关量等。</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AQ 3035-2010第4.7.2.3条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计算机中可显示</w:t>
            </w:r>
          </w:p>
        </w:tc>
      </w:tr>
      <w:tr w:rsidR="004F34D9" w:rsidRPr="00123108">
        <w:trPr>
          <w:trHeight w:val="1515"/>
          <w:jc w:val="center"/>
        </w:trPr>
        <w:tc>
          <w:tcPr>
            <w:tcW w:w="739" w:type="dxa"/>
            <w:vAlign w:val="center"/>
          </w:tcPr>
          <w:p w:rsidR="004F34D9" w:rsidRPr="00123108" w:rsidRDefault="004F34D9">
            <w:pPr>
              <w:spacing w:line="276" w:lineRule="auto"/>
              <w:jc w:val="center"/>
              <w:rPr>
                <w:rFonts w:ascii="宋体" w:hAnsi="宋体" w:cs="宋体" w:hint="eastAsia"/>
                <w:szCs w:val="21"/>
              </w:rPr>
            </w:pPr>
            <w:r w:rsidRPr="00123108">
              <w:rPr>
                <w:rFonts w:ascii="宋体" w:hAnsi="宋体" w:cs="宋体" w:hint="eastAsia"/>
                <w:szCs w:val="21"/>
              </w:rPr>
              <w:t>5</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系统应具有监控参数图形显示功能：</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a）系统应具有模拟量实时曲线和历史曲线显示功能。曲线为点绘图，根据需要可以按照多线图的方式在同一坐标上使用不同颜色同时显示多个变量，或同一变量的最大、最小、平均值等曲线；</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b）系统应具有开关量状态图及柱状图显示功能。</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AQ 3035-2010第4.7.2.4条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系统具有监控参数图形显示功能</w:t>
            </w:r>
          </w:p>
        </w:tc>
      </w:tr>
      <w:tr w:rsidR="004F34D9" w:rsidRPr="00123108">
        <w:trPr>
          <w:trHeight w:val="1515"/>
          <w:jc w:val="center"/>
        </w:trPr>
        <w:tc>
          <w:tcPr>
            <w:tcW w:w="739" w:type="dxa"/>
            <w:vAlign w:val="center"/>
          </w:tcPr>
          <w:p w:rsidR="004F34D9" w:rsidRPr="00123108" w:rsidRDefault="004F34D9">
            <w:pPr>
              <w:spacing w:line="276" w:lineRule="auto"/>
              <w:jc w:val="center"/>
              <w:rPr>
                <w:rFonts w:ascii="宋体" w:hAnsi="宋体" w:cs="宋体" w:hint="eastAsia"/>
                <w:szCs w:val="21"/>
              </w:rPr>
            </w:pPr>
            <w:r w:rsidRPr="00123108">
              <w:rPr>
                <w:rFonts w:ascii="宋体" w:hAnsi="宋体" w:cs="宋体" w:hint="eastAsia"/>
                <w:szCs w:val="21"/>
              </w:rPr>
              <w:t>6</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系统应具有报警信息显示功能，除了报警汇总列表显示外，在界面上应有一个专门的报警区或弹出式界面，用来指示最新的、最高优先级的或其他设定条件的未经确认的系统报警。</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AQ 3035-2010第4.7.2.7条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计算机可显示报警信息</w:t>
            </w:r>
          </w:p>
        </w:tc>
      </w:tr>
      <w:tr w:rsidR="004F34D9" w:rsidRPr="00123108">
        <w:trPr>
          <w:trHeight w:val="70"/>
          <w:jc w:val="center"/>
        </w:trPr>
        <w:tc>
          <w:tcPr>
            <w:tcW w:w="739" w:type="dxa"/>
            <w:vAlign w:val="center"/>
          </w:tcPr>
          <w:p w:rsidR="004F34D9" w:rsidRPr="00123108" w:rsidRDefault="004F34D9">
            <w:pPr>
              <w:spacing w:line="276" w:lineRule="auto"/>
              <w:jc w:val="center"/>
              <w:rPr>
                <w:rFonts w:ascii="宋体" w:hAnsi="宋体" w:cs="宋体" w:hint="eastAsia"/>
                <w:szCs w:val="21"/>
              </w:rPr>
            </w:pPr>
            <w:r w:rsidRPr="00123108">
              <w:rPr>
                <w:rFonts w:ascii="宋体" w:hAnsi="宋体" w:cs="宋体" w:hint="eastAsia"/>
                <w:szCs w:val="21"/>
              </w:rPr>
              <w:t>7</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系统应具有监控数据的存储功能：</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将数据加工处理后以数据文件形式存贮在现场或监控中心的外存贮器内并保留一定的时间，包括监控参数、报警及处置、视频图像、</w:t>
            </w:r>
            <w:r w:rsidRPr="00123108">
              <w:rPr>
                <w:rFonts w:ascii="宋体" w:hAnsi="宋体" w:cs="宋体" w:hint="eastAsia"/>
                <w:kern w:val="0"/>
                <w:szCs w:val="21"/>
              </w:rPr>
              <w:lastRenderedPageBreak/>
              <w:t>故障及排除以及相关系统信息等，所有数据应附带时间信息。</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lastRenderedPageBreak/>
              <w:t>AQ 3035-2010第4.7.3条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系统具备数据存储功能，包括监控参数、报警及处置、视频图像、故障及排除以及</w:t>
            </w:r>
            <w:r w:rsidRPr="00123108">
              <w:rPr>
                <w:rFonts w:ascii="宋体" w:hAnsi="宋体" w:cs="宋体" w:hint="eastAsia"/>
                <w:kern w:val="0"/>
                <w:szCs w:val="21"/>
              </w:rPr>
              <w:lastRenderedPageBreak/>
              <w:t>相关系统信息等，所有数据附带有时间信息</w:t>
            </w:r>
          </w:p>
        </w:tc>
      </w:tr>
      <w:tr w:rsidR="004F34D9" w:rsidRPr="00123108">
        <w:trPr>
          <w:trHeight w:val="567"/>
          <w:jc w:val="center"/>
        </w:trPr>
        <w:tc>
          <w:tcPr>
            <w:tcW w:w="73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lastRenderedPageBreak/>
              <w:t>8</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系统应提供对实时和历史数据的多条件复合查询和分类统计功能，应支持模糊查询，查询信息包括：</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a）模拟量实时监测值及其最大、最小、平均和累计值；</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b）开关量状态及变化时刻；</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c）视频录像；</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d）报警及警报解除信息；</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e）系统操作日志；</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f）系统故障及恢复情况等。</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AQ 3035-2010第4.7.4.1条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系统提供查询内容包括所述内容</w:t>
            </w:r>
          </w:p>
        </w:tc>
      </w:tr>
      <w:tr w:rsidR="004F34D9" w:rsidRPr="00123108">
        <w:trPr>
          <w:trHeight w:val="567"/>
          <w:jc w:val="center"/>
        </w:trPr>
        <w:tc>
          <w:tcPr>
            <w:tcW w:w="73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9</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报警：系统应具有根据设定的报警条件进行报警及提示的功能：a）当出现模拟量超限、非正常流程切换操作引起的开关量状态改变以及其他异常情况时实时报送至相关的报警控制设备，由系统实现多种方式的联动报警，包括页面图文报警、报警点声光报警以及必要时可选邮件和短信报警等。在事故现场设置有监控摄像机时，页面图文报警时应同时显示现场监控视频图像与参数报警信息，并进行现场录像；b）系统应设有事故远程报警按钮，此按钮应设在适宜部位并带有防护罩和明显标志。</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AQ 3035-2010第4.7.5条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系统具有根据设定的报警条件进行报警及提示的功能</w:t>
            </w:r>
          </w:p>
        </w:tc>
      </w:tr>
      <w:tr w:rsidR="004F34D9" w:rsidRPr="00123108">
        <w:trPr>
          <w:trHeight w:val="567"/>
          <w:jc w:val="center"/>
        </w:trPr>
        <w:tc>
          <w:tcPr>
            <w:tcW w:w="73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10</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不属于系统但与系统相关联的其它系统或设备，以及不为系统独有的子系统或设备的控制权应明确，不得互相干扰或影响各自系统的运行。</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AQ 3035-2010第4.7.7.3条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系统独立，分别接入控制室，控制权明确，不存在互相干扰</w:t>
            </w:r>
          </w:p>
        </w:tc>
      </w:tr>
      <w:tr w:rsidR="004F34D9" w:rsidRPr="00123108">
        <w:trPr>
          <w:trHeight w:val="567"/>
          <w:jc w:val="center"/>
        </w:trPr>
        <w:tc>
          <w:tcPr>
            <w:tcW w:w="73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11</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系统应具有日志管理的功能。系统日志将运行系统的状态信息和通信信息统一管理起来，用户可以通过日志来了解系统的运行情况。</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AQ 3035-2010第4.7.13条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具有记录、存盘、查询、调取等功能，日志系统完善</w:t>
            </w:r>
          </w:p>
        </w:tc>
      </w:tr>
      <w:tr w:rsidR="004F34D9" w:rsidRPr="00123108">
        <w:trPr>
          <w:trHeight w:val="567"/>
          <w:jc w:val="center"/>
        </w:trPr>
        <w:tc>
          <w:tcPr>
            <w:tcW w:w="73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12</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软件应具有用户与权限管理功能：</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a）系统用户信息包括姓名、登录名、密码、单位和角色等，应提供管理界面授权用户可以对相关记录进行添加、删除和修改；</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b）软件应实现多级权限管理。建立各用户对系统模块、设备和数据库记录的操作权限表，提供操作界面允许对各权限表进行修改维护；</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c）软件应提供密码设置功能。操作员应通过密码校验方可进行相关操作，并记录操作人、时间和相关操作记录等。</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AQ 3035-2010第4.8.2条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具有管理权限a、b、c所述的管理功能</w:t>
            </w:r>
          </w:p>
        </w:tc>
      </w:tr>
      <w:tr w:rsidR="004F34D9" w:rsidRPr="00123108">
        <w:trPr>
          <w:trHeight w:val="70"/>
          <w:jc w:val="center"/>
        </w:trPr>
        <w:tc>
          <w:tcPr>
            <w:tcW w:w="73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13</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无报警稳定运行期间，重要监测点的实时监控数据应保存7d以上，否则应保存30d以上。音视频信息应保存7d以上。报警信息应保存1年以上。</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AQ 3035-2010第4.9.5条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数据保存符合存储时间要求</w:t>
            </w:r>
          </w:p>
        </w:tc>
      </w:tr>
      <w:tr w:rsidR="004F34D9" w:rsidRPr="00123108">
        <w:trPr>
          <w:trHeight w:val="567"/>
          <w:jc w:val="center"/>
        </w:trPr>
        <w:tc>
          <w:tcPr>
            <w:tcW w:w="739" w:type="dxa"/>
            <w:vAlign w:val="center"/>
          </w:tcPr>
          <w:p w:rsidR="004F34D9" w:rsidRPr="00123108" w:rsidRDefault="004F34D9">
            <w:pPr>
              <w:spacing w:line="260" w:lineRule="exact"/>
              <w:jc w:val="center"/>
              <w:rPr>
                <w:rFonts w:ascii="宋体" w:hAnsi="宋体" w:cs="宋体" w:hint="eastAsia"/>
                <w:szCs w:val="21"/>
              </w:rPr>
            </w:pPr>
            <w:r w:rsidRPr="00123108">
              <w:rPr>
                <w:rFonts w:ascii="宋体" w:hAnsi="宋体" w:cs="宋体" w:hint="eastAsia"/>
                <w:szCs w:val="21"/>
              </w:rPr>
              <w:t>14</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系统应进行工作稳定性试验，通电试验时间不小于7d。测试期间，系统性能应符合本标准以及各自企业产品标准的规定。</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AQ 3035-2010第4.9.11条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系统稳定性试验、通电试验符合要求</w:t>
            </w:r>
          </w:p>
        </w:tc>
      </w:tr>
      <w:tr w:rsidR="004F34D9" w:rsidRPr="00123108">
        <w:trPr>
          <w:trHeight w:val="567"/>
          <w:jc w:val="center"/>
        </w:trPr>
        <w:tc>
          <w:tcPr>
            <w:tcW w:w="739" w:type="dxa"/>
            <w:vAlign w:val="center"/>
          </w:tcPr>
          <w:p w:rsidR="004F34D9" w:rsidRPr="00123108" w:rsidRDefault="004F34D9">
            <w:pPr>
              <w:spacing w:line="260" w:lineRule="exact"/>
              <w:jc w:val="center"/>
              <w:rPr>
                <w:rFonts w:ascii="宋体" w:hAnsi="宋体" w:cs="宋体" w:hint="eastAsia"/>
                <w:szCs w:val="21"/>
              </w:rPr>
            </w:pPr>
            <w:r w:rsidRPr="00123108">
              <w:rPr>
                <w:rFonts w:ascii="宋体" w:hAnsi="宋体" w:cs="宋体" w:hint="eastAsia"/>
                <w:szCs w:val="21"/>
              </w:rPr>
              <w:lastRenderedPageBreak/>
              <w:t>15</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对于监测方法和仪表的选择，主要考虑监测对象、监测范围和测量精度、稳定性与可靠性、防爆和防腐、安装、维护及检修、环境要求和经济性等因素。监控设备的性能应满足应用要求。</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AQ 3036-2010第4.2.1条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监测方法与检测仪表与检测对象范围及精度、稳定性等维护工作满足应用要求</w:t>
            </w:r>
          </w:p>
        </w:tc>
      </w:tr>
      <w:tr w:rsidR="004F34D9" w:rsidRPr="00123108">
        <w:trPr>
          <w:trHeight w:val="567"/>
          <w:jc w:val="center"/>
        </w:trPr>
        <w:tc>
          <w:tcPr>
            <w:tcW w:w="739" w:type="dxa"/>
            <w:vAlign w:val="center"/>
          </w:tcPr>
          <w:p w:rsidR="004F34D9" w:rsidRPr="00123108" w:rsidRDefault="004F34D9">
            <w:pPr>
              <w:spacing w:line="260" w:lineRule="exact"/>
              <w:jc w:val="center"/>
              <w:rPr>
                <w:rFonts w:ascii="宋体" w:hAnsi="宋体" w:cs="宋体" w:hint="eastAsia"/>
                <w:szCs w:val="21"/>
              </w:rPr>
            </w:pPr>
            <w:r w:rsidRPr="00123108">
              <w:rPr>
                <w:rFonts w:ascii="宋体" w:hAnsi="宋体" w:cs="宋体" w:hint="eastAsia"/>
                <w:szCs w:val="21"/>
              </w:rPr>
              <w:t>16</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对于罐区明火和可燃、有毒气体的监测报警仪，应根据监测范围、监测点和环境因素等确定其安装位置，安装应符合有关规定。</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AQ 3036-2010第4.2.6条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根据相关要求进行设计、安装</w:t>
            </w:r>
          </w:p>
        </w:tc>
      </w:tr>
      <w:tr w:rsidR="004F34D9" w:rsidRPr="00123108">
        <w:trPr>
          <w:trHeight w:val="567"/>
          <w:jc w:val="center"/>
        </w:trPr>
        <w:tc>
          <w:tcPr>
            <w:tcW w:w="739" w:type="dxa"/>
            <w:vAlign w:val="center"/>
          </w:tcPr>
          <w:p w:rsidR="004F34D9" w:rsidRPr="00123108" w:rsidRDefault="004F34D9">
            <w:pPr>
              <w:spacing w:line="260" w:lineRule="exact"/>
              <w:jc w:val="center"/>
              <w:rPr>
                <w:rFonts w:ascii="宋体" w:hAnsi="宋体" w:cs="宋体" w:hint="eastAsia"/>
                <w:szCs w:val="21"/>
              </w:rPr>
            </w:pPr>
            <w:r w:rsidRPr="00123108">
              <w:rPr>
                <w:rFonts w:ascii="宋体" w:hAnsi="宋体" w:cs="宋体" w:hint="eastAsia"/>
                <w:szCs w:val="21"/>
              </w:rPr>
              <w:t>17</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紧急切换装置应同时考虑对上下游装置安全生产的影响，并实现与上下游装置的报警通讯、延迟执行功能。必要时，应同时设置紧急泄压或物料回收设施。</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AQ 3036-2010第5.2条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紧急切换装置满足左项要求</w:t>
            </w:r>
          </w:p>
        </w:tc>
      </w:tr>
      <w:tr w:rsidR="004F34D9" w:rsidRPr="00123108">
        <w:trPr>
          <w:trHeight w:val="140"/>
          <w:jc w:val="center"/>
        </w:trPr>
        <w:tc>
          <w:tcPr>
            <w:tcW w:w="739" w:type="dxa"/>
            <w:vAlign w:val="center"/>
          </w:tcPr>
          <w:p w:rsidR="004F34D9" w:rsidRPr="00123108" w:rsidRDefault="004F34D9">
            <w:pPr>
              <w:spacing w:line="260" w:lineRule="exact"/>
              <w:jc w:val="center"/>
              <w:rPr>
                <w:rFonts w:ascii="宋体" w:hAnsi="宋体" w:cs="宋体" w:hint="eastAsia"/>
                <w:szCs w:val="21"/>
              </w:rPr>
            </w:pPr>
            <w:r w:rsidRPr="00123108">
              <w:rPr>
                <w:rFonts w:ascii="宋体" w:hAnsi="宋体" w:cs="宋体" w:hint="eastAsia"/>
                <w:szCs w:val="21"/>
              </w:rPr>
              <w:t>18</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有防爆要求的罐区，应根据所存储的物料进行危险区域的划分，并选择相应防爆类型的仪表。</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AQ 3036-2010第6.1.1.3条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已进行了危险区域划分，选择了防爆类型的仪表，电气防爆检测合格</w:t>
            </w:r>
          </w:p>
        </w:tc>
      </w:tr>
      <w:tr w:rsidR="004F34D9" w:rsidRPr="00123108">
        <w:trPr>
          <w:trHeight w:val="567"/>
          <w:jc w:val="center"/>
        </w:trPr>
        <w:tc>
          <w:tcPr>
            <w:tcW w:w="739" w:type="dxa"/>
            <w:vAlign w:val="center"/>
          </w:tcPr>
          <w:p w:rsidR="004F34D9" w:rsidRPr="00123108" w:rsidRDefault="004F34D9">
            <w:pPr>
              <w:spacing w:line="260" w:lineRule="exact"/>
              <w:jc w:val="center"/>
              <w:rPr>
                <w:rFonts w:ascii="宋体" w:hAnsi="宋体" w:cs="宋体" w:hint="eastAsia"/>
                <w:szCs w:val="21"/>
              </w:rPr>
            </w:pPr>
            <w:r w:rsidRPr="00123108">
              <w:rPr>
                <w:rFonts w:ascii="宋体" w:hAnsi="宋体" w:cs="宋体" w:hint="eastAsia"/>
                <w:szCs w:val="21"/>
              </w:rPr>
              <w:t>19</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根据生产要求、介质情况、现场环境条件的特殊要求选择耐腐蚀压力表、耐高温压力表、隔膜压力表、防震压力表等。</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AQ 3036-2010第6.2.4条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已依据工艺条件和介质选择了各类压力表</w:t>
            </w:r>
          </w:p>
        </w:tc>
      </w:tr>
      <w:tr w:rsidR="004F34D9" w:rsidRPr="00123108">
        <w:trPr>
          <w:trHeight w:val="567"/>
          <w:jc w:val="center"/>
        </w:trPr>
        <w:tc>
          <w:tcPr>
            <w:tcW w:w="739" w:type="dxa"/>
            <w:vAlign w:val="center"/>
          </w:tcPr>
          <w:p w:rsidR="004F34D9" w:rsidRPr="00123108" w:rsidRDefault="004F34D9">
            <w:pPr>
              <w:spacing w:line="260" w:lineRule="exact"/>
              <w:jc w:val="center"/>
              <w:rPr>
                <w:rFonts w:ascii="宋体" w:hAnsi="宋体" w:cs="宋体" w:hint="eastAsia"/>
                <w:szCs w:val="21"/>
              </w:rPr>
            </w:pPr>
            <w:r w:rsidRPr="00123108">
              <w:rPr>
                <w:rFonts w:ascii="宋体" w:hAnsi="宋体" w:cs="宋体" w:hint="eastAsia"/>
                <w:szCs w:val="21"/>
              </w:rPr>
              <w:t>20</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对于储存介质属于GB 50160规范中甲类物料的压力储罐，应设置压力自动报警系统和相应的压力控制设施。</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AQ 3036-2010第6.2.12条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不涉及</w:t>
            </w:r>
          </w:p>
        </w:tc>
      </w:tr>
      <w:tr w:rsidR="004F34D9" w:rsidRPr="00123108">
        <w:trPr>
          <w:trHeight w:val="567"/>
          <w:jc w:val="center"/>
        </w:trPr>
        <w:tc>
          <w:tcPr>
            <w:tcW w:w="739" w:type="dxa"/>
            <w:vAlign w:val="center"/>
          </w:tcPr>
          <w:p w:rsidR="004F34D9" w:rsidRPr="00123108" w:rsidRDefault="004F34D9">
            <w:pPr>
              <w:spacing w:line="260" w:lineRule="exact"/>
              <w:jc w:val="center"/>
              <w:rPr>
                <w:rFonts w:ascii="宋体" w:hAnsi="宋体" w:cs="宋体" w:hint="eastAsia"/>
                <w:szCs w:val="21"/>
              </w:rPr>
            </w:pPr>
            <w:r w:rsidRPr="00123108">
              <w:rPr>
                <w:rFonts w:ascii="宋体" w:hAnsi="宋体" w:cs="宋体" w:hint="eastAsia"/>
                <w:szCs w:val="21"/>
              </w:rPr>
              <w:t>21</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压力储罐的罐顶应安装安全阀和相关的泄压系统，执行GB 50160和 GB 17681的规定。</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AQ 3036-2010第6.2.13条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不涉及</w:t>
            </w:r>
          </w:p>
        </w:tc>
      </w:tr>
      <w:tr w:rsidR="004F34D9" w:rsidRPr="00123108">
        <w:trPr>
          <w:trHeight w:val="567"/>
          <w:jc w:val="center"/>
        </w:trPr>
        <w:tc>
          <w:tcPr>
            <w:tcW w:w="739" w:type="dxa"/>
            <w:vAlign w:val="center"/>
          </w:tcPr>
          <w:p w:rsidR="004F34D9" w:rsidRPr="00123108" w:rsidRDefault="004F34D9">
            <w:pPr>
              <w:spacing w:line="260" w:lineRule="exact"/>
              <w:jc w:val="center"/>
              <w:rPr>
                <w:rFonts w:ascii="宋体" w:hAnsi="宋体" w:cs="宋体" w:hint="eastAsia"/>
                <w:szCs w:val="21"/>
              </w:rPr>
            </w:pPr>
            <w:r w:rsidRPr="00123108">
              <w:rPr>
                <w:rFonts w:ascii="宋体" w:hAnsi="宋体" w:cs="宋体" w:hint="eastAsia"/>
                <w:szCs w:val="21"/>
              </w:rPr>
              <w:t>22</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储罐应设置液位监测器，应具备高低位液位报警功能。</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AQ 3036-2010第6.3.1条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储罐已设置液位监测器，具备高低位液位报警功能</w:t>
            </w:r>
          </w:p>
        </w:tc>
      </w:tr>
      <w:tr w:rsidR="004F34D9" w:rsidRPr="00123108">
        <w:trPr>
          <w:trHeight w:val="567"/>
          <w:jc w:val="center"/>
        </w:trPr>
        <w:tc>
          <w:tcPr>
            <w:tcW w:w="739" w:type="dxa"/>
            <w:vAlign w:val="center"/>
          </w:tcPr>
          <w:p w:rsidR="004F34D9" w:rsidRPr="00123108" w:rsidRDefault="004F34D9">
            <w:pPr>
              <w:spacing w:line="260" w:lineRule="exact"/>
              <w:jc w:val="center"/>
              <w:rPr>
                <w:rFonts w:ascii="宋体" w:hAnsi="宋体" w:cs="宋体" w:hint="eastAsia"/>
                <w:szCs w:val="21"/>
              </w:rPr>
            </w:pPr>
            <w:r w:rsidRPr="00123108">
              <w:rPr>
                <w:rFonts w:ascii="宋体" w:hAnsi="宋体" w:cs="宋体" w:hint="eastAsia"/>
                <w:szCs w:val="21"/>
              </w:rPr>
              <w:t>23</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大型（5000m3以上）可燃液体储罐、400m3以上的危险化学品压力储罐应另设高高液位监测报警及联锁控制系统。</w:t>
            </w:r>
          </w:p>
        </w:tc>
        <w:tc>
          <w:tcPr>
            <w:tcW w:w="1366"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AQ 3036-2010第6.3.7条</w:t>
            </w:r>
          </w:p>
        </w:tc>
        <w:tc>
          <w:tcPr>
            <w:tcW w:w="708" w:type="dxa"/>
            <w:vAlign w:val="center"/>
          </w:tcPr>
          <w:p w:rsidR="004F34D9" w:rsidRPr="00123108" w:rsidRDefault="004F34D9">
            <w:pPr>
              <w:pStyle w:val="2f3"/>
              <w:tabs>
                <w:tab w:val="clear" w:pos="277"/>
                <w:tab w:val="clear" w:pos="600"/>
                <w:tab w:val="clear" w:pos="780"/>
                <w:tab w:val="clear" w:pos="2517"/>
              </w:tabs>
              <w:adjustRightInd/>
              <w:snapToGrid w:val="0"/>
              <w:spacing w:before="0"/>
              <w:textAlignment w:val="auto"/>
              <w:rPr>
                <w:rFonts w:ascii="宋体" w:hAnsi="宋体" w:cs="宋体" w:hint="eastAsia"/>
                <w:szCs w:val="21"/>
              </w:rPr>
            </w:pPr>
            <w:r w:rsidRPr="00123108">
              <w:rPr>
                <w:rFonts w:ascii="宋体" w:hAnsi="宋体" w:cs="宋体" w:hint="eastAsia"/>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已设高高液位监测报警及联锁控制系统</w:t>
            </w:r>
          </w:p>
        </w:tc>
      </w:tr>
      <w:tr w:rsidR="004F34D9" w:rsidRPr="00123108">
        <w:trPr>
          <w:trHeight w:val="567"/>
          <w:jc w:val="center"/>
        </w:trPr>
        <w:tc>
          <w:tcPr>
            <w:tcW w:w="739" w:type="dxa"/>
            <w:vAlign w:val="center"/>
          </w:tcPr>
          <w:p w:rsidR="004F34D9" w:rsidRPr="00123108" w:rsidRDefault="004F34D9">
            <w:pPr>
              <w:spacing w:line="260" w:lineRule="exact"/>
              <w:jc w:val="center"/>
              <w:rPr>
                <w:rFonts w:ascii="宋体" w:hAnsi="宋体" w:cs="宋体" w:hint="eastAsia"/>
                <w:szCs w:val="21"/>
              </w:rPr>
            </w:pPr>
            <w:r w:rsidRPr="00123108">
              <w:rPr>
                <w:rFonts w:ascii="宋体" w:hAnsi="宋体" w:cs="宋体" w:hint="eastAsia"/>
                <w:szCs w:val="21"/>
              </w:rPr>
              <w:t>24</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具有可燃气体释放源，且释放时空气中可燃气体的浓度有可能达到25% LEL的场所，应设置相关的可燃气体监测报警仪。</w:t>
            </w:r>
          </w:p>
        </w:tc>
        <w:tc>
          <w:tcPr>
            <w:tcW w:w="1366"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AQ 3036-2010第7.1.1条</w:t>
            </w:r>
          </w:p>
        </w:tc>
        <w:tc>
          <w:tcPr>
            <w:tcW w:w="708" w:type="dxa"/>
            <w:vAlign w:val="center"/>
          </w:tcPr>
          <w:p w:rsidR="004F34D9" w:rsidRPr="00123108" w:rsidRDefault="004F34D9">
            <w:pPr>
              <w:pStyle w:val="2f3"/>
              <w:tabs>
                <w:tab w:val="clear" w:pos="277"/>
                <w:tab w:val="clear" w:pos="600"/>
                <w:tab w:val="clear" w:pos="780"/>
                <w:tab w:val="clear" w:pos="2517"/>
              </w:tabs>
              <w:adjustRightInd/>
              <w:snapToGrid w:val="0"/>
              <w:spacing w:before="0"/>
              <w:textAlignment w:val="auto"/>
              <w:rPr>
                <w:rFonts w:ascii="宋体" w:hAnsi="宋体" w:cs="宋体" w:hint="eastAsia"/>
                <w:szCs w:val="21"/>
              </w:rPr>
            </w:pPr>
            <w:r w:rsidRPr="00123108">
              <w:rPr>
                <w:rFonts w:ascii="宋体" w:hAnsi="宋体" w:cs="宋体" w:hint="eastAsia"/>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已设置可燃气体监测报警仪</w:t>
            </w:r>
          </w:p>
        </w:tc>
      </w:tr>
      <w:tr w:rsidR="004F34D9" w:rsidRPr="00123108">
        <w:trPr>
          <w:trHeight w:val="567"/>
          <w:jc w:val="center"/>
        </w:trPr>
        <w:tc>
          <w:tcPr>
            <w:tcW w:w="739" w:type="dxa"/>
            <w:vAlign w:val="center"/>
          </w:tcPr>
          <w:p w:rsidR="004F34D9" w:rsidRPr="00123108" w:rsidRDefault="004F34D9">
            <w:pPr>
              <w:spacing w:line="260" w:lineRule="exact"/>
              <w:jc w:val="center"/>
              <w:rPr>
                <w:rFonts w:ascii="宋体" w:hAnsi="宋体" w:cs="宋体" w:hint="eastAsia"/>
                <w:szCs w:val="21"/>
              </w:rPr>
            </w:pPr>
            <w:r w:rsidRPr="00123108">
              <w:rPr>
                <w:rFonts w:ascii="宋体" w:hAnsi="宋体" w:cs="宋体" w:hint="eastAsia"/>
                <w:szCs w:val="21"/>
              </w:rPr>
              <w:t>25</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具有有毒气体释放源，且释放时空气中有毒气体浓度可达到最高容许值并有人员活动的场所，应设置有毒气体监测报警仪。</w:t>
            </w:r>
          </w:p>
        </w:tc>
        <w:tc>
          <w:tcPr>
            <w:tcW w:w="1366"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AQ 3036-2010第7.1.2条</w:t>
            </w:r>
          </w:p>
        </w:tc>
        <w:tc>
          <w:tcPr>
            <w:tcW w:w="708" w:type="dxa"/>
            <w:vAlign w:val="center"/>
          </w:tcPr>
          <w:p w:rsidR="004F34D9" w:rsidRPr="00123108" w:rsidRDefault="004F34D9">
            <w:pPr>
              <w:pStyle w:val="2f3"/>
              <w:tabs>
                <w:tab w:val="clear" w:pos="277"/>
                <w:tab w:val="clear" w:pos="600"/>
                <w:tab w:val="clear" w:pos="780"/>
                <w:tab w:val="clear" w:pos="2517"/>
              </w:tabs>
              <w:adjustRightInd/>
              <w:snapToGrid w:val="0"/>
              <w:spacing w:before="0"/>
              <w:textAlignment w:val="auto"/>
              <w:rPr>
                <w:rFonts w:ascii="宋体" w:hAnsi="宋体" w:cs="宋体" w:hint="eastAsia"/>
                <w:szCs w:val="21"/>
              </w:rPr>
            </w:pPr>
            <w:r w:rsidRPr="00123108">
              <w:rPr>
                <w:rFonts w:ascii="宋体" w:hAnsi="宋体" w:cs="宋体" w:hint="eastAsia"/>
                <w:szCs w:val="21"/>
              </w:rPr>
              <w:t>/</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不涉及有毒气体释放源</w:t>
            </w:r>
          </w:p>
        </w:tc>
      </w:tr>
      <w:tr w:rsidR="004F34D9" w:rsidRPr="00123108">
        <w:trPr>
          <w:trHeight w:val="567"/>
          <w:jc w:val="center"/>
        </w:trPr>
        <w:tc>
          <w:tcPr>
            <w:tcW w:w="739" w:type="dxa"/>
            <w:vAlign w:val="center"/>
          </w:tcPr>
          <w:p w:rsidR="004F34D9" w:rsidRPr="00123108" w:rsidRDefault="004F34D9">
            <w:pPr>
              <w:spacing w:line="260" w:lineRule="exact"/>
              <w:jc w:val="center"/>
              <w:rPr>
                <w:rFonts w:ascii="宋体" w:hAnsi="宋体" w:cs="宋体" w:hint="eastAsia"/>
                <w:szCs w:val="21"/>
              </w:rPr>
            </w:pPr>
            <w:r w:rsidRPr="00123108">
              <w:rPr>
                <w:rFonts w:ascii="宋体" w:hAnsi="宋体" w:cs="宋体" w:hint="eastAsia"/>
                <w:szCs w:val="21"/>
              </w:rPr>
              <w:t>26</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可燃气体和有毒气体释放源同时存在的场所，应同时设置可燃气体和有毒气体监测报警仪。</w:t>
            </w:r>
          </w:p>
        </w:tc>
        <w:tc>
          <w:tcPr>
            <w:tcW w:w="1366"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AQ 3036-2010第7.1.3条</w:t>
            </w:r>
          </w:p>
        </w:tc>
        <w:tc>
          <w:tcPr>
            <w:tcW w:w="708" w:type="dxa"/>
            <w:vAlign w:val="center"/>
          </w:tcPr>
          <w:p w:rsidR="004F34D9" w:rsidRPr="00123108" w:rsidRDefault="004F34D9">
            <w:pPr>
              <w:pStyle w:val="2f3"/>
              <w:tabs>
                <w:tab w:val="clear" w:pos="277"/>
                <w:tab w:val="clear" w:pos="600"/>
                <w:tab w:val="clear" w:pos="780"/>
                <w:tab w:val="clear" w:pos="2517"/>
              </w:tabs>
              <w:adjustRightInd/>
              <w:snapToGrid w:val="0"/>
              <w:spacing w:before="0"/>
              <w:textAlignment w:val="auto"/>
              <w:rPr>
                <w:rFonts w:ascii="宋体" w:hAnsi="宋体" w:cs="宋体" w:hint="eastAsia"/>
                <w:szCs w:val="21"/>
              </w:rPr>
            </w:pPr>
            <w:r w:rsidRPr="00123108">
              <w:rPr>
                <w:rFonts w:ascii="宋体" w:hAnsi="宋体" w:cs="宋体" w:hint="eastAsia"/>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已设置可燃气体监测报警仪</w:t>
            </w:r>
          </w:p>
        </w:tc>
      </w:tr>
      <w:tr w:rsidR="004F34D9" w:rsidRPr="00123108">
        <w:trPr>
          <w:trHeight w:val="567"/>
          <w:jc w:val="center"/>
        </w:trPr>
        <w:tc>
          <w:tcPr>
            <w:tcW w:w="739" w:type="dxa"/>
            <w:vAlign w:val="center"/>
          </w:tcPr>
          <w:p w:rsidR="004F34D9" w:rsidRPr="00123108" w:rsidRDefault="004F34D9">
            <w:pPr>
              <w:spacing w:line="260" w:lineRule="exact"/>
              <w:jc w:val="center"/>
              <w:rPr>
                <w:rFonts w:ascii="宋体" w:hAnsi="宋体" w:cs="宋体" w:hint="eastAsia"/>
                <w:szCs w:val="21"/>
              </w:rPr>
            </w:pPr>
            <w:r w:rsidRPr="00123108">
              <w:rPr>
                <w:rFonts w:ascii="宋体" w:hAnsi="宋体" w:cs="宋体" w:hint="eastAsia"/>
                <w:szCs w:val="21"/>
              </w:rPr>
              <w:t>27</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可燃的有毒气体释放源存在的场所，可只设置有毒气体监测报警仪。</w:t>
            </w:r>
          </w:p>
        </w:tc>
        <w:tc>
          <w:tcPr>
            <w:tcW w:w="1366"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AQ 3036-2010第7.1.4条</w:t>
            </w:r>
          </w:p>
        </w:tc>
        <w:tc>
          <w:tcPr>
            <w:tcW w:w="708" w:type="dxa"/>
            <w:vAlign w:val="center"/>
          </w:tcPr>
          <w:p w:rsidR="004F34D9" w:rsidRPr="00123108" w:rsidRDefault="004F34D9">
            <w:pPr>
              <w:pStyle w:val="2f3"/>
              <w:tabs>
                <w:tab w:val="clear" w:pos="277"/>
                <w:tab w:val="clear" w:pos="600"/>
                <w:tab w:val="clear" w:pos="780"/>
                <w:tab w:val="clear" w:pos="2517"/>
              </w:tabs>
              <w:adjustRightInd/>
              <w:snapToGrid w:val="0"/>
              <w:spacing w:before="0"/>
              <w:textAlignment w:val="auto"/>
              <w:rPr>
                <w:rFonts w:ascii="宋体" w:hAnsi="宋体" w:cs="宋体" w:hint="eastAsia"/>
                <w:szCs w:val="21"/>
              </w:rPr>
            </w:pPr>
            <w:r w:rsidRPr="00123108">
              <w:rPr>
                <w:rFonts w:ascii="宋体" w:hAnsi="宋体" w:cs="宋体" w:hint="eastAsia"/>
                <w:szCs w:val="21"/>
              </w:rPr>
              <w:t>/</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不涉及有毒气体释放源</w:t>
            </w:r>
          </w:p>
        </w:tc>
      </w:tr>
      <w:tr w:rsidR="004F34D9" w:rsidRPr="00123108">
        <w:trPr>
          <w:trHeight w:val="567"/>
          <w:jc w:val="center"/>
        </w:trPr>
        <w:tc>
          <w:tcPr>
            <w:tcW w:w="73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28</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可燃气体和有毒气体混合释放的场所，一旦释放，当空气中可燃气体浓度可能达到25% LEL，而有毒气体不能达到最高容许浓度时，应设置可燃气体监测报警仪；如果一旦释放，当空气中有毒气体可能达到最高容许值，而可燃气体浓度不能达到25% LEL时，应设置毒气体监测报警仪。</w:t>
            </w:r>
          </w:p>
        </w:tc>
        <w:tc>
          <w:tcPr>
            <w:tcW w:w="1366"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AQ 3036-2010第7.1.5条</w:t>
            </w:r>
          </w:p>
        </w:tc>
        <w:tc>
          <w:tcPr>
            <w:tcW w:w="708" w:type="dxa"/>
            <w:vAlign w:val="center"/>
          </w:tcPr>
          <w:p w:rsidR="004F34D9" w:rsidRPr="00123108" w:rsidRDefault="004F34D9">
            <w:pPr>
              <w:pStyle w:val="2f3"/>
              <w:tabs>
                <w:tab w:val="clear" w:pos="277"/>
                <w:tab w:val="clear" w:pos="600"/>
                <w:tab w:val="clear" w:pos="780"/>
                <w:tab w:val="clear" w:pos="2517"/>
              </w:tabs>
              <w:adjustRightInd/>
              <w:snapToGrid w:val="0"/>
              <w:spacing w:before="0"/>
              <w:textAlignment w:val="auto"/>
              <w:rPr>
                <w:rFonts w:ascii="宋体" w:hAnsi="宋体" w:cs="宋体" w:hint="eastAsia"/>
                <w:szCs w:val="21"/>
              </w:rPr>
            </w:pPr>
            <w:r w:rsidRPr="00123108">
              <w:rPr>
                <w:rFonts w:ascii="宋体" w:hAnsi="宋体" w:cs="宋体" w:hint="eastAsia"/>
                <w:szCs w:val="21"/>
              </w:rPr>
              <w:t>符合</w:t>
            </w:r>
          </w:p>
        </w:tc>
        <w:tc>
          <w:tcPr>
            <w:tcW w:w="2125" w:type="dxa"/>
            <w:vAlign w:val="center"/>
          </w:tcPr>
          <w:p w:rsidR="004F34D9" w:rsidRPr="00123108" w:rsidRDefault="004F34D9">
            <w:pPr>
              <w:snapToGrid w:val="0"/>
              <w:spacing w:line="260" w:lineRule="exact"/>
              <w:rPr>
                <w:rFonts w:ascii="宋体" w:hAnsi="宋体" w:cs="宋体" w:hint="eastAsia"/>
                <w:kern w:val="0"/>
                <w:szCs w:val="21"/>
              </w:rPr>
            </w:pPr>
            <w:r w:rsidRPr="00123108">
              <w:rPr>
                <w:rFonts w:ascii="宋体" w:hAnsi="宋体" w:cs="宋体" w:hint="eastAsia"/>
                <w:kern w:val="0"/>
                <w:szCs w:val="21"/>
              </w:rPr>
              <w:t>已按所述要求设置可燃气体监测报警仪</w:t>
            </w:r>
          </w:p>
        </w:tc>
      </w:tr>
      <w:tr w:rsidR="004F34D9" w:rsidRPr="00123108">
        <w:trPr>
          <w:trHeight w:val="567"/>
          <w:jc w:val="center"/>
        </w:trPr>
        <w:tc>
          <w:tcPr>
            <w:tcW w:w="73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lastRenderedPageBreak/>
              <w:t>29</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一般情况安装固定式可燃气体或有毒气体监测报警仪。但是，若没有相关固定式监测报警仪或无安装固定式检报警测仪的条件，或属于非长期固定的生产场所的，可使用便携式仪器监测，或者采样监测。</w:t>
            </w:r>
          </w:p>
        </w:tc>
        <w:tc>
          <w:tcPr>
            <w:tcW w:w="1366"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AQ 3036-2010第7.1.6条</w:t>
            </w:r>
          </w:p>
        </w:tc>
        <w:tc>
          <w:tcPr>
            <w:tcW w:w="708" w:type="dxa"/>
            <w:vAlign w:val="center"/>
          </w:tcPr>
          <w:p w:rsidR="004F34D9" w:rsidRPr="00123108" w:rsidRDefault="004F34D9">
            <w:pPr>
              <w:pStyle w:val="2f3"/>
              <w:tabs>
                <w:tab w:val="clear" w:pos="277"/>
                <w:tab w:val="clear" w:pos="600"/>
                <w:tab w:val="clear" w:pos="780"/>
                <w:tab w:val="clear" w:pos="2517"/>
              </w:tabs>
              <w:adjustRightInd/>
              <w:snapToGrid w:val="0"/>
              <w:spacing w:before="0"/>
              <w:textAlignment w:val="auto"/>
              <w:rPr>
                <w:rFonts w:ascii="宋体" w:hAnsi="宋体" w:cs="宋体" w:hint="eastAsia"/>
                <w:szCs w:val="21"/>
              </w:rPr>
            </w:pPr>
            <w:r w:rsidRPr="00123108">
              <w:rPr>
                <w:rFonts w:ascii="宋体" w:hAnsi="宋体" w:cs="宋体" w:hint="eastAsia"/>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现场已安装固定式可燃气体报警仪，另外配备了便携式气体检测仪</w:t>
            </w:r>
          </w:p>
        </w:tc>
      </w:tr>
      <w:tr w:rsidR="004F34D9" w:rsidRPr="00123108">
        <w:trPr>
          <w:trHeight w:val="607"/>
          <w:jc w:val="center"/>
        </w:trPr>
        <w:tc>
          <w:tcPr>
            <w:tcW w:w="73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30</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可燃气体和（或）有毒气体监测报警的数据采集系统，宜采用专用的数据采集单元或设备，不宜将可燃气体和（或）有毒气体监测器接人其他信号采集单元或设备内，避免混用。</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AQ 3036-2010第7.1.7条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不涉及有毒气体，GDS系统独立</w:t>
            </w:r>
          </w:p>
          <w:p w:rsidR="004F34D9" w:rsidRPr="00123108" w:rsidRDefault="004F34D9">
            <w:pPr>
              <w:snapToGrid w:val="0"/>
              <w:rPr>
                <w:rFonts w:ascii="宋体" w:hAnsi="宋体" w:cs="宋体" w:hint="eastAsia"/>
                <w:kern w:val="0"/>
                <w:szCs w:val="21"/>
              </w:rPr>
            </w:pPr>
          </w:p>
        </w:tc>
      </w:tr>
      <w:tr w:rsidR="004F34D9" w:rsidRPr="00123108">
        <w:trPr>
          <w:trHeight w:val="567"/>
          <w:jc w:val="center"/>
        </w:trPr>
        <w:tc>
          <w:tcPr>
            <w:tcW w:w="73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31</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可燃气体或易燃液体储罐场所，在防火堤内每隔20m～30m设置一台可燃气体报警仪，且监测报警器与储罐的排水口、连接处、阀门等易释放物料处的距离不宜大于15m。</w:t>
            </w:r>
          </w:p>
        </w:tc>
        <w:tc>
          <w:tcPr>
            <w:tcW w:w="1366"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AQ 3036-2010第7.2.1.1条</w:t>
            </w:r>
          </w:p>
        </w:tc>
        <w:tc>
          <w:tcPr>
            <w:tcW w:w="708" w:type="dxa"/>
            <w:vAlign w:val="center"/>
          </w:tcPr>
          <w:p w:rsidR="004F34D9" w:rsidRPr="00123108" w:rsidRDefault="004F34D9">
            <w:pPr>
              <w:pStyle w:val="2f3"/>
              <w:tabs>
                <w:tab w:val="clear" w:pos="277"/>
                <w:tab w:val="clear" w:pos="600"/>
                <w:tab w:val="clear" w:pos="780"/>
                <w:tab w:val="clear" w:pos="2517"/>
              </w:tabs>
              <w:adjustRightInd/>
              <w:snapToGrid w:val="0"/>
              <w:spacing w:before="0"/>
              <w:textAlignment w:val="auto"/>
              <w:rPr>
                <w:rFonts w:ascii="宋体" w:hAnsi="宋体" w:cs="宋体" w:hint="eastAsia"/>
                <w:szCs w:val="21"/>
              </w:rPr>
            </w:pPr>
            <w:r w:rsidRPr="00123108">
              <w:rPr>
                <w:rFonts w:ascii="宋体" w:hAnsi="宋体" w:cs="宋体" w:hint="eastAsia"/>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可燃气体探测仪设置符合要求</w:t>
            </w:r>
          </w:p>
        </w:tc>
      </w:tr>
      <w:tr w:rsidR="004F34D9" w:rsidRPr="00123108">
        <w:trPr>
          <w:trHeight w:val="567"/>
          <w:jc w:val="center"/>
        </w:trPr>
        <w:tc>
          <w:tcPr>
            <w:tcW w:w="73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32</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可燃气体或易燃液体鹤管装卸栈台，应按以下规定设置可燃气体监测报警仪：</w:t>
            </w:r>
          </w:p>
          <w:p w:rsidR="004F34D9" w:rsidRPr="00123108" w:rsidRDefault="004F34D9">
            <w:pPr>
              <w:tabs>
                <w:tab w:val="left" w:pos="420"/>
              </w:tabs>
              <w:snapToGrid w:val="0"/>
              <w:rPr>
                <w:rFonts w:ascii="宋体" w:hAnsi="宋体" w:cs="宋体" w:hint="eastAsia"/>
                <w:kern w:val="0"/>
                <w:szCs w:val="21"/>
              </w:rPr>
            </w:pPr>
            <w:r w:rsidRPr="00123108">
              <w:rPr>
                <w:rFonts w:ascii="宋体" w:hAnsi="宋体" w:cs="宋体" w:hint="eastAsia"/>
                <w:kern w:val="0"/>
                <w:szCs w:val="21"/>
              </w:rPr>
              <w:t>a）小鹤管铁路装卸栈台，在地面上每隔一个车位设置一台监测报警器，且装卸车口与监测报警器的水平距离不应大于15m ；</w:t>
            </w:r>
          </w:p>
          <w:p w:rsidR="004F34D9" w:rsidRPr="00123108" w:rsidRDefault="004F34D9">
            <w:pPr>
              <w:tabs>
                <w:tab w:val="left" w:pos="840"/>
              </w:tabs>
              <w:snapToGrid w:val="0"/>
              <w:rPr>
                <w:rFonts w:ascii="宋体" w:hAnsi="宋体" w:cs="宋体" w:hint="eastAsia"/>
                <w:kern w:val="0"/>
                <w:szCs w:val="21"/>
              </w:rPr>
            </w:pPr>
            <w:r w:rsidRPr="00123108">
              <w:rPr>
                <w:rFonts w:ascii="宋体" w:hAnsi="宋体" w:cs="宋体" w:hint="eastAsia"/>
                <w:kern w:val="0"/>
                <w:szCs w:val="21"/>
              </w:rPr>
              <w:t>b）大鹤管铁路装卸栈台可设一台可燃气体监测报警器；</w:t>
            </w:r>
          </w:p>
          <w:p w:rsidR="004F34D9" w:rsidRPr="00123108" w:rsidRDefault="004F34D9">
            <w:pPr>
              <w:tabs>
                <w:tab w:val="left" w:pos="840"/>
              </w:tabs>
              <w:snapToGrid w:val="0"/>
              <w:rPr>
                <w:rFonts w:ascii="宋体" w:hAnsi="宋体" w:cs="宋体" w:hint="eastAsia"/>
                <w:kern w:val="0"/>
                <w:szCs w:val="21"/>
              </w:rPr>
            </w:pPr>
            <w:r w:rsidRPr="00123108">
              <w:rPr>
                <w:rFonts w:ascii="宋体" w:hAnsi="宋体" w:cs="宋体" w:hint="eastAsia"/>
                <w:kern w:val="0"/>
                <w:szCs w:val="21"/>
              </w:rPr>
              <w:t xml:space="preserve">c）汽车装卸站，可燃气体监测报警器与装卸车鹤位的水平距离不应大于10m。 </w:t>
            </w:r>
          </w:p>
        </w:tc>
        <w:tc>
          <w:tcPr>
            <w:tcW w:w="1366"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AQ 3036-2010第7.2.1.2条</w:t>
            </w:r>
          </w:p>
        </w:tc>
        <w:tc>
          <w:tcPr>
            <w:tcW w:w="708" w:type="dxa"/>
            <w:vAlign w:val="center"/>
          </w:tcPr>
          <w:p w:rsidR="004F34D9" w:rsidRPr="00123108" w:rsidRDefault="004F34D9">
            <w:pPr>
              <w:pStyle w:val="2f3"/>
              <w:tabs>
                <w:tab w:val="clear" w:pos="277"/>
                <w:tab w:val="clear" w:pos="600"/>
                <w:tab w:val="clear" w:pos="780"/>
                <w:tab w:val="clear" w:pos="2517"/>
              </w:tabs>
              <w:adjustRightInd/>
              <w:snapToGrid w:val="0"/>
              <w:spacing w:before="0" w:line="260" w:lineRule="exact"/>
              <w:textAlignment w:val="auto"/>
              <w:rPr>
                <w:rFonts w:ascii="宋体" w:hAnsi="宋体" w:cs="宋体" w:hint="eastAsia"/>
                <w:szCs w:val="21"/>
              </w:rPr>
            </w:pPr>
            <w:r w:rsidRPr="00123108">
              <w:rPr>
                <w:rFonts w:ascii="宋体" w:hAnsi="宋体" w:cs="宋体" w:hint="eastAsia"/>
                <w:szCs w:val="21"/>
              </w:rPr>
              <w:t>/</w:t>
            </w:r>
          </w:p>
        </w:tc>
        <w:tc>
          <w:tcPr>
            <w:tcW w:w="2125" w:type="dxa"/>
            <w:vAlign w:val="center"/>
          </w:tcPr>
          <w:p w:rsidR="004F34D9" w:rsidRPr="00123108" w:rsidRDefault="004F34D9">
            <w:pPr>
              <w:snapToGrid w:val="0"/>
              <w:spacing w:line="260" w:lineRule="exact"/>
              <w:rPr>
                <w:rFonts w:ascii="宋体" w:hAnsi="宋体" w:cs="宋体" w:hint="eastAsia"/>
                <w:kern w:val="0"/>
                <w:szCs w:val="21"/>
              </w:rPr>
            </w:pPr>
            <w:r w:rsidRPr="00123108">
              <w:rPr>
                <w:rFonts w:ascii="宋体" w:hAnsi="宋体" w:cs="宋体" w:hint="eastAsia"/>
                <w:kern w:val="0"/>
                <w:szCs w:val="21"/>
              </w:rPr>
              <w:t>不涉及鹤管装卸栈台</w:t>
            </w:r>
          </w:p>
        </w:tc>
      </w:tr>
      <w:tr w:rsidR="004F34D9" w:rsidRPr="00123108">
        <w:trPr>
          <w:trHeight w:val="567"/>
          <w:jc w:val="center"/>
        </w:trPr>
        <w:tc>
          <w:tcPr>
            <w:tcW w:w="73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33</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压缩机或输送泵所在场所，按以下规定设置可燃气监测报警器。</w:t>
            </w:r>
          </w:p>
          <w:p w:rsidR="004F34D9" w:rsidRPr="00123108" w:rsidRDefault="004F34D9">
            <w:pPr>
              <w:tabs>
                <w:tab w:val="left" w:pos="315"/>
                <w:tab w:val="left" w:pos="840"/>
              </w:tabs>
              <w:snapToGrid w:val="0"/>
              <w:rPr>
                <w:rFonts w:ascii="宋体" w:hAnsi="宋体" w:cs="宋体" w:hint="eastAsia"/>
                <w:kern w:val="0"/>
                <w:szCs w:val="21"/>
              </w:rPr>
            </w:pPr>
            <w:r w:rsidRPr="00123108">
              <w:rPr>
                <w:rFonts w:ascii="宋体" w:hAnsi="宋体" w:cs="宋体" w:hint="eastAsia"/>
                <w:kern w:val="0"/>
                <w:szCs w:val="21"/>
              </w:rPr>
              <w:t>a）可燃气体释放源处于封闭或半封闭的场所，每隔15m设置一台监测报警器，且任何一个释放源与监测报警器之间的距离不宜大于7.5m；</w:t>
            </w:r>
          </w:p>
          <w:p w:rsidR="004F34D9" w:rsidRPr="00123108" w:rsidRDefault="004F34D9">
            <w:pPr>
              <w:tabs>
                <w:tab w:val="left" w:pos="840"/>
              </w:tabs>
              <w:snapToGrid w:val="0"/>
              <w:rPr>
                <w:rFonts w:ascii="宋体" w:hAnsi="宋体" w:cs="宋体" w:hint="eastAsia"/>
                <w:kern w:val="0"/>
                <w:szCs w:val="21"/>
              </w:rPr>
            </w:pPr>
            <w:r w:rsidRPr="00123108">
              <w:rPr>
                <w:rFonts w:ascii="宋体" w:hAnsi="宋体" w:cs="宋体" w:hint="eastAsia"/>
                <w:kern w:val="0"/>
                <w:szCs w:val="21"/>
              </w:rPr>
              <w:t>b）可燃气体释放源处于露天或半露天场所，监测报警器应设置在该场所主风向的下风侧，且每个释放源与监测报警器的距离不宜大于10m 。若不便装于主风向的下风侧时，释放源与监测报警器距离不宜大于7.5m。</w:t>
            </w:r>
          </w:p>
        </w:tc>
        <w:tc>
          <w:tcPr>
            <w:tcW w:w="1366"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AQ 3036-2010第7.2.1.3条</w:t>
            </w:r>
          </w:p>
        </w:tc>
        <w:tc>
          <w:tcPr>
            <w:tcW w:w="708" w:type="dxa"/>
            <w:vAlign w:val="center"/>
          </w:tcPr>
          <w:p w:rsidR="004F34D9" w:rsidRPr="00123108" w:rsidRDefault="004F34D9">
            <w:pPr>
              <w:pStyle w:val="2f3"/>
              <w:tabs>
                <w:tab w:val="clear" w:pos="277"/>
                <w:tab w:val="clear" w:pos="600"/>
                <w:tab w:val="clear" w:pos="780"/>
                <w:tab w:val="clear" w:pos="2517"/>
              </w:tabs>
              <w:adjustRightInd/>
              <w:snapToGrid w:val="0"/>
              <w:spacing w:before="0"/>
              <w:textAlignment w:val="auto"/>
              <w:rPr>
                <w:rFonts w:ascii="宋体" w:hAnsi="宋体" w:cs="宋体" w:hint="eastAsia"/>
                <w:szCs w:val="21"/>
              </w:rPr>
            </w:pPr>
            <w:r w:rsidRPr="00123108">
              <w:rPr>
                <w:rFonts w:ascii="宋体" w:hAnsi="宋体" w:cs="宋体" w:hint="eastAsia"/>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可燃气体探测仪设置符合要求</w:t>
            </w:r>
          </w:p>
        </w:tc>
      </w:tr>
      <w:tr w:rsidR="004F34D9" w:rsidRPr="00123108">
        <w:trPr>
          <w:trHeight w:val="567"/>
          <w:jc w:val="center"/>
        </w:trPr>
        <w:tc>
          <w:tcPr>
            <w:tcW w:w="73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34</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罐区的地沟、电缆沟或其他可能积聚可燃气体处，宜设置可燃气体监测报警器；在未设置可燃气体监测报警器的场所进行相关作业时，可配置便携式可燃气体监测仪进行现场监测。</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AQ 3036-2010第7.2.1.6条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配备了便携式气体检测仪</w:t>
            </w:r>
          </w:p>
        </w:tc>
      </w:tr>
      <w:tr w:rsidR="004F34D9" w:rsidRPr="00123108">
        <w:trPr>
          <w:trHeight w:val="567"/>
          <w:jc w:val="center"/>
        </w:trPr>
        <w:tc>
          <w:tcPr>
            <w:tcW w:w="73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35</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可燃气及有毒气体浓度报警器的安装高度，应按探测介质的比重以及周围状况等因素来确定。当被监测气体的比重小于空气的比重时，可燃气体监测探头的安装位置应高于泄漏源0.5m以上；被监测气体的比重大于空气的比重时，安装位置应在泄漏源下方，但距离地面不得小于0.3m。</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AQ 3036-2010第7.3.2条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可燃气体探测仪设置符合要求</w:t>
            </w:r>
          </w:p>
        </w:tc>
      </w:tr>
      <w:tr w:rsidR="004F34D9" w:rsidRPr="00123108">
        <w:trPr>
          <w:trHeight w:val="567"/>
          <w:jc w:val="center"/>
        </w:trPr>
        <w:tc>
          <w:tcPr>
            <w:tcW w:w="73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36</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防雷装备按GB 50074设置。定期监测避雷针（网、带）的接地电阻，不得大于10Ω。</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AQ 3036-2010第8.3条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防雷已检测合格</w:t>
            </w:r>
          </w:p>
        </w:tc>
      </w:tr>
      <w:tr w:rsidR="004F34D9" w:rsidRPr="00123108">
        <w:trPr>
          <w:trHeight w:val="567"/>
          <w:jc w:val="center"/>
        </w:trPr>
        <w:tc>
          <w:tcPr>
            <w:tcW w:w="73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37</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易产生静电的危险化学品装卸系统，应设置接地装置，执行SH 3097的规定。</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AQ 3036-2010第8.4条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防静电已检测合格</w:t>
            </w:r>
          </w:p>
        </w:tc>
      </w:tr>
      <w:tr w:rsidR="004F34D9" w:rsidRPr="00123108">
        <w:trPr>
          <w:trHeight w:val="567"/>
          <w:jc w:val="center"/>
        </w:trPr>
        <w:tc>
          <w:tcPr>
            <w:tcW w:w="73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lastRenderedPageBreak/>
              <w:t>38</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安全监控装备，应定期进行检查、维护和校验，保持其正常运行。</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强制计量检定的仪器和装置，应按有关标准的规定进行计量检定，保持其监控的准确性。</w:t>
            </w:r>
          </w:p>
          <w:p w:rsidR="004F34D9" w:rsidRPr="00123108" w:rsidRDefault="004F34D9">
            <w:pPr>
              <w:pStyle w:val="af0"/>
              <w:snapToGrid w:val="0"/>
              <w:rPr>
                <w:rFonts w:ascii="宋体" w:hAnsi="宋体" w:cs="宋体" w:hint="eastAsia"/>
                <w:kern w:val="0"/>
                <w:szCs w:val="21"/>
              </w:rPr>
            </w:pPr>
            <w:r w:rsidRPr="00123108">
              <w:rPr>
                <w:rFonts w:ascii="宋体" w:hAnsi="宋体" w:cs="宋体" w:hint="eastAsia"/>
                <w:kern w:val="0"/>
                <w:szCs w:val="21"/>
              </w:rPr>
              <w:t>安全监控项目中，对需要定期更换的仪器或设备应根据相关规定处理。</w:t>
            </w:r>
          </w:p>
        </w:tc>
        <w:tc>
          <w:tcPr>
            <w:tcW w:w="1366"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AQ 3036-2010第12.2条</w:t>
            </w:r>
          </w:p>
        </w:tc>
        <w:tc>
          <w:tcPr>
            <w:tcW w:w="708" w:type="dxa"/>
            <w:vAlign w:val="center"/>
          </w:tcPr>
          <w:p w:rsidR="004F34D9" w:rsidRPr="00123108" w:rsidRDefault="004F34D9">
            <w:pPr>
              <w:pStyle w:val="2f3"/>
              <w:tabs>
                <w:tab w:val="clear" w:pos="277"/>
                <w:tab w:val="clear" w:pos="600"/>
                <w:tab w:val="clear" w:pos="780"/>
                <w:tab w:val="clear" w:pos="2517"/>
              </w:tabs>
              <w:adjustRightInd/>
              <w:snapToGrid w:val="0"/>
              <w:spacing w:before="0"/>
              <w:textAlignment w:val="auto"/>
              <w:rPr>
                <w:rFonts w:ascii="宋体" w:hAnsi="宋体" w:cs="宋体" w:hint="eastAsia"/>
                <w:szCs w:val="21"/>
              </w:rPr>
            </w:pPr>
            <w:r w:rsidRPr="00123108">
              <w:rPr>
                <w:rFonts w:ascii="宋体" w:hAnsi="宋体" w:cs="宋体" w:hint="eastAsia"/>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已按有关标准的规定进行计量检定</w:t>
            </w:r>
          </w:p>
        </w:tc>
      </w:tr>
      <w:tr w:rsidR="004F34D9" w:rsidRPr="00123108">
        <w:trPr>
          <w:trHeight w:val="567"/>
          <w:jc w:val="center"/>
        </w:trPr>
        <w:tc>
          <w:tcPr>
            <w:tcW w:w="73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39</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罐区应设置音视频监控报警系统，监视突发的危险因素或初期的火灾报警等情况。</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摄像头的设置个数和位置，应根据罐区现场的实际情况而定，既要覆盖全面，也要重点考虑危险性较大的区域。</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摄像视频监控报警系统应可实现与危险参数监控报警的联动。</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摄像监控设备的选型和安装要符合相关技术标准，有防爆要求的应使用防爆摄像机或采取防爆措施。</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摄像头的安装高度应确保可以有效监控到储罐顶部。</w:t>
            </w:r>
          </w:p>
        </w:tc>
        <w:tc>
          <w:tcPr>
            <w:tcW w:w="1366" w:type="dxa"/>
            <w:vAlign w:val="center"/>
          </w:tcPr>
          <w:p w:rsidR="004F34D9" w:rsidRPr="00123108" w:rsidRDefault="004F34D9">
            <w:pPr>
              <w:snapToGrid w:val="0"/>
              <w:jc w:val="center"/>
              <w:rPr>
                <w:rFonts w:ascii="宋体" w:hAnsi="宋体" w:cs="宋体" w:hint="eastAsia"/>
                <w:kern w:val="0"/>
                <w:szCs w:val="21"/>
              </w:rPr>
            </w:pPr>
            <w:r w:rsidRPr="00123108">
              <w:rPr>
                <w:rFonts w:ascii="宋体" w:hAnsi="宋体" w:cs="宋体" w:hint="eastAsia"/>
                <w:kern w:val="0"/>
                <w:szCs w:val="21"/>
              </w:rPr>
              <w:t>AQ 3036-2010第10.1条</w:t>
            </w:r>
          </w:p>
        </w:tc>
        <w:tc>
          <w:tcPr>
            <w:tcW w:w="708" w:type="dxa"/>
            <w:vAlign w:val="center"/>
          </w:tcPr>
          <w:p w:rsidR="004F34D9" w:rsidRPr="00123108" w:rsidRDefault="004F34D9">
            <w:pPr>
              <w:pStyle w:val="2f3"/>
              <w:tabs>
                <w:tab w:val="clear" w:pos="277"/>
                <w:tab w:val="clear" w:pos="600"/>
                <w:tab w:val="clear" w:pos="780"/>
                <w:tab w:val="clear" w:pos="2517"/>
              </w:tabs>
              <w:adjustRightInd/>
              <w:snapToGrid w:val="0"/>
              <w:spacing w:before="0"/>
              <w:textAlignment w:val="auto"/>
              <w:rPr>
                <w:rFonts w:ascii="宋体" w:hAnsi="宋体" w:cs="宋体" w:hint="eastAsia"/>
                <w:szCs w:val="21"/>
              </w:rPr>
            </w:pPr>
            <w:r w:rsidRPr="00123108">
              <w:rPr>
                <w:rFonts w:ascii="宋体" w:hAnsi="宋体" w:cs="宋体" w:hint="eastAsia"/>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已安装了视频监控探头，满足安全生产需要</w:t>
            </w:r>
          </w:p>
        </w:tc>
      </w:tr>
      <w:tr w:rsidR="004F34D9" w:rsidRPr="00123108">
        <w:trPr>
          <w:trHeight w:val="567"/>
          <w:jc w:val="center"/>
        </w:trPr>
        <w:tc>
          <w:tcPr>
            <w:tcW w:w="739"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40</w:t>
            </w:r>
          </w:p>
        </w:tc>
        <w:tc>
          <w:tcPr>
            <w:tcW w:w="4304"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建立安全监控装备的管理责任制，明确各级管理人员、仪器的维护人员及其责任。</w:t>
            </w:r>
          </w:p>
        </w:tc>
        <w:tc>
          <w:tcPr>
            <w:tcW w:w="1366"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AQ 3036-2010第12.3.4条</w:t>
            </w:r>
          </w:p>
        </w:tc>
        <w:tc>
          <w:tcPr>
            <w:tcW w:w="708"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2125" w:type="dxa"/>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已建立安全监控装备的管理责任制，明确各级管理人员、仪器的维护人员及其责任</w:t>
            </w:r>
          </w:p>
        </w:tc>
      </w:tr>
    </w:tbl>
    <w:p w:rsidR="004F34D9" w:rsidRPr="00123108" w:rsidRDefault="004F34D9">
      <w:pPr>
        <w:spacing w:line="360" w:lineRule="auto"/>
        <w:ind w:firstLineChars="200" w:firstLine="560"/>
        <w:rPr>
          <w:rFonts w:ascii="宋体" w:hAnsi="宋体" w:cs="宋体" w:hint="eastAsia"/>
          <w:sz w:val="28"/>
        </w:rPr>
      </w:pPr>
      <w:r w:rsidRPr="00123108">
        <w:rPr>
          <w:rFonts w:ascii="宋体" w:hAnsi="宋体" w:cs="宋体" w:hint="eastAsia"/>
          <w:sz w:val="28"/>
        </w:rPr>
        <w:t>小结：通过对新桥化工危险化学品重大危险源的安全技术和监控措施进行检查，能够符合要求。</w:t>
      </w:r>
    </w:p>
    <w:p w:rsidR="004F34D9" w:rsidRPr="00123108" w:rsidRDefault="004F34D9" w:rsidP="00E36E64">
      <w:pPr>
        <w:pStyle w:val="2"/>
        <w:spacing w:line="500" w:lineRule="exact"/>
        <w:jc w:val="both"/>
        <w:rPr>
          <w:rFonts w:ascii="宋体" w:eastAsia="宋体" w:cs="宋体" w:hint="eastAsia"/>
          <w:sz w:val="28"/>
          <w:szCs w:val="28"/>
        </w:rPr>
      </w:pPr>
      <w:bookmarkStart w:id="1817" w:name="_Toc30456"/>
      <w:bookmarkStart w:id="1818" w:name="_Toc4887"/>
      <w:bookmarkStart w:id="1819" w:name="_Toc2265"/>
      <w:bookmarkStart w:id="1820" w:name="_Toc2368"/>
      <w:bookmarkStart w:id="1821" w:name="_Toc26211"/>
      <w:bookmarkStart w:id="1822" w:name="_Toc24126"/>
      <w:bookmarkStart w:id="1823" w:name="_Toc190935917"/>
      <w:r w:rsidRPr="00123108">
        <w:rPr>
          <w:rFonts w:ascii="宋体" w:eastAsia="宋体" w:cs="宋体" w:hint="eastAsia"/>
          <w:sz w:val="28"/>
          <w:szCs w:val="28"/>
        </w:rPr>
        <w:t>附件2.11 安全生产管理评价</w:t>
      </w:r>
      <w:bookmarkEnd w:id="1817"/>
      <w:bookmarkEnd w:id="1818"/>
      <w:bookmarkEnd w:id="1819"/>
      <w:bookmarkEnd w:id="1820"/>
      <w:bookmarkEnd w:id="1821"/>
      <w:bookmarkEnd w:id="1822"/>
      <w:bookmarkEnd w:id="1823"/>
    </w:p>
    <w:p w:rsidR="004F34D9" w:rsidRPr="00123108" w:rsidRDefault="004F34D9">
      <w:pPr>
        <w:pStyle w:val="aff4"/>
        <w:widowControl w:val="0"/>
        <w:adjustRightInd w:val="0"/>
        <w:spacing w:before="0" w:beforeAutospacing="0" w:after="0" w:afterAutospacing="0" w:line="360" w:lineRule="auto"/>
        <w:ind w:firstLineChars="200" w:firstLine="560"/>
        <w:rPr>
          <w:rFonts w:cs="宋体" w:hint="eastAsia"/>
          <w:sz w:val="28"/>
          <w:szCs w:val="28"/>
        </w:rPr>
      </w:pPr>
      <w:r w:rsidRPr="00123108">
        <w:rPr>
          <w:rFonts w:cs="宋体" w:hint="eastAsia"/>
          <w:sz w:val="28"/>
          <w:szCs w:val="28"/>
        </w:rPr>
        <w:t>依据《中华人民共和国安全生产法》、《危险化学品安全管理条例》、《浙江省安全生产条例》等相关法律、法规要求，对企业的安全生产管理进行检查，见附表2.11-1。</w:t>
      </w:r>
    </w:p>
    <w:p w:rsidR="004F34D9" w:rsidRPr="00123108" w:rsidRDefault="004F34D9">
      <w:pPr>
        <w:pStyle w:val="aff4"/>
        <w:widowControl w:val="0"/>
        <w:adjustRightInd w:val="0"/>
        <w:spacing w:before="0" w:beforeAutospacing="0" w:after="0" w:afterAutospacing="0" w:line="360" w:lineRule="auto"/>
        <w:jc w:val="center"/>
        <w:rPr>
          <w:rFonts w:cs="宋体" w:hint="eastAsia"/>
          <w:b/>
          <w:bCs/>
          <w:sz w:val="28"/>
          <w:szCs w:val="28"/>
        </w:rPr>
      </w:pPr>
      <w:r w:rsidRPr="00123108">
        <w:rPr>
          <w:rFonts w:cs="宋体" w:hint="eastAsia"/>
          <w:b/>
          <w:bCs/>
          <w:sz w:val="28"/>
          <w:szCs w:val="28"/>
        </w:rPr>
        <w:t>附表2.11-1  安全管理安全检查表</w:t>
      </w:r>
    </w:p>
    <w:tbl>
      <w:tblPr>
        <w:tblW w:w="4995" w:type="pct"/>
        <w:jc w:val="cente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03"/>
        <w:gridCol w:w="4167"/>
        <w:gridCol w:w="1659"/>
        <w:gridCol w:w="836"/>
        <w:gridCol w:w="1701"/>
      </w:tblGrid>
      <w:tr w:rsidR="004F34D9" w:rsidRPr="00123108">
        <w:trPr>
          <w:trHeight w:val="454"/>
          <w:jc w:val="center"/>
        </w:trPr>
        <w:tc>
          <w:tcPr>
            <w:tcW w:w="438" w:type="pct"/>
            <w:vAlign w:val="center"/>
          </w:tcPr>
          <w:p w:rsidR="004F34D9" w:rsidRPr="00123108" w:rsidRDefault="004F34D9">
            <w:pPr>
              <w:pStyle w:val="affffffa"/>
              <w:rPr>
                <w:rFonts w:ascii="宋体" w:hAnsi="宋体" w:cs="宋体" w:hint="eastAsia"/>
                <w:b/>
              </w:rPr>
            </w:pPr>
            <w:r w:rsidRPr="00123108">
              <w:rPr>
                <w:rFonts w:ascii="宋体" w:hAnsi="宋体" w:cs="宋体" w:hint="eastAsia"/>
                <w:b/>
              </w:rPr>
              <w:t>序号</w:t>
            </w:r>
          </w:p>
        </w:tc>
        <w:tc>
          <w:tcPr>
            <w:tcW w:w="2273" w:type="pct"/>
            <w:vAlign w:val="center"/>
          </w:tcPr>
          <w:p w:rsidR="004F34D9" w:rsidRPr="00123108" w:rsidRDefault="004F34D9">
            <w:pPr>
              <w:pStyle w:val="affffffa"/>
              <w:rPr>
                <w:rFonts w:ascii="宋体" w:hAnsi="宋体" w:cs="宋体" w:hint="eastAsia"/>
                <w:b/>
              </w:rPr>
            </w:pPr>
            <w:r w:rsidRPr="00123108">
              <w:rPr>
                <w:rFonts w:ascii="宋体" w:hAnsi="宋体" w:cs="宋体" w:hint="eastAsia"/>
                <w:b/>
              </w:rPr>
              <w:t>检查内容</w:t>
            </w:r>
          </w:p>
        </w:tc>
        <w:tc>
          <w:tcPr>
            <w:tcW w:w="905" w:type="pct"/>
            <w:vAlign w:val="center"/>
          </w:tcPr>
          <w:p w:rsidR="004F34D9" w:rsidRPr="00123108" w:rsidRDefault="004F34D9">
            <w:pPr>
              <w:pStyle w:val="affffffa"/>
              <w:rPr>
                <w:rFonts w:ascii="宋体" w:hAnsi="宋体" w:cs="宋体" w:hint="eastAsia"/>
                <w:b/>
              </w:rPr>
            </w:pPr>
            <w:r w:rsidRPr="00123108">
              <w:rPr>
                <w:rFonts w:ascii="宋体" w:hAnsi="宋体" w:cs="宋体" w:hint="eastAsia"/>
                <w:b/>
              </w:rPr>
              <w:t>检查依据</w:t>
            </w:r>
          </w:p>
        </w:tc>
        <w:tc>
          <w:tcPr>
            <w:tcW w:w="456" w:type="pct"/>
            <w:vAlign w:val="center"/>
          </w:tcPr>
          <w:p w:rsidR="004F34D9" w:rsidRPr="00123108" w:rsidRDefault="004F34D9">
            <w:pPr>
              <w:pStyle w:val="affffffa"/>
              <w:rPr>
                <w:rFonts w:ascii="宋体" w:hAnsi="宋体" w:cs="宋体" w:hint="eastAsia"/>
                <w:b/>
              </w:rPr>
            </w:pPr>
            <w:r w:rsidRPr="00123108">
              <w:rPr>
                <w:rFonts w:ascii="宋体" w:hAnsi="宋体" w:cs="宋体" w:hint="eastAsia"/>
                <w:b/>
              </w:rPr>
              <w:t>检查</w:t>
            </w:r>
          </w:p>
          <w:p w:rsidR="004F34D9" w:rsidRPr="00123108" w:rsidRDefault="004F34D9">
            <w:pPr>
              <w:pStyle w:val="affffffa"/>
              <w:rPr>
                <w:rFonts w:ascii="宋体" w:hAnsi="宋体" w:cs="宋体" w:hint="eastAsia"/>
                <w:b/>
              </w:rPr>
            </w:pPr>
            <w:r w:rsidRPr="00123108">
              <w:rPr>
                <w:rFonts w:ascii="宋体" w:hAnsi="宋体" w:cs="宋体" w:hint="eastAsia"/>
                <w:b/>
              </w:rPr>
              <w:t>结果</w:t>
            </w:r>
          </w:p>
        </w:tc>
        <w:tc>
          <w:tcPr>
            <w:tcW w:w="926" w:type="pct"/>
            <w:vAlign w:val="center"/>
          </w:tcPr>
          <w:p w:rsidR="004F34D9" w:rsidRPr="00123108" w:rsidRDefault="004F34D9">
            <w:pPr>
              <w:pStyle w:val="affffffa"/>
              <w:rPr>
                <w:rFonts w:ascii="宋体" w:hAnsi="宋体" w:cs="宋体" w:hint="eastAsia"/>
                <w:b/>
              </w:rPr>
            </w:pPr>
            <w:r w:rsidRPr="00123108">
              <w:rPr>
                <w:rFonts w:ascii="宋体" w:hAnsi="宋体" w:cs="宋体" w:hint="eastAsia"/>
                <w:b/>
              </w:rPr>
              <w:t>备注</w:t>
            </w:r>
          </w:p>
        </w:tc>
      </w:tr>
      <w:tr w:rsidR="004F34D9" w:rsidRPr="00123108">
        <w:trPr>
          <w:trHeight w:val="454"/>
          <w:jc w:val="center"/>
        </w:trPr>
        <w:tc>
          <w:tcPr>
            <w:tcW w:w="5000" w:type="pct"/>
            <w:gridSpan w:val="5"/>
            <w:vAlign w:val="center"/>
          </w:tcPr>
          <w:p w:rsidR="004F34D9" w:rsidRPr="00123108" w:rsidRDefault="004F34D9">
            <w:pPr>
              <w:pStyle w:val="affffffa"/>
              <w:rPr>
                <w:rFonts w:ascii="宋体" w:hAnsi="宋体" w:cs="宋体" w:hint="eastAsia"/>
                <w:b/>
              </w:rPr>
            </w:pPr>
            <w:r w:rsidRPr="00123108">
              <w:rPr>
                <w:rFonts w:ascii="宋体" w:hAnsi="宋体" w:cs="宋体" w:hint="eastAsia"/>
                <w:b/>
              </w:rPr>
              <w:t>一、机构设置及从业人员</w:t>
            </w:r>
          </w:p>
        </w:tc>
      </w:tr>
      <w:tr w:rsidR="004F34D9" w:rsidRPr="00123108">
        <w:trPr>
          <w:trHeight w:val="454"/>
          <w:jc w:val="center"/>
        </w:trPr>
        <w:tc>
          <w:tcPr>
            <w:tcW w:w="438" w:type="pct"/>
            <w:vAlign w:val="center"/>
          </w:tcPr>
          <w:p w:rsidR="004F34D9" w:rsidRPr="00123108" w:rsidRDefault="004F34D9">
            <w:pPr>
              <w:pStyle w:val="affffffa"/>
              <w:rPr>
                <w:rFonts w:ascii="宋体" w:hAnsi="宋体" w:cs="宋体" w:hint="eastAsia"/>
              </w:rPr>
            </w:pPr>
            <w:r w:rsidRPr="00123108">
              <w:rPr>
                <w:rFonts w:ascii="宋体" w:hAnsi="宋体" w:cs="宋体" w:hint="eastAsia"/>
              </w:rPr>
              <w:t>1</w:t>
            </w:r>
          </w:p>
        </w:tc>
        <w:tc>
          <w:tcPr>
            <w:tcW w:w="2273"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矿山、金属冶炼、建筑施工、船舶修造或者拆解、道路运输单位，危险物品的生产、经营、储存单位，以及使用危险化学品数量构成重大危险源的生产单位，应当按照下列规定设置安全生产管理机构或者配备专职安全生产管理人员：</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（一）从业人员三百人以上的，应当设置安全生产管理机构，并按照不低于从业人员百分之一的比例配备专职安全生产管理人员；</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（二）从业人员一百人以上不足三百人的，</w:t>
            </w:r>
            <w:r w:rsidRPr="00123108">
              <w:rPr>
                <w:rFonts w:ascii="宋体" w:hAnsi="宋体" w:cs="宋体" w:hint="eastAsia"/>
                <w:kern w:val="0"/>
                <w:szCs w:val="21"/>
              </w:rPr>
              <w:lastRenderedPageBreak/>
              <w:t>应当设置安全生产管理机构，并配备三名以上专职安全生产管理人员；</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（三）从业人员五十人以上不足一百人的，应当设置安全生产管理机构，并配备两名以上专职安全生产管理人员；</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（四）从业人员不足五十人的，应当配备专职安全生产管理人员。</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前款规定以外的其他生产经营单位，从业人员三百人以上的，应当设置安全生产管理机构，并配备两名以上专职安全生产管理人员;从业人员一百人以上不足三百人的，应当配备专职安全生产管理人员;从业人员不足一百人的，应当配备专职或者兼职安全生产管理人员。</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国家有关行业管理部门的规定严于本条例规定的，从其规定。</w:t>
            </w:r>
          </w:p>
        </w:tc>
        <w:tc>
          <w:tcPr>
            <w:tcW w:w="905"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lastRenderedPageBreak/>
              <w:t>浙江省安全生产条例</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第11条</w:t>
            </w:r>
          </w:p>
        </w:tc>
        <w:tc>
          <w:tcPr>
            <w:tcW w:w="456"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926"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员工人数85人，已设置了安全生产管理机构，配备了专职安全管理人员2人，并有2人注册安全工程师</w:t>
            </w:r>
          </w:p>
        </w:tc>
      </w:tr>
      <w:tr w:rsidR="004F34D9" w:rsidRPr="00123108">
        <w:trPr>
          <w:trHeight w:val="454"/>
          <w:jc w:val="center"/>
        </w:trPr>
        <w:tc>
          <w:tcPr>
            <w:tcW w:w="438" w:type="pct"/>
            <w:vAlign w:val="center"/>
          </w:tcPr>
          <w:p w:rsidR="004F34D9" w:rsidRPr="00123108" w:rsidRDefault="004F34D9">
            <w:pPr>
              <w:pStyle w:val="affffffa"/>
              <w:rPr>
                <w:rFonts w:ascii="宋体" w:hAnsi="宋体" w:cs="宋体" w:hint="eastAsia"/>
              </w:rPr>
            </w:pPr>
            <w:r w:rsidRPr="00123108">
              <w:rPr>
                <w:rFonts w:ascii="宋体" w:hAnsi="宋体" w:cs="宋体" w:hint="eastAsia"/>
              </w:rPr>
              <w:t>2</w:t>
            </w:r>
          </w:p>
        </w:tc>
        <w:tc>
          <w:tcPr>
            <w:tcW w:w="2273"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矿山、金属冶炼、建筑施工、道路运输单位，危险物品的生产、经营、储存单位，以及使用危险化学品数量构成重大危险源的生产单位，其主要负责人和安全生产管理人员，应当自任职之日起六个月内，由主管的负有安全生产监督管理职责的部门对其安全生产知识和管理能力考核合格。法律、行政法规规定的考核时间少于本条例规定的，从其规定。考核不得收费。</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 xml:space="preserve">负有安全生产监督管理职责的部门对生产经营单位的主要负责人和安全生产管理人员进行培训的，不得收费。鼓励采用现代信息技术手段开展远程培训活动。　　</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省级负有安全生产监督管理职责的部门应当按照分级分类管理的原则，协调考核和培训计划，避免重复考核和培训。</w:t>
            </w:r>
          </w:p>
        </w:tc>
        <w:tc>
          <w:tcPr>
            <w:tcW w:w="905"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浙江省安全生产条例</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第13条</w:t>
            </w:r>
          </w:p>
        </w:tc>
        <w:tc>
          <w:tcPr>
            <w:tcW w:w="456"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926"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主要负责人、安全生产管理人员已取证</w:t>
            </w:r>
          </w:p>
        </w:tc>
      </w:tr>
      <w:tr w:rsidR="004F34D9" w:rsidRPr="00123108">
        <w:trPr>
          <w:trHeight w:val="454"/>
          <w:jc w:val="center"/>
        </w:trPr>
        <w:tc>
          <w:tcPr>
            <w:tcW w:w="438" w:type="pct"/>
            <w:vAlign w:val="center"/>
          </w:tcPr>
          <w:p w:rsidR="004F34D9" w:rsidRPr="00123108" w:rsidRDefault="004F34D9">
            <w:pPr>
              <w:pStyle w:val="affffffa"/>
              <w:rPr>
                <w:rFonts w:ascii="宋体" w:hAnsi="宋体" w:cs="宋体" w:hint="eastAsia"/>
              </w:rPr>
            </w:pPr>
            <w:r w:rsidRPr="00123108">
              <w:rPr>
                <w:rFonts w:ascii="宋体" w:hAnsi="宋体" w:cs="宋体" w:hint="eastAsia"/>
              </w:rPr>
              <w:t>3</w:t>
            </w:r>
          </w:p>
        </w:tc>
        <w:tc>
          <w:tcPr>
            <w:tcW w:w="2273"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 xml:space="preserve">生产经营单位应当对从业人员（包括被派遣劳动者）进行安全生产教育和培训。从业人员应当接受生产经营单位组织的安全生产教育和培训，未经安全生产教育和培训合格的，不得上岗作业。　　</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离岗六个月以上或者换岗的从业人员，上岗前应当重新进行安全生产教育和培训。生产经营单位应当建立从业人员安全生产教育和培训档案，如实记录安全生产教育和培训的时间、内容、参加人员以及考核结果等情况。安全生产教育和培训记录由从业人员本人核对并签名。记录保存期限不得少于三年。</w:t>
            </w:r>
          </w:p>
        </w:tc>
        <w:tc>
          <w:tcPr>
            <w:tcW w:w="905"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浙江省安全生产条例</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第14条</w:t>
            </w:r>
          </w:p>
        </w:tc>
        <w:tc>
          <w:tcPr>
            <w:tcW w:w="456"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926"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从业人员已进行安全教育和培训</w:t>
            </w:r>
          </w:p>
        </w:tc>
      </w:tr>
      <w:tr w:rsidR="004F34D9" w:rsidRPr="00123108">
        <w:trPr>
          <w:trHeight w:val="454"/>
          <w:jc w:val="center"/>
        </w:trPr>
        <w:tc>
          <w:tcPr>
            <w:tcW w:w="5000" w:type="pct"/>
            <w:gridSpan w:val="5"/>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二、安全管理制度及操作规程</w:t>
            </w:r>
          </w:p>
        </w:tc>
      </w:tr>
      <w:tr w:rsidR="004F34D9" w:rsidRPr="00123108">
        <w:trPr>
          <w:trHeight w:val="454"/>
          <w:jc w:val="center"/>
        </w:trPr>
        <w:tc>
          <w:tcPr>
            <w:tcW w:w="438" w:type="pct"/>
            <w:vAlign w:val="center"/>
          </w:tcPr>
          <w:p w:rsidR="004F34D9" w:rsidRPr="00123108" w:rsidRDefault="004F34D9">
            <w:pPr>
              <w:pStyle w:val="affffffa"/>
              <w:rPr>
                <w:rFonts w:ascii="宋体" w:hAnsi="宋体" w:cs="宋体" w:hint="eastAsia"/>
              </w:rPr>
            </w:pPr>
            <w:r w:rsidRPr="00123108">
              <w:rPr>
                <w:rFonts w:ascii="宋体" w:hAnsi="宋体" w:cs="宋体" w:hint="eastAsia"/>
              </w:rPr>
              <w:t>1</w:t>
            </w:r>
          </w:p>
        </w:tc>
        <w:tc>
          <w:tcPr>
            <w:tcW w:w="2273"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生产经营单位必须遵守本法和其他有关安全生产的法律、法规，加强安全生产管理，建立、健全安全生产责任制和安全生产规章制度，改善安全生产条件，推进安全生产标</w:t>
            </w:r>
            <w:r w:rsidRPr="00123108">
              <w:rPr>
                <w:rFonts w:ascii="宋体" w:hAnsi="宋体" w:cs="宋体" w:hint="eastAsia"/>
                <w:kern w:val="0"/>
                <w:szCs w:val="21"/>
              </w:rPr>
              <w:lastRenderedPageBreak/>
              <w:t>准化建设，提高安全生产水平，确保安全生产。</w:t>
            </w:r>
          </w:p>
        </w:tc>
        <w:tc>
          <w:tcPr>
            <w:tcW w:w="905"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lastRenderedPageBreak/>
              <w:t>安全生产法</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第4条</w:t>
            </w:r>
          </w:p>
        </w:tc>
        <w:tc>
          <w:tcPr>
            <w:tcW w:w="456"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926"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已制定了安全生产责任制、安全管理制度</w:t>
            </w:r>
          </w:p>
        </w:tc>
      </w:tr>
      <w:tr w:rsidR="004F34D9" w:rsidRPr="00123108">
        <w:trPr>
          <w:trHeight w:val="454"/>
          <w:jc w:val="center"/>
        </w:trPr>
        <w:tc>
          <w:tcPr>
            <w:tcW w:w="438" w:type="pct"/>
            <w:vAlign w:val="center"/>
          </w:tcPr>
          <w:p w:rsidR="004F34D9" w:rsidRPr="00123108" w:rsidRDefault="004F34D9">
            <w:pPr>
              <w:pStyle w:val="affffffa"/>
              <w:rPr>
                <w:rFonts w:ascii="宋体" w:hAnsi="宋体" w:cs="宋体" w:hint="eastAsia"/>
              </w:rPr>
            </w:pPr>
            <w:r w:rsidRPr="00123108">
              <w:rPr>
                <w:rFonts w:ascii="宋体" w:hAnsi="宋体" w:cs="宋体" w:hint="eastAsia"/>
              </w:rPr>
              <w:t>2</w:t>
            </w:r>
          </w:p>
        </w:tc>
        <w:tc>
          <w:tcPr>
            <w:tcW w:w="2273"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生产经营单位的安全生产责任制应当明确各岗位的责任人员、责任范围和考核标准等内容。</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生产经营单位应当建立相应的机制，加强对安全生产责任制落实情况的监督考核，保证安全生产责任制的落实。</w:t>
            </w:r>
          </w:p>
        </w:tc>
        <w:tc>
          <w:tcPr>
            <w:tcW w:w="905"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安全生产法</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第19条</w:t>
            </w:r>
          </w:p>
        </w:tc>
        <w:tc>
          <w:tcPr>
            <w:tcW w:w="456"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926"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安全生产责任制明确了各岗位的责任人员、责任范围和考核标准等内容，并定期对责任制落实情况进行考核</w:t>
            </w:r>
          </w:p>
        </w:tc>
      </w:tr>
      <w:tr w:rsidR="004F34D9" w:rsidRPr="00123108">
        <w:trPr>
          <w:trHeight w:val="454"/>
          <w:jc w:val="center"/>
        </w:trPr>
        <w:tc>
          <w:tcPr>
            <w:tcW w:w="438" w:type="pct"/>
            <w:vAlign w:val="center"/>
          </w:tcPr>
          <w:p w:rsidR="004F34D9" w:rsidRPr="00123108" w:rsidRDefault="004F34D9">
            <w:pPr>
              <w:pStyle w:val="affffffa"/>
              <w:rPr>
                <w:rFonts w:ascii="宋体" w:hAnsi="宋体" w:cs="宋体" w:hint="eastAsia"/>
              </w:rPr>
            </w:pPr>
            <w:r w:rsidRPr="00123108">
              <w:rPr>
                <w:rFonts w:ascii="宋体" w:hAnsi="宋体" w:cs="宋体" w:hint="eastAsia"/>
              </w:rPr>
              <w:t>3</w:t>
            </w:r>
          </w:p>
        </w:tc>
        <w:tc>
          <w:tcPr>
            <w:tcW w:w="2273"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生产经营单位对重大危险源应当登记建档，进行定期检测、评估、监控，并制定应急预案，告知从业人员和相关人员在紧急情况下应当采取的应急措施。</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生产经营单位应当按照国家有关规定将本单位重大危险源及有关安全措施、应急措施报有关地方人民政府安全生产监督管理部门和有关部门备案。</w:t>
            </w:r>
          </w:p>
        </w:tc>
        <w:tc>
          <w:tcPr>
            <w:tcW w:w="905"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安全生产法</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第37条</w:t>
            </w:r>
          </w:p>
        </w:tc>
        <w:tc>
          <w:tcPr>
            <w:tcW w:w="456"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926"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重大危险源已登记建档、备案，并制定应急预案定期演练</w:t>
            </w:r>
          </w:p>
        </w:tc>
      </w:tr>
      <w:tr w:rsidR="004F34D9" w:rsidRPr="00123108">
        <w:trPr>
          <w:trHeight w:val="454"/>
          <w:jc w:val="center"/>
        </w:trPr>
        <w:tc>
          <w:tcPr>
            <w:tcW w:w="438" w:type="pct"/>
            <w:vAlign w:val="center"/>
          </w:tcPr>
          <w:p w:rsidR="004F34D9" w:rsidRPr="00123108" w:rsidRDefault="004F34D9">
            <w:pPr>
              <w:pStyle w:val="affffffa"/>
              <w:rPr>
                <w:rFonts w:ascii="宋体" w:hAnsi="宋体" w:cs="宋体" w:hint="eastAsia"/>
              </w:rPr>
            </w:pPr>
            <w:r w:rsidRPr="00123108">
              <w:rPr>
                <w:rFonts w:ascii="宋体" w:hAnsi="宋体" w:cs="宋体" w:hint="eastAsia"/>
              </w:rPr>
              <w:t>4</w:t>
            </w:r>
          </w:p>
        </w:tc>
        <w:tc>
          <w:tcPr>
            <w:tcW w:w="2273"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生产经营单位应当建立健全生产安全事故隐患排查治理制度，采取技术、管理措施，及时发现并消除事故隐患。事故隐患排查治理情况应当如实记录，并向从业人员通报。</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县级以上地方各级人民政府负有安全生产监督管理职责的部门应当建立健全重大事故隐患治理督办制度，督促生产经营单位消除重大事故隐患。</w:t>
            </w:r>
          </w:p>
        </w:tc>
        <w:tc>
          <w:tcPr>
            <w:tcW w:w="905"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安全生产法</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第38条</w:t>
            </w:r>
          </w:p>
        </w:tc>
        <w:tc>
          <w:tcPr>
            <w:tcW w:w="456"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926"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已制定隐患排查治理制度，定期检查</w:t>
            </w:r>
          </w:p>
        </w:tc>
      </w:tr>
      <w:tr w:rsidR="004F34D9" w:rsidRPr="00123108">
        <w:trPr>
          <w:trHeight w:val="454"/>
          <w:jc w:val="center"/>
        </w:trPr>
        <w:tc>
          <w:tcPr>
            <w:tcW w:w="438" w:type="pct"/>
            <w:vAlign w:val="center"/>
          </w:tcPr>
          <w:p w:rsidR="004F34D9" w:rsidRPr="00123108" w:rsidRDefault="004F34D9">
            <w:pPr>
              <w:pStyle w:val="affffffa"/>
              <w:rPr>
                <w:rFonts w:ascii="宋体" w:hAnsi="宋体" w:cs="宋体" w:hint="eastAsia"/>
              </w:rPr>
            </w:pPr>
            <w:r w:rsidRPr="00123108">
              <w:rPr>
                <w:rFonts w:ascii="宋体" w:hAnsi="宋体" w:cs="宋体" w:hint="eastAsia"/>
              </w:rPr>
              <w:t>5</w:t>
            </w:r>
          </w:p>
        </w:tc>
        <w:tc>
          <w:tcPr>
            <w:tcW w:w="2273"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生产经营单位应当教育和督促从业人员严格执行本单位的安全生产规章制度和安全操作规程；并向从业人员如实告知作业场所和工作岗位存在的危险因素、防范措施以及事故应急措施。</w:t>
            </w:r>
          </w:p>
        </w:tc>
        <w:tc>
          <w:tcPr>
            <w:tcW w:w="905"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安全生产法</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第41条</w:t>
            </w:r>
          </w:p>
        </w:tc>
        <w:tc>
          <w:tcPr>
            <w:tcW w:w="456"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926"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已告知作业场所和工作岗位存在的危险因素、防范措施以及事故应急措施</w:t>
            </w:r>
          </w:p>
        </w:tc>
      </w:tr>
      <w:tr w:rsidR="004F34D9" w:rsidRPr="00123108">
        <w:trPr>
          <w:trHeight w:val="454"/>
          <w:jc w:val="center"/>
        </w:trPr>
        <w:tc>
          <w:tcPr>
            <w:tcW w:w="5000" w:type="pct"/>
            <w:gridSpan w:val="5"/>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三、现场安全管理</w:t>
            </w:r>
          </w:p>
        </w:tc>
      </w:tr>
      <w:tr w:rsidR="004F34D9" w:rsidRPr="00123108">
        <w:trPr>
          <w:trHeight w:val="454"/>
          <w:jc w:val="center"/>
        </w:trPr>
        <w:tc>
          <w:tcPr>
            <w:tcW w:w="438" w:type="pct"/>
            <w:vAlign w:val="center"/>
          </w:tcPr>
          <w:p w:rsidR="004F34D9" w:rsidRPr="00123108" w:rsidRDefault="004F34D9">
            <w:pPr>
              <w:pStyle w:val="affffffa"/>
              <w:rPr>
                <w:rFonts w:ascii="宋体" w:hAnsi="宋体" w:cs="宋体" w:hint="eastAsia"/>
              </w:rPr>
            </w:pPr>
            <w:r w:rsidRPr="00123108">
              <w:rPr>
                <w:rFonts w:ascii="宋体" w:hAnsi="宋体" w:cs="宋体" w:hint="eastAsia"/>
              </w:rPr>
              <w:t>1</w:t>
            </w:r>
          </w:p>
        </w:tc>
        <w:tc>
          <w:tcPr>
            <w:tcW w:w="2273"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生产经营单位应当在有较大危险因素的生产经营场所和有关设施、设备上，设置明显的安全警示标志。</w:t>
            </w:r>
          </w:p>
        </w:tc>
        <w:tc>
          <w:tcPr>
            <w:tcW w:w="905"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安全生产法</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第32条</w:t>
            </w:r>
          </w:p>
        </w:tc>
        <w:tc>
          <w:tcPr>
            <w:tcW w:w="456"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926"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已设置相关安全警示标志</w:t>
            </w:r>
          </w:p>
        </w:tc>
      </w:tr>
      <w:tr w:rsidR="004F34D9" w:rsidRPr="00123108">
        <w:trPr>
          <w:trHeight w:val="454"/>
          <w:jc w:val="center"/>
        </w:trPr>
        <w:tc>
          <w:tcPr>
            <w:tcW w:w="438" w:type="pct"/>
            <w:vAlign w:val="center"/>
          </w:tcPr>
          <w:p w:rsidR="004F34D9" w:rsidRPr="00123108" w:rsidRDefault="004F34D9">
            <w:pPr>
              <w:pStyle w:val="affffffa"/>
              <w:rPr>
                <w:rFonts w:ascii="宋体" w:hAnsi="宋体" w:cs="宋体" w:hint="eastAsia"/>
              </w:rPr>
            </w:pPr>
            <w:r w:rsidRPr="00123108">
              <w:rPr>
                <w:rFonts w:ascii="宋体" w:hAnsi="宋体" w:cs="宋体" w:hint="eastAsia"/>
              </w:rPr>
              <w:t>2</w:t>
            </w:r>
          </w:p>
        </w:tc>
        <w:tc>
          <w:tcPr>
            <w:tcW w:w="2273"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安全设备的设计、制造、安装、使用、检测、维修、改造和报废，应当符合国家标准或者行业标准。</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生产经营单位必须对安全设备进行经常性维护、保养，并定期检测，保证正常运转。维护、保养、检测应当作好记录，并由有关人员签字。</w:t>
            </w:r>
          </w:p>
        </w:tc>
        <w:tc>
          <w:tcPr>
            <w:tcW w:w="905"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安全生产法</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第33条</w:t>
            </w:r>
          </w:p>
        </w:tc>
        <w:tc>
          <w:tcPr>
            <w:tcW w:w="456"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926"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对设备定期维护保养</w:t>
            </w:r>
          </w:p>
        </w:tc>
      </w:tr>
      <w:tr w:rsidR="004F34D9" w:rsidRPr="00123108">
        <w:trPr>
          <w:trHeight w:val="454"/>
          <w:jc w:val="center"/>
        </w:trPr>
        <w:tc>
          <w:tcPr>
            <w:tcW w:w="438" w:type="pct"/>
            <w:vAlign w:val="center"/>
          </w:tcPr>
          <w:p w:rsidR="004F34D9" w:rsidRPr="00123108" w:rsidRDefault="004F34D9">
            <w:pPr>
              <w:pStyle w:val="affffffa"/>
              <w:rPr>
                <w:rFonts w:ascii="宋体" w:hAnsi="宋体" w:cs="宋体" w:hint="eastAsia"/>
              </w:rPr>
            </w:pPr>
            <w:r w:rsidRPr="00123108">
              <w:rPr>
                <w:rFonts w:ascii="宋体" w:hAnsi="宋体" w:cs="宋体" w:hint="eastAsia"/>
              </w:rPr>
              <w:t>3</w:t>
            </w:r>
          </w:p>
        </w:tc>
        <w:tc>
          <w:tcPr>
            <w:tcW w:w="2273"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生产经营单位必须为从业人员提供符合国家标准或者行业标准的劳动防护用品，并监督、教育从业人员按照使用规则佩戴、使用。</w:t>
            </w:r>
          </w:p>
        </w:tc>
        <w:tc>
          <w:tcPr>
            <w:tcW w:w="905"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安全生产法</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第42条</w:t>
            </w:r>
          </w:p>
        </w:tc>
        <w:tc>
          <w:tcPr>
            <w:tcW w:w="456"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926"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有劳动防护用品配备标准，现场人员按要求佩戴、使用</w:t>
            </w:r>
          </w:p>
        </w:tc>
      </w:tr>
      <w:tr w:rsidR="004F34D9" w:rsidRPr="00123108">
        <w:trPr>
          <w:trHeight w:val="454"/>
          <w:jc w:val="center"/>
        </w:trPr>
        <w:tc>
          <w:tcPr>
            <w:tcW w:w="438" w:type="pct"/>
            <w:vAlign w:val="center"/>
          </w:tcPr>
          <w:p w:rsidR="004F34D9" w:rsidRPr="00123108" w:rsidRDefault="004F34D9">
            <w:pPr>
              <w:pStyle w:val="affffffa"/>
              <w:rPr>
                <w:rFonts w:ascii="宋体" w:hAnsi="宋体" w:cs="宋体" w:hint="eastAsia"/>
              </w:rPr>
            </w:pPr>
            <w:r w:rsidRPr="00123108">
              <w:rPr>
                <w:rFonts w:ascii="宋体" w:hAnsi="宋体" w:cs="宋体" w:hint="eastAsia"/>
              </w:rPr>
              <w:t>4</w:t>
            </w:r>
          </w:p>
        </w:tc>
        <w:tc>
          <w:tcPr>
            <w:tcW w:w="2273"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生产、储存危险化学品的单位，应当对其铺设的危险化学品管道设置明显标志，并对危险化学品管道定期检查、检测。</w:t>
            </w:r>
          </w:p>
        </w:tc>
        <w:tc>
          <w:tcPr>
            <w:tcW w:w="905" w:type="pct"/>
            <w:vAlign w:val="center"/>
          </w:tcPr>
          <w:p w:rsidR="004F34D9" w:rsidRPr="00123108" w:rsidRDefault="004F34D9">
            <w:pPr>
              <w:pStyle w:val="affffffa"/>
              <w:snapToGrid w:val="0"/>
              <w:jc w:val="both"/>
              <w:rPr>
                <w:rFonts w:ascii="宋体" w:hAnsi="宋体" w:cs="宋体" w:hint="eastAsia"/>
                <w:kern w:val="0"/>
              </w:rPr>
            </w:pPr>
            <w:r w:rsidRPr="00123108">
              <w:rPr>
                <w:rFonts w:ascii="宋体" w:hAnsi="宋体" w:cs="宋体" w:hint="eastAsia"/>
                <w:kern w:val="0"/>
              </w:rPr>
              <w:t>危险化学品安全管理条例</w:t>
            </w:r>
          </w:p>
          <w:p w:rsidR="004F34D9" w:rsidRPr="00123108" w:rsidRDefault="004F34D9">
            <w:pPr>
              <w:pStyle w:val="affffffa"/>
              <w:snapToGrid w:val="0"/>
              <w:jc w:val="both"/>
              <w:rPr>
                <w:rFonts w:ascii="宋体" w:hAnsi="宋体" w:cs="宋体" w:hint="eastAsia"/>
                <w:kern w:val="0"/>
              </w:rPr>
            </w:pPr>
            <w:r w:rsidRPr="00123108">
              <w:rPr>
                <w:rFonts w:ascii="宋体" w:hAnsi="宋体" w:cs="宋体" w:hint="eastAsia"/>
                <w:kern w:val="0"/>
              </w:rPr>
              <w:t>第13条</w:t>
            </w:r>
          </w:p>
        </w:tc>
        <w:tc>
          <w:tcPr>
            <w:tcW w:w="456" w:type="pct"/>
            <w:vAlign w:val="center"/>
          </w:tcPr>
          <w:p w:rsidR="004F34D9" w:rsidRPr="00123108" w:rsidRDefault="004F34D9">
            <w:pPr>
              <w:pStyle w:val="affffffa"/>
              <w:snapToGrid w:val="0"/>
              <w:jc w:val="both"/>
              <w:rPr>
                <w:rFonts w:ascii="宋体" w:hAnsi="宋体" w:cs="宋体"/>
                <w:kern w:val="0"/>
              </w:rPr>
            </w:pPr>
            <w:r w:rsidRPr="00123108">
              <w:rPr>
                <w:rFonts w:ascii="宋体" w:hAnsi="宋体" w:cs="宋体" w:hint="eastAsia"/>
                <w:kern w:val="0"/>
              </w:rPr>
              <w:t>不符合</w:t>
            </w:r>
          </w:p>
        </w:tc>
        <w:tc>
          <w:tcPr>
            <w:tcW w:w="926" w:type="pct"/>
            <w:vAlign w:val="center"/>
          </w:tcPr>
          <w:p w:rsidR="004F34D9" w:rsidRPr="00123108" w:rsidRDefault="004F34D9">
            <w:pPr>
              <w:pStyle w:val="affffffa"/>
              <w:snapToGrid w:val="0"/>
              <w:jc w:val="both"/>
              <w:rPr>
                <w:rFonts w:ascii="宋体" w:hAnsi="宋体" w:cs="宋体"/>
                <w:kern w:val="0"/>
              </w:rPr>
            </w:pPr>
            <w:r w:rsidRPr="00123108">
              <w:rPr>
                <w:rFonts w:ascii="宋体" w:hAnsi="宋体" w:cs="宋体" w:hint="eastAsia"/>
                <w:kern w:val="0"/>
              </w:rPr>
              <w:t>现场管道已设置标志，个别管道涂色不规范；冷库缺少</w:t>
            </w:r>
            <w:r w:rsidRPr="00123108">
              <w:rPr>
                <w:rFonts w:ascii="宋体" w:hAnsi="宋体" w:cs="宋体"/>
                <w:kern w:val="0"/>
              </w:rPr>
              <w:t>禁止震动、撞击和摩擦</w:t>
            </w:r>
            <w:r w:rsidRPr="00123108">
              <w:rPr>
                <w:rFonts w:ascii="宋体" w:hAnsi="宋体" w:cs="宋体" w:hint="eastAsia"/>
                <w:kern w:val="0"/>
              </w:rPr>
              <w:lastRenderedPageBreak/>
              <w:t>安全警示标志</w:t>
            </w:r>
          </w:p>
        </w:tc>
      </w:tr>
      <w:tr w:rsidR="004F34D9" w:rsidRPr="00123108">
        <w:trPr>
          <w:trHeight w:val="454"/>
          <w:jc w:val="center"/>
        </w:trPr>
        <w:tc>
          <w:tcPr>
            <w:tcW w:w="438" w:type="pct"/>
            <w:vAlign w:val="center"/>
          </w:tcPr>
          <w:p w:rsidR="004F34D9" w:rsidRPr="00123108" w:rsidRDefault="004F34D9">
            <w:pPr>
              <w:pStyle w:val="affffffa"/>
              <w:rPr>
                <w:rFonts w:ascii="宋体" w:hAnsi="宋体" w:cs="宋体" w:hint="eastAsia"/>
              </w:rPr>
            </w:pPr>
            <w:r w:rsidRPr="00123108">
              <w:rPr>
                <w:rFonts w:ascii="宋体" w:hAnsi="宋体" w:cs="宋体" w:hint="eastAsia"/>
                <w:kern w:val="0"/>
              </w:rPr>
              <w:lastRenderedPageBreak/>
              <w:t>5</w:t>
            </w:r>
          </w:p>
        </w:tc>
        <w:tc>
          <w:tcPr>
            <w:tcW w:w="2273"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生产、储存危险化学品的单位，应当在其作业场所设置通信、报警装置，并保证处于适用状态。</w:t>
            </w:r>
          </w:p>
        </w:tc>
        <w:tc>
          <w:tcPr>
            <w:tcW w:w="905" w:type="pct"/>
            <w:vAlign w:val="center"/>
          </w:tcPr>
          <w:p w:rsidR="004F34D9" w:rsidRPr="00123108" w:rsidRDefault="004F34D9">
            <w:pPr>
              <w:pStyle w:val="affffffa"/>
              <w:snapToGrid w:val="0"/>
              <w:jc w:val="both"/>
              <w:rPr>
                <w:rFonts w:ascii="宋体" w:hAnsi="宋体" w:cs="宋体" w:hint="eastAsia"/>
                <w:kern w:val="0"/>
              </w:rPr>
            </w:pPr>
            <w:r w:rsidRPr="00123108">
              <w:rPr>
                <w:rFonts w:ascii="宋体" w:hAnsi="宋体" w:cs="宋体" w:hint="eastAsia"/>
                <w:kern w:val="0"/>
              </w:rPr>
              <w:t>危险化学品安全管理条例</w:t>
            </w:r>
          </w:p>
          <w:p w:rsidR="004F34D9" w:rsidRPr="00123108" w:rsidRDefault="004F34D9">
            <w:pPr>
              <w:pStyle w:val="affffffa"/>
              <w:snapToGrid w:val="0"/>
              <w:jc w:val="both"/>
              <w:rPr>
                <w:rFonts w:ascii="宋体" w:hAnsi="宋体" w:cs="宋体" w:hint="eastAsia"/>
                <w:kern w:val="0"/>
              </w:rPr>
            </w:pPr>
            <w:r w:rsidRPr="00123108">
              <w:rPr>
                <w:rFonts w:ascii="宋体" w:hAnsi="宋体" w:cs="宋体" w:hint="eastAsia"/>
                <w:kern w:val="0"/>
              </w:rPr>
              <w:t>第21条</w:t>
            </w:r>
          </w:p>
        </w:tc>
        <w:tc>
          <w:tcPr>
            <w:tcW w:w="456" w:type="pct"/>
            <w:vAlign w:val="center"/>
          </w:tcPr>
          <w:p w:rsidR="004F34D9" w:rsidRPr="00123108" w:rsidRDefault="004F34D9">
            <w:pPr>
              <w:pStyle w:val="affffffa"/>
              <w:snapToGrid w:val="0"/>
              <w:jc w:val="both"/>
              <w:rPr>
                <w:rFonts w:ascii="宋体" w:hAnsi="宋体" w:cs="宋体" w:hint="eastAsia"/>
                <w:kern w:val="0"/>
              </w:rPr>
            </w:pPr>
            <w:r w:rsidRPr="00123108">
              <w:rPr>
                <w:rFonts w:ascii="宋体" w:hAnsi="宋体" w:cs="宋体" w:hint="eastAsia"/>
                <w:kern w:val="0"/>
              </w:rPr>
              <w:t>符合</w:t>
            </w:r>
          </w:p>
        </w:tc>
        <w:tc>
          <w:tcPr>
            <w:tcW w:w="926" w:type="pct"/>
            <w:vAlign w:val="center"/>
          </w:tcPr>
          <w:p w:rsidR="004F34D9" w:rsidRPr="00123108" w:rsidRDefault="004F34D9">
            <w:pPr>
              <w:pStyle w:val="affffffa"/>
              <w:snapToGrid w:val="0"/>
              <w:jc w:val="both"/>
              <w:rPr>
                <w:rFonts w:ascii="宋体" w:hAnsi="宋体" w:cs="宋体" w:hint="eastAsia"/>
                <w:kern w:val="0"/>
              </w:rPr>
            </w:pPr>
            <w:r w:rsidRPr="00123108">
              <w:rPr>
                <w:rFonts w:ascii="宋体" w:hAnsi="宋体" w:cs="宋体" w:hint="eastAsia"/>
                <w:kern w:val="0"/>
              </w:rPr>
              <w:t>作业场所已设置报警装置，并定期检查</w:t>
            </w:r>
          </w:p>
        </w:tc>
      </w:tr>
      <w:tr w:rsidR="004F34D9" w:rsidRPr="00123108">
        <w:trPr>
          <w:trHeight w:val="454"/>
          <w:jc w:val="center"/>
        </w:trPr>
        <w:tc>
          <w:tcPr>
            <w:tcW w:w="5000" w:type="pct"/>
            <w:gridSpan w:val="5"/>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四、变更管理</w:t>
            </w:r>
          </w:p>
        </w:tc>
      </w:tr>
      <w:tr w:rsidR="004F34D9" w:rsidRPr="00123108">
        <w:trPr>
          <w:trHeight w:val="454"/>
          <w:jc w:val="center"/>
        </w:trPr>
        <w:tc>
          <w:tcPr>
            <w:tcW w:w="438" w:type="pct"/>
            <w:vAlign w:val="center"/>
          </w:tcPr>
          <w:p w:rsidR="004F34D9" w:rsidRPr="00123108" w:rsidRDefault="004F34D9">
            <w:pPr>
              <w:pStyle w:val="affffffa"/>
              <w:rPr>
                <w:rFonts w:ascii="宋体" w:hAnsi="宋体" w:cs="宋体" w:hint="eastAsia"/>
                <w:kern w:val="0"/>
              </w:rPr>
            </w:pPr>
            <w:r w:rsidRPr="00123108">
              <w:rPr>
                <w:rFonts w:ascii="宋体" w:hAnsi="宋体" w:cs="宋体" w:hint="eastAsia"/>
                <w:kern w:val="0"/>
              </w:rPr>
              <w:t>1</w:t>
            </w:r>
          </w:p>
        </w:tc>
        <w:tc>
          <w:tcPr>
            <w:tcW w:w="2273"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kern w:val="0"/>
                <w:szCs w:val="21"/>
              </w:rPr>
              <w:t>企业应建立变更管理制度，变更管理制度至少包含需纳入变更管理的范围、变更分类分级原则、管理职责和程序、变更风险辨识及控制、变更实施及验收等内容。</w:t>
            </w:r>
          </w:p>
        </w:tc>
        <w:tc>
          <w:tcPr>
            <w:tcW w:w="905" w:type="pct"/>
            <w:vAlign w:val="center"/>
          </w:tcPr>
          <w:p w:rsidR="004F34D9" w:rsidRPr="00123108" w:rsidRDefault="004F34D9">
            <w:pPr>
              <w:pStyle w:val="affffffa"/>
              <w:snapToGrid w:val="0"/>
              <w:jc w:val="both"/>
              <w:rPr>
                <w:rFonts w:ascii="宋体" w:hAnsi="宋体" w:cs="宋体"/>
                <w:kern w:val="0"/>
              </w:rPr>
            </w:pPr>
            <w:r w:rsidRPr="00123108">
              <w:rPr>
                <w:rFonts w:ascii="宋体" w:hAnsi="宋体" w:cs="宋体" w:hint="eastAsia"/>
                <w:kern w:val="0"/>
              </w:rPr>
              <w:t>AQ/T 3034-2022第4.15.1条</w:t>
            </w:r>
          </w:p>
        </w:tc>
        <w:tc>
          <w:tcPr>
            <w:tcW w:w="456" w:type="pct"/>
            <w:vAlign w:val="center"/>
          </w:tcPr>
          <w:p w:rsidR="004F34D9" w:rsidRPr="00123108" w:rsidRDefault="004F34D9">
            <w:pPr>
              <w:pStyle w:val="affffffa"/>
              <w:snapToGrid w:val="0"/>
              <w:jc w:val="both"/>
              <w:rPr>
                <w:rFonts w:ascii="宋体" w:hAnsi="宋体" w:cs="宋体" w:hint="eastAsia"/>
                <w:kern w:val="0"/>
              </w:rPr>
            </w:pPr>
            <w:r w:rsidRPr="00123108">
              <w:rPr>
                <w:rFonts w:ascii="宋体" w:hAnsi="宋体" w:cs="宋体" w:hint="eastAsia"/>
                <w:kern w:val="0"/>
              </w:rPr>
              <w:t>符合</w:t>
            </w:r>
          </w:p>
        </w:tc>
        <w:tc>
          <w:tcPr>
            <w:tcW w:w="926" w:type="pct"/>
            <w:vAlign w:val="center"/>
          </w:tcPr>
          <w:p w:rsidR="004F34D9" w:rsidRPr="00123108" w:rsidRDefault="004F34D9">
            <w:pPr>
              <w:pStyle w:val="affffffa"/>
              <w:snapToGrid w:val="0"/>
              <w:jc w:val="both"/>
              <w:rPr>
                <w:rFonts w:ascii="宋体" w:hAnsi="宋体" w:cs="宋体"/>
                <w:kern w:val="0"/>
              </w:rPr>
            </w:pPr>
            <w:r w:rsidRPr="00123108">
              <w:rPr>
                <w:rFonts w:ascii="宋体" w:hAnsi="宋体" w:cs="宋体"/>
                <w:kern w:val="0"/>
              </w:rPr>
              <w:t>企业</w:t>
            </w:r>
            <w:r w:rsidRPr="00123108">
              <w:rPr>
                <w:rFonts w:ascii="宋体" w:hAnsi="宋体" w:cs="宋体" w:hint="eastAsia"/>
                <w:kern w:val="0"/>
              </w:rPr>
              <w:t>已</w:t>
            </w:r>
            <w:r w:rsidRPr="00123108">
              <w:rPr>
                <w:rFonts w:ascii="宋体" w:hAnsi="宋体" w:cs="宋体"/>
                <w:kern w:val="0"/>
              </w:rPr>
              <w:t>建立变更管理制度，制度包含</w:t>
            </w:r>
            <w:r w:rsidRPr="00123108">
              <w:rPr>
                <w:rFonts w:ascii="宋体" w:hAnsi="宋体" w:cs="宋体" w:hint="eastAsia"/>
                <w:kern w:val="0"/>
              </w:rPr>
              <w:t>了所述内容</w:t>
            </w:r>
          </w:p>
        </w:tc>
      </w:tr>
      <w:tr w:rsidR="004F34D9" w:rsidRPr="00123108">
        <w:trPr>
          <w:trHeight w:val="454"/>
          <w:jc w:val="center"/>
        </w:trPr>
        <w:tc>
          <w:tcPr>
            <w:tcW w:w="438" w:type="pct"/>
            <w:vAlign w:val="center"/>
          </w:tcPr>
          <w:p w:rsidR="004F34D9" w:rsidRPr="00123108" w:rsidRDefault="004F34D9">
            <w:pPr>
              <w:pStyle w:val="affffffa"/>
              <w:rPr>
                <w:rFonts w:ascii="宋体" w:hAnsi="宋体" w:cs="宋体" w:hint="eastAsia"/>
                <w:kern w:val="0"/>
              </w:rPr>
            </w:pPr>
            <w:r w:rsidRPr="00123108">
              <w:rPr>
                <w:rFonts w:ascii="宋体" w:hAnsi="宋体" w:cs="宋体" w:hint="eastAsia"/>
                <w:kern w:val="0"/>
              </w:rPr>
              <w:t>2</w:t>
            </w:r>
          </w:p>
        </w:tc>
        <w:tc>
          <w:tcPr>
            <w:tcW w:w="2273"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kern w:val="0"/>
                <w:szCs w:val="21"/>
              </w:rPr>
              <w:t>企业应根据变更的内容、期限和影响对变更进行分类、分级管理。</w:t>
            </w:r>
          </w:p>
        </w:tc>
        <w:tc>
          <w:tcPr>
            <w:tcW w:w="905" w:type="pct"/>
            <w:vAlign w:val="center"/>
          </w:tcPr>
          <w:p w:rsidR="004F34D9" w:rsidRPr="00123108" w:rsidRDefault="004F34D9">
            <w:pPr>
              <w:pStyle w:val="affffffa"/>
              <w:snapToGrid w:val="0"/>
              <w:jc w:val="both"/>
              <w:rPr>
                <w:rFonts w:ascii="宋体" w:hAnsi="宋体" w:cs="宋体" w:hint="eastAsia"/>
                <w:kern w:val="0"/>
              </w:rPr>
            </w:pPr>
            <w:r w:rsidRPr="00123108">
              <w:rPr>
                <w:rFonts w:ascii="宋体" w:hAnsi="宋体" w:cs="宋体" w:hint="eastAsia"/>
                <w:kern w:val="0"/>
              </w:rPr>
              <w:t>AQ/T 3034-2022第</w:t>
            </w:r>
            <w:r w:rsidRPr="00123108">
              <w:rPr>
                <w:rFonts w:ascii="宋体" w:hAnsi="宋体" w:cs="宋体"/>
                <w:kern w:val="0"/>
              </w:rPr>
              <w:t>4.15.2.1</w:t>
            </w:r>
            <w:r w:rsidRPr="00123108">
              <w:rPr>
                <w:rFonts w:ascii="宋体" w:hAnsi="宋体" w:cs="宋体" w:hint="eastAsia"/>
                <w:kern w:val="0"/>
              </w:rPr>
              <w:t>条</w:t>
            </w:r>
          </w:p>
        </w:tc>
        <w:tc>
          <w:tcPr>
            <w:tcW w:w="456" w:type="pct"/>
            <w:vAlign w:val="center"/>
          </w:tcPr>
          <w:p w:rsidR="004F34D9" w:rsidRPr="00123108" w:rsidRDefault="004F34D9">
            <w:pPr>
              <w:pStyle w:val="affffffa"/>
              <w:snapToGrid w:val="0"/>
              <w:jc w:val="both"/>
              <w:rPr>
                <w:rFonts w:ascii="宋体" w:hAnsi="宋体" w:cs="宋体" w:hint="eastAsia"/>
                <w:kern w:val="0"/>
              </w:rPr>
            </w:pPr>
            <w:r w:rsidRPr="00123108">
              <w:rPr>
                <w:rFonts w:ascii="宋体" w:hAnsi="宋体" w:cs="宋体" w:hint="eastAsia"/>
                <w:kern w:val="0"/>
              </w:rPr>
              <w:t>符合</w:t>
            </w:r>
          </w:p>
        </w:tc>
        <w:tc>
          <w:tcPr>
            <w:tcW w:w="926" w:type="pct"/>
            <w:vAlign w:val="center"/>
          </w:tcPr>
          <w:p w:rsidR="004F34D9" w:rsidRPr="00123108" w:rsidRDefault="004F34D9">
            <w:pPr>
              <w:pStyle w:val="affffffa"/>
              <w:snapToGrid w:val="0"/>
              <w:jc w:val="both"/>
              <w:rPr>
                <w:rFonts w:ascii="宋体" w:hAnsi="宋体" w:cs="宋体" w:hint="eastAsia"/>
                <w:kern w:val="0"/>
              </w:rPr>
            </w:pPr>
            <w:r w:rsidRPr="00123108">
              <w:rPr>
                <w:rFonts w:ascii="宋体" w:hAnsi="宋体" w:cs="宋体" w:hint="eastAsia"/>
                <w:kern w:val="0"/>
              </w:rPr>
              <w:t>已</w:t>
            </w:r>
            <w:r w:rsidRPr="00123108">
              <w:rPr>
                <w:rFonts w:ascii="宋体" w:hAnsi="宋体" w:cs="宋体"/>
                <w:kern w:val="0"/>
              </w:rPr>
              <w:t>对变更进行分类、分级管理</w:t>
            </w:r>
          </w:p>
        </w:tc>
      </w:tr>
      <w:tr w:rsidR="004F34D9" w:rsidRPr="00123108">
        <w:trPr>
          <w:trHeight w:val="454"/>
          <w:jc w:val="center"/>
        </w:trPr>
        <w:tc>
          <w:tcPr>
            <w:tcW w:w="438" w:type="pct"/>
            <w:vAlign w:val="center"/>
          </w:tcPr>
          <w:p w:rsidR="004F34D9" w:rsidRPr="00123108" w:rsidRDefault="004F34D9">
            <w:pPr>
              <w:pStyle w:val="affffffa"/>
              <w:rPr>
                <w:rFonts w:ascii="宋体" w:hAnsi="宋体" w:cs="宋体" w:hint="eastAsia"/>
                <w:kern w:val="0"/>
              </w:rPr>
            </w:pPr>
            <w:r w:rsidRPr="00123108">
              <w:rPr>
                <w:rFonts w:ascii="宋体" w:hAnsi="宋体" w:cs="宋体" w:hint="eastAsia"/>
                <w:kern w:val="0"/>
              </w:rPr>
              <w:t>3</w:t>
            </w:r>
          </w:p>
        </w:tc>
        <w:tc>
          <w:tcPr>
            <w:tcW w:w="2273"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kern w:val="0"/>
                <w:szCs w:val="21"/>
              </w:rPr>
              <w:t>企业应对需求单位提出的变更进行必要性评估，确认变更的必要性。</w:t>
            </w:r>
          </w:p>
        </w:tc>
        <w:tc>
          <w:tcPr>
            <w:tcW w:w="905" w:type="pct"/>
            <w:vAlign w:val="center"/>
          </w:tcPr>
          <w:p w:rsidR="004F34D9" w:rsidRPr="00123108" w:rsidRDefault="004F34D9">
            <w:pPr>
              <w:pStyle w:val="affffffa"/>
              <w:snapToGrid w:val="0"/>
              <w:jc w:val="both"/>
              <w:rPr>
                <w:rFonts w:ascii="宋体" w:hAnsi="宋体" w:cs="宋体" w:hint="eastAsia"/>
                <w:kern w:val="0"/>
              </w:rPr>
            </w:pPr>
            <w:r w:rsidRPr="00123108">
              <w:rPr>
                <w:rFonts w:ascii="宋体" w:hAnsi="宋体" w:cs="宋体" w:hint="eastAsia"/>
                <w:kern w:val="0"/>
              </w:rPr>
              <w:t>AQ/T 3034-2022第</w:t>
            </w:r>
            <w:r w:rsidRPr="00123108">
              <w:rPr>
                <w:rFonts w:ascii="宋体" w:hAnsi="宋体" w:cs="宋体"/>
                <w:kern w:val="0"/>
              </w:rPr>
              <w:t>4.15.4.1</w:t>
            </w:r>
            <w:r w:rsidRPr="00123108">
              <w:rPr>
                <w:rFonts w:ascii="宋体" w:hAnsi="宋体" w:cs="宋体" w:hint="eastAsia"/>
                <w:kern w:val="0"/>
              </w:rPr>
              <w:t>条</w:t>
            </w:r>
          </w:p>
        </w:tc>
        <w:tc>
          <w:tcPr>
            <w:tcW w:w="456" w:type="pct"/>
            <w:vAlign w:val="center"/>
          </w:tcPr>
          <w:p w:rsidR="004F34D9" w:rsidRPr="00123108" w:rsidRDefault="004F34D9">
            <w:pPr>
              <w:pStyle w:val="affffffa"/>
              <w:snapToGrid w:val="0"/>
              <w:jc w:val="both"/>
              <w:rPr>
                <w:rFonts w:ascii="宋体" w:hAnsi="宋体" w:cs="宋体" w:hint="eastAsia"/>
                <w:kern w:val="0"/>
              </w:rPr>
            </w:pPr>
            <w:r w:rsidRPr="00123108">
              <w:rPr>
                <w:rFonts w:ascii="宋体" w:hAnsi="宋体" w:cs="宋体" w:hint="eastAsia"/>
                <w:kern w:val="0"/>
              </w:rPr>
              <w:t>符合</w:t>
            </w:r>
          </w:p>
        </w:tc>
        <w:tc>
          <w:tcPr>
            <w:tcW w:w="926" w:type="pct"/>
            <w:vAlign w:val="center"/>
          </w:tcPr>
          <w:p w:rsidR="004F34D9" w:rsidRPr="00123108" w:rsidRDefault="004F34D9">
            <w:pPr>
              <w:pStyle w:val="affffffa"/>
              <w:snapToGrid w:val="0"/>
              <w:jc w:val="both"/>
              <w:rPr>
                <w:rFonts w:ascii="宋体" w:hAnsi="宋体" w:cs="宋体" w:hint="eastAsia"/>
                <w:kern w:val="0"/>
              </w:rPr>
            </w:pPr>
            <w:r w:rsidRPr="00123108">
              <w:rPr>
                <w:rFonts w:ascii="宋体" w:hAnsi="宋体" w:cs="宋体" w:hint="eastAsia"/>
                <w:kern w:val="0"/>
              </w:rPr>
              <w:t>已</w:t>
            </w:r>
            <w:r w:rsidRPr="00123108">
              <w:rPr>
                <w:rFonts w:ascii="宋体" w:hAnsi="宋体" w:cs="宋体"/>
                <w:kern w:val="0"/>
              </w:rPr>
              <w:t>对需求单位提出的变更进行必要性评估</w:t>
            </w:r>
          </w:p>
        </w:tc>
      </w:tr>
      <w:tr w:rsidR="004F34D9" w:rsidRPr="00123108">
        <w:trPr>
          <w:trHeight w:val="454"/>
          <w:jc w:val="center"/>
        </w:trPr>
        <w:tc>
          <w:tcPr>
            <w:tcW w:w="438" w:type="pct"/>
            <w:vAlign w:val="center"/>
          </w:tcPr>
          <w:p w:rsidR="004F34D9" w:rsidRPr="00123108" w:rsidRDefault="004F34D9">
            <w:pPr>
              <w:pStyle w:val="affffffa"/>
              <w:rPr>
                <w:rFonts w:ascii="宋体" w:hAnsi="宋体" w:cs="宋体" w:hint="eastAsia"/>
                <w:kern w:val="0"/>
              </w:rPr>
            </w:pPr>
            <w:r w:rsidRPr="00123108">
              <w:rPr>
                <w:rFonts w:ascii="宋体" w:hAnsi="宋体" w:cs="宋体" w:hint="eastAsia"/>
                <w:kern w:val="0"/>
              </w:rPr>
              <w:t>4</w:t>
            </w:r>
          </w:p>
        </w:tc>
        <w:tc>
          <w:tcPr>
            <w:tcW w:w="2273"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kern w:val="0"/>
                <w:szCs w:val="21"/>
              </w:rPr>
              <w:t>应采用合适的危害辨识和风险评估方法开展变更风险评估、制定管控措施。</w:t>
            </w:r>
          </w:p>
        </w:tc>
        <w:tc>
          <w:tcPr>
            <w:tcW w:w="905" w:type="pct"/>
            <w:vAlign w:val="center"/>
          </w:tcPr>
          <w:p w:rsidR="004F34D9" w:rsidRPr="00123108" w:rsidRDefault="004F34D9">
            <w:pPr>
              <w:pStyle w:val="affffffa"/>
              <w:snapToGrid w:val="0"/>
              <w:jc w:val="both"/>
              <w:rPr>
                <w:rFonts w:ascii="宋体" w:hAnsi="宋体" w:cs="宋体" w:hint="eastAsia"/>
                <w:kern w:val="0"/>
              </w:rPr>
            </w:pPr>
            <w:r w:rsidRPr="00123108">
              <w:rPr>
                <w:rFonts w:ascii="宋体" w:hAnsi="宋体" w:cs="宋体" w:hint="eastAsia"/>
                <w:kern w:val="0"/>
              </w:rPr>
              <w:t>AQ/T 3034-2022第</w:t>
            </w:r>
            <w:r w:rsidRPr="00123108">
              <w:rPr>
                <w:rFonts w:ascii="宋体" w:hAnsi="宋体" w:cs="宋体"/>
                <w:kern w:val="0"/>
              </w:rPr>
              <w:t>4.15.5.1</w:t>
            </w:r>
            <w:r w:rsidRPr="00123108">
              <w:rPr>
                <w:rFonts w:ascii="宋体" w:hAnsi="宋体" w:cs="宋体" w:hint="eastAsia"/>
                <w:kern w:val="0"/>
              </w:rPr>
              <w:t>条</w:t>
            </w:r>
          </w:p>
        </w:tc>
        <w:tc>
          <w:tcPr>
            <w:tcW w:w="456" w:type="pct"/>
            <w:vAlign w:val="center"/>
          </w:tcPr>
          <w:p w:rsidR="004F34D9" w:rsidRPr="00123108" w:rsidRDefault="004F34D9">
            <w:pPr>
              <w:pStyle w:val="affffffa"/>
              <w:snapToGrid w:val="0"/>
              <w:jc w:val="both"/>
              <w:rPr>
                <w:rFonts w:ascii="宋体" w:hAnsi="宋体" w:cs="宋体" w:hint="eastAsia"/>
                <w:kern w:val="0"/>
              </w:rPr>
            </w:pPr>
            <w:r w:rsidRPr="00123108">
              <w:rPr>
                <w:rFonts w:ascii="宋体" w:hAnsi="宋体" w:cs="宋体" w:hint="eastAsia"/>
                <w:kern w:val="0"/>
              </w:rPr>
              <w:t>符合</w:t>
            </w:r>
          </w:p>
        </w:tc>
        <w:tc>
          <w:tcPr>
            <w:tcW w:w="926" w:type="pct"/>
            <w:vAlign w:val="center"/>
          </w:tcPr>
          <w:p w:rsidR="004F34D9" w:rsidRPr="00123108" w:rsidRDefault="004F34D9">
            <w:pPr>
              <w:pStyle w:val="affffffa"/>
              <w:snapToGrid w:val="0"/>
              <w:jc w:val="both"/>
              <w:rPr>
                <w:rFonts w:ascii="宋体" w:hAnsi="宋体" w:cs="宋体" w:hint="eastAsia"/>
                <w:kern w:val="0"/>
              </w:rPr>
            </w:pPr>
            <w:r w:rsidRPr="00123108">
              <w:rPr>
                <w:rFonts w:ascii="宋体" w:hAnsi="宋体" w:cs="宋体" w:hint="eastAsia"/>
                <w:kern w:val="0"/>
              </w:rPr>
              <w:t>已</w:t>
            </w:r>
            <w:r w:rsidRPr="00123108">
              <w:rPr>
                <w:rFonts w:ascii="宋体" w:hAnsi="宋体" w:cs="宋体"/>
                <w:kern w:val="0"/>
              </w:rPr>
              <w:t>开展变更风险评估、制定管控措施</w:t>
            </w:r>
          </w:p>
        </w:tc>
      </w:tr>
      <w:tr w:rsidR="004F34D9" w:rsidRPr="00123108">
        <w:trPr>
          <w:trHeight w:val="454"/>
          <w:jc w:val="center"/>
        </w:trPr>
        <w:tc>
          <w:tcPr>
            <w:tcW w:w="438" w:type="pct"/>
            <w:vAlign w:val="center"/>
          </w:tcPr>
          <w:p w:rsidR="004F34D9" w:rsidRPr="00123108" w:rsidRDefault="004F34D9">
            <w:pPr>
              <w:pStyle w:val="affffffa"/>
              <w:rPr>
                <w:rFonts w:ascii="宋体" w:hAnsi="宋体" w:cs="宋体" w:hint="eastAsia"/>
                <w:kern w:val="0"/>
              </w:rPr>
            </w:pPr>
            <w:r w:rsidRPr="00123108">
              <w:rPr>
                <w:rFonts w:ascii="宋体" w:hAnsi="宋体" w:cs="宋体" w:hint="eastAsia"/>
                <w:kern w:val="0"/>
              </w:rPr>
              <w:t>5</w:t>
            </w:r>
          </w:p>
        </w:tc>
        <w:tc>
          <w:tcPr>
            <w:tcW w:w="2273"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kern w:val="0"/>
                <w:szCs w:val="21"/>
              </w:rPr>
              <w:t>变更申请表及风险评估材料应按照管理制度要求，上报相应部门及负责人审批。</w:t>
            </w:r>
          </w:p>
        </w:tc>
        <w:tc>
          <w:tcPr>
            <w:tcW w:w="905" w:type="pct"/>
            <w:vAlign w:val="center"/>
          </w:tcPr>
          <w:p w:rsidR="004F34D9" w:rsidRPr="00123108" w:rsidRDefault="004F34D9">
            <w:pPr>
              <w:pStyle w:val="affffffa"/>
              <w:snapToGrid w:val="0"/>
              <w:jc w:val="both"/>
              <w:rPr>
                <w:rFonts w:ascii="宋体" w:hAnsi="宋体" w:cs="宋体" w:hint="eastAsia"/>
                <w:kern w:val="0"/>
              </w:rPr>
            </w:pPr>
            <w:r w:rsidRPr="00123108">
              <w:rPr>
                <w:rFonts w:ascii="宋体" w:hAnsi="宋体" w:cs="宋体" w:hint="eastAsia"/>
                <w:kern w:val="0"/>
              </w:rPr>
              <w:t>AQ/T 3034-2022第</w:t>
            </w:r>
            <w:r w:rsidRPr="00123108">
              <w:rPr>
                <w:rFonts w:ascii="宋体" w:hAnsi="宋体" w:cs="宋体"/>
                <w:kern w:val="0"/>
              </w:rPr>
              <w:t>4.15.6.1</w:t>
            </w:r>
            <w:r w:rsidRPr="00123108">
              <w:rPr>
                <w:rFonts w:ascii="宋体" w:hAnsi="宋体" w:cs="宋体" w:hint="eastAsia"/>
                <w:kern w:val="0"/>
              </w:rPr>
              <w:t>条</w:t>
            </w:r>
          </w:p>
        </w:tc>
        <w:tc>
          <w:tcPr>
            <w:tcW w:w="456" w:type="pct"/>
            <w:vAlign w:val="center"/>
          </w:tcPr>
          <w:p w:rsidR="004F34D9" w:rsidRPr="00123108" w:rsidRDefault="004F34D9">
            <w:pPr>
              <w:pStyle w:val="affffffa"/>
              <w:snapToGrid w:val="0"/>
              <w:jc w:val="both"/>
              <w:rPr>
                <w:rFonts w:ascii="宋体" w:hAnsi="宋体" w:cs="宋体" w:hint="eastAsia"/>
                <w:kern w:val="0"/>
              </w:rPr>
            </w:pPr>
            <w:r w:rsidRPr="00123108">
              <w:rPr>
                <w:rFonts w:ascii="宋体" w:hAnsi="宋体" w:cs="宋体" w:hint="eastAsia"/>
                <w:kern w:val="0"/>
              </w:rPr>
              <w:t>符合</w:t>
            </w:r>
          </w:p>
        </w:tc>
        <w:tc>
          <w:tcPr>
            <w:tcW w:w="926" w:type="pct"/>
            <w:vAlign w:val="center"/>
          </w:tcPr>
          <w:p w:rsidR="004F34D9" w:rsidRPr="00123108" w:rsidRDefault="004F34D9">
            <w:pPr>
              <w:pStyle w:val="affffffa"/>
              <w:snapToGrid w:val="0"/>
              <w:jc w:val="both"/>
              <w:rPr>
                <w:rFonts w:ascii="宋体" w:hAnsi="宋体" w:cs="宋体" w:hint="eastAsia"/>
                <w:kern w:val="0"/>
              </w:rPr>
            </w:pPr>
            <w:r w:rsidRPr="00123108">
              <w:rPr>
                <w:rFonts w:ascii="宋体" w:hAnsi="宋体" w:cs="宋体" w:hint="eastAsia"/>
                <w:kern w:val="0"/>
              </w:rPr>
              <w:t>经相</w:t>
            </w:r>
            <w:r w:rsidRPr="00123108">
              <w:rPr>
                <w:rFonts w:ascii="宋体" w:hAnsi="宋体" w:cs="宋体"/>
                <w:kern w:val="0"/>
              </w:rPr>
              <w:t>应部门及负责人审批</w:t>
            </w:r>
          </w:p>
        </w:tc>
      </w:tr>
      <w:tr w:rsidR="004F34D9" w:rsidRPr="00123108">
        <w:trPr>
          <w:trHeight w:val="454"/>
          <w:jc w:val="center"/>
        </w:trPr>
        <w:tc>
          <w:tcPr>
            <w:tcW w:w="438" w:type="pct"/>
            <w:vAlign w:val="center"/>
          </w:tcPr>
          <w:p w:rsidR="004F34D9" w:rsidRPr="00123108" w:rsidRDefault="004F34D9">
            <w:pPr>
              <w:pStyle w:val="affffffa"/>
              <w:rPr>
                <w:rFonts w:ascii="宋体" w:hAnsi="宋体" w:cs="宋体" w:hint="eastAsia"/>
                <w:kern w:val="0"/>
              </w:rPr>
            </w:pPr>
            <w:r w:rsidRPr="00123108">
              <w:rPr>
                <w:rFonts w:ascii="宋体" w:hAnsi="宋体" w:cs="宋体" w:hint="eastAsia"/>
                <w:kern w:val="0"/>
              </w:rPr>
              <w:t>6</w:t>
            </w:r>
          </w:p>
        </w:tc>
        <w:tc>
          <w:tcPr>
            <w:tcW w:w="2273"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kern w:val="0"/>
                <w:szCs w:val="21"/>
              </w:rPr>
              <w:t>变更应严格按照变更审批确定的内容和范围实施，实施过程中应严格落实风险控制措施。</w:t>
            </w:r>
          </w:p>
        </w:tc>
        <w:tc>
          <w:tcPr>
            <w:tcW w:w="905" w:type="pct"/>
            <w:vAlign w:val="center"/>
          </w:tcPr>
          <w:p w:rsidR="004F34D9" w:rsidRPr="00123108" w:rsidRDefault="004F34D9">
            <w:pPr>
              <w:pStyle w:val="affffffa"/>
              <w:snapToGrid w:val="0"/>
              <w:jc w:val="both"/>
              <w:rPr>
                <w:rFonts w:ascii="宋体" w:hAnsi="宋体" w:cs="宋体" w:hint="eastAsia"/>
                <w:kern w:val="0"/>
              </w:rPr>
            </w:pPr>
            <w:r w:rsidRPr="00123108">
              <w:rPr>
                <w:rFonts w:ascii="宋体" w:hAnsi="宋体" w:cs="宋体" w:hint="eastAsia"/>
                <w:kern w:val="0"/>
              </w:rPr>
              <w:t>AQ/T 3034-2022第</w:t>
            </w:r>
            <w:r w:rsidRPr="00123108">
              <w:rPr>
                <w:rFonts w:ascii="宋体" w:hAnsi="宋体" w:cs="宋体"/>
                <w:kern w:val="0"/>
              </w:rPr>
              <w:t>4.15.7.1</w:t>
            </w:r>
            <w:r w:rsidRPr="00123108">
              <w:rPr>
                <w:rFonts w:ascii="宋体" w:hAnsi="宋体" w:cs="宋体" w:hint="eastAsia"/>
                <w:kern w:val="0"/>
              </w:rPr>
              <w:t>条</w:t>
            </w:r>
          </w:p>
        </w:tc>
        <w:tc>
          <w:tcPr>
            <w:tcW w:w="456" w:type="pct"/>
            <w:vAlign w:val="center"/>
          </w:tcPr>
          <w:p w:rsidR="004F34D9" w:rsidRPr="00123108" w:rsidRDefault="004F34D9">
            <w:pPr>
              <w:pStyle w:val="affffffa"/>
              <w:snapToGrid w:val="0"/>
              <w:jc w:val="both"/>
              <w:rPr>
                <w:rFonts w:ascii="宋体" w:hAnsi="宋体" w:cs="宋体" w:hint="eastAsia"/>
                <w:kern w:val="0"/>
              </w:rPr>
            </w:pPr>
            <w:r w:rsidRPr="00123108">
              <w:rPr>
                <w:rFonts w:ascii="宋体" w:hAnsi="宋体" w:cs="宋体" w:hint="eastAsia"/>
                <w:kern w:val="0"/>
              </w:rPr>
              <w:t>符合</w:t>
            </w:r>
          </w:p>
        </w:tc>
        <w:tc>
          <w:tcPr>
            <w:tcW w:w="926" w:type="pct"/>
            <w:vAlign w:val="center"/>
          </w:tcPr>
          <w:p w:rsidR="004F34D9" w:rsidRPr="00123108" w:rsidRDefault="004F34D9">
            <w:pPr>
              <w:pStyle w:val="affffffa"/>
              <w:snapToGrid w:val="0"/>
              <w:jc w:val="both"/>
              <w:rPr>
                <w:rFonts w:ascii="宋体" w:hAnsi="宋体" w:cs="宋体" w:hint="eastAsia"/>
                <w:kern w:val="0"/>
              </w:rPr>
            </w:pPr>
            <w:r w:rsidRPr="00123108">
              <w:rPr>
                <w:rFonts w:ascii="宋体" w:hAnsi="宋体" w:cs="宋体" w:hint="eastAsia"/>
                <w:kern w:val="0"/>
              </w:rPr>
              <w:t>能</w:t>
            </w:r>
            <w:r w:rsidRPr="00123108">
              <w:rPr>
                <w:rFonts w:ascii="宋体" w:hAnsi="宋体" w:cs="宋体"/>
                <w:kern w:val="0"/>
              </w:rPr>
              <w:t>按变更审批确定的内容和范围实施，</w:t>
            </w:r>
            <w:r w:rsidRPr="00123108">
              <w:rPr>
                <w:rFonts w:ascii="宋体" w:hAnsi="宋体" w:cs="宋体" w:hint="eastAsia"/>
                <w:kern w:val="0"/>
              </w:rPr>
              <w:t>并</w:t>
            </w:r>
            <w:r w:rsidRPr="00123108">
              <w:rPr>
                <w:rFonts w:ascii="宋体" w:hAnsi="宋体" w:cs="宋体"/>
                <w:kern w:val="0"/>
              </w:rPr>
              <w:t>落实风险控制措施</w:t>
            </w:r>
          </w:p>
        </w:tc>
      </w:tr>
      <w:tr w:rsidR="004F34D9" w:rsidRPr="00123108">
        <w:trPr>
          <w:trHeight w:val="184"/>
          <w:jc w:val="center"/>
        </w:trPr>
        <w:tc>
          <w:tcPr>
            <w:tcW w:w="438" w:type="pct"/>
            <w:vAlign w:val="center"/>
          </w:tcPr>
          <w:p w:rsidR="004F34D9" w:rsidRPr="00123108" w:rsidRDefault="004F34D9">
            <w:pPr>
              <w:pStyle w:val="affffffa"/>
              <w:rPr>
                <w:rFonts w:ascii="宋体" w:hAnsi="宋体" w:cs="宋体"/>
                <w:kern w:val="0"/>
              </w:rPr>
            </w:pPr>
            <w:r w:rsidRPr="00123108">
              <w:rPr>
                <w:rFonts w:ascii="宋体" w:hAnsi="宋体" w:cs="宋体" w:hint="eastAsia"/>
                <w:kern w:val="0"/>
              </w:rPr>
              <w:t>7</w:t>
            </w:r>
          </w:p>
        </w:tc>
        <w:tc>
          <w:tcPr>
            <w:tcW w:w="2273"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kern w:val="0"/>
                <w:szCs w:val="21"/>
              </w:rPr>
              <w:t>企业应在变更投用具备验收条件时及时完成验收工作，验收包括对变更与预期效果符合性的评估。</w:t>
            </w:r>
          </w:p>
        </w:tc>
        <w:tc>
          <w:tcPr>
            <w:tcW w:w="905" w:type="pct"/>
            <w:vAlign w:val="center"/>
          </w:tcPr>
          <w:p w:rsidR="004F34D9" w:rsidRPr="00123108" w:rsidRDefault="004F34D9">
            <w:pPr>
              <w:pStyle w:val="affffffa"/>
              <w:snapToGrid w:val="0"/>
              <w:jc w:val="both"/>
              <w:rPr>
                <w:rFonts w:ascii="宋体" w:hAnsi="宋体" w:cs="宋体" w:hint="eastAsia"/>
                <w:kern w:val="0"/>
              </w:rPr>
            </w:pPr>
            <w:r w:rsidRPr="00123108">
              <w:rPr>
                <w:rFonts w:ascii="宋体" w:hAnsi="宋体" w:cs="宋体" w:hint="eastAsia"/>
                <w:kern w:val="0"/>
              </w:rPr>
              <w:t>AQ/T 3034-2022第</w:t>
            </w:r>
            <w:r w:rsidRPr="00123108">
              <w:rPr>
                <w:rFonts w:ascii="宋体" w:hAnsi="宋体" w:cs="宋体"/>
                <w:kern w:val="0"/>
              </w:rPr>
              <w:t>4.15.8.1</w:t>
            </w:r>
            <w:r w:rsidRPr="00123108">
              <w:rPr>
                <w:rFonts w:ascii="宋体" w:hAnsi="宋体" w:cs="宋体" w:hint="eastAsia"/>
                <w:kern w:val="0"/>
              </w:rPr>
              <w:t>条</w:t>
            </w:r>
          </w:p>
        </w:tc>
        <w:tc>
          <w:tcPr>
            <w:tcW w:w="456" w:type="pct"/>
            <w:vAlign w:val="center"/>
          </w:tcPr>
          <w:p w:rsidR="004F34D9" w:rsidRPr="00123108" w:rsidRDefault="004F34D9">
            <w:pPr>
              <w:pStyle w:val="affffffa"/>
              <w:snapToGrid w:val="0"/>
              <w:jc w:val="both"/>
              <w:rPr>
                <w:rFonts w:ascii="宋体" w:hAnsi="宋体" w:cs="宋体" w:hint="eastAsia"/>
                <w:kern w:val="0"/>
              </w:rPr>
            </w:pPr>
            <w:r w:rsidRPr="00123108">
              <w:rPr>
                <w:rFonts w:ascii="宋体" w:hAnsi="宋体" w:cs="宋体" w:hint="eastAsia"/>
                <w:kern w:val="0"/>
              </w:rPr>
              <w:t>符合</w:t>
            </w:r>
          </w:p>
        </w:tc>
        <w:tc>
          <w:tcPr>
            <w:tcW w:w="926" w:type="pct"/>
            <w:vAlign w:val="center"/>
          </w:tcPr>
          <w:p w:rsidR="004F34D9" w:rsidRPr="00123108" w:rsidRDefault="004F34D9">
            <w:pPr>
              <w:pStyle w:val="affffffa"/>
              <w:snapToGrid w:val="0"/>
              <w:jc w:val="both"/>
              <w:rPr>
                <w:rFonts w:ascii="宋体" w:hAnsi="宋体" w:cs="宋体" w:hint="eastAsia"/>
                <w:kern w:val="0"/>
              </w:rPr>
            </w:pPr>
            <w:r w:rsidRPr="00123108">
              <w:rPr>
                <w:rFonts w:ascii="宋体" w:hAnsi="宋体" w:cs="宋体"/>
                <w:kern w:val="0"/>
              </w:rPr>
              <w:t>验收</w:t>
            </w:r>
            <w:r w:rsidRPr="00123108">
              <w:rPr>
                <w:rFonts w:ascii="宋体" w:hAnsi="宋体" w:cs="宋体" w:hint="eastAsia"/>
                <w:kern w:val="0"/>
              </w:rPr>
              <w:t>内容包括</w:t>
            </w:r>
            <w:r w:rsidRPr="00123108">
              <w:rPr>
                <w:rFonts w:ascii="宋体" w:hAnsi="宋体" w:cs="宋体"/>
                <w:kern w:val="0"/>
              </w:rPr>
              <w:t>对变更与预期效果符合性的评估</w:t>
            </w:r>
          </w:p>
        </w:tc>
      </w:tr>
      <w:tr w:rsidR="004F34D9" w:rsidRPr="00123108">
        <w:trPr>
          <w:trHeight w:val="454"/>
          <w:jc w:val="center"/>
        </w:trPr>
        <w:tc>
          <w:tcPr>
            <w:tcW w:w="5000" w:type="pct"/>
            <w:gridSpan w:val="5"/>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五、事故应急管理</w:t>
            </w:r>
          </w:p>
        </w:tc>
      </w:tr>
      <w:tr w:rsidR="004F34D9" w:rsidRPr="00123108">
        <w:trPr>
          <w:trHeight w:val="454"/>
          <w:jc w:val="center"/>
        </w:trPr>
        <w:tc>
          <w:tcPr>
            <w:tcW w:w="438" w:type="pct"/>
            <w:vAlign w:val="center"/>
          </w:tcPr>
          <w:p w:rsidR="004F34D9" w:rsidRPr="00123108" w:rsidRDefault="004F34D9">
            <w:pPr>
              <w:pStyle w:val="affffffa"/>
              <w:rPr>
                <w:rFonts w:ascii="宋体" w:hAnsi="宋体" w:cs="宋体" w:hint="eastAsia"/>
              </w:rPr>
            </w:pPr>
            <w:r w:rsidRPr="00123108">
              <w:rPr>
                <w:rFonts w:ascii="宋体" w:hAnsi="宋体" w:cs="宋体" w:hint="eastAsia"/>
              </w:rPr>
              <w:t>1</w:t>
            </w:r>
          </w:p>
        </w:tc>
        <w:tc>
          <w:tcPr>
            <w:tcW w:w="2273"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生产经营单位应当制定本单位生产安全事故应急救援预案，与所在地县级以上地方人民政府组织制定的生产安全事故应急救援预案相衔接，并定期组织演练。</w:t>
            </w:r>
          </w:p>
        </w:tc>
        <w:tc>
          <w:tcPr>
            <w:tcW w:w="905"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安全生产法</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第78条</w:t>
            </w:r>
          </w:p>
        </w:tc>
        <w:tc>
          <w:tcPr>
            <w:tcW w:w="456"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926"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已制定应急救援预案，预案已备案并定期演练</w:t>
            </w:r>
          </w:p>
        </w:tc>
      </w:tr>
      <w:tr w:rsidR="004F34D9" w:rsidRPr="00123108">
        <w:trPr>
          <w:trHeight w:val="454"/>
          <w:jc w:val="center"/>
        </w:trPr>
        <w:tc>
          <w:tcPr>
            <w:tcW w:w="5000" w:type="pct"/>
            <w:gridSpan w:val="5"/>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六、安全投入</w:t>
            </w:r>
          </w:p>
        </w:tc>
      </w:tr>
      <w:tr w:rsidR="004F34D9" w:rsidRPr="00123108">
        <w:trPr>
          <w:trHeight w:val="454"/>
          <w:jc w:val="center"/>
        </w:trPr>
        <w:tc>
          <w:tcPr>
            <w:tcW w:w="438" w:type="pct"/>
            <w:vAlign w:val="center"/>
          </w:tcPr>
          <w:p w:rsidR="004F34D9" w:rsidRPr="00123108" w:rsidRDefault="004F34D9">
            <w:pPr>
              <w:pStyle w:val="affffffa"/>
              <w:rPr>
                <w:rFonts w:ascii="宋体" w:hAnsi="宋体" w:cs="宋体" w:hint="eastAsia"/>
              </w:rPr>
            </w:pPr>
            <w:r w:rsidRPr="00123108">
              <w:rPr>
                <w:rFonts w:ascii="宋体" w:hAnsi="宋体" w:cs="宋体" w:hint="eastAsia"/>
              </w:rPr>
              <w:t>1</w:t>
            </w:r>
          </w:p>
        </w:tc>
        <w:tc>
          <w:tcPr>
            <w:tcW w:w="2273"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kern w:val="0"/>
                <w:szCs w:val="21"/>
              </w:rPr>
              <w:t>危险品生产与储存企业以上一年度营业收入为依据，采取超额累退方式确定本年度应计提金额，并逐月平均提取。具体如下：</w:t>
            </w:r>
          </w:p>
          <w:p w:rsidR="004F34D9" w:rsidRPr="00123108" w:rsidRDefault="004F34D9">
            <w:pPr>
              <w:snapToGrid w:val="0"/>
              <w:rPr>
                <w:rFonts w:ascii="宋体" w:hAnsi="宋体" w:cs="宋体"/>
                <w:kern w:val="0"/>
                <w:szCs w:val="21"/>
              </w:rPr>
            </w:pPr>
            <w:r w:rsidRPr="00123108">
              <w:rPr>
                <w:rFonts w:ascii="宋体" w:hAnsi="宋体" w:cs="宋体"/>
                <w:kern w:val="0"/>
                <w:szCs w:val="21"/>
              </w:rPr>
              <w:t>（一）上一年度营业收入不超过1000万元的，按照4.5%提取；</w:t>
            </w:r>
          </w:p>
          <w:p w:rsidR="004F34D9" w:rsidRPr="00123108" w:rsidRDefault="004F34D9">
            <w:pPr>
              <w:snapToGrid w:val="0"/>
              <w:rPr>
                <w:rFonts w:ascii="宋体" w:hAnsi="宋体" w:cs="宋体"/>
                <w:kern w:val="0"/>
                <w:szCs w:val="21"/>
              </w:rPr>
            </w:pPr>
            <w:r w:rsidRPr="00123108">
              <w:rPr>
                <w:rFonts w:ascii="宋体" w:hAnsi="宋体" w:cs="宋体"/>
                <w:kern w:val="0"/>
                <w:szCs w:val="21"/>
              </w:rPr>
              <w:t>（二）上一年度营业收入超过1000万元至1亿元的部分，按照2.25%提取；</w:t>
            </w:r>
          </w:p>
          <w:p w:rsidR="004F34D9" w:rsidRPr="00123108" w:rsidRDefault="004F34D9">
            <w:pPr>
              <w:snapToGrid w:val="0"/>
              <w:rPr>
                <w:rFonts w:ascii="宋体" w:hAnsi="宋体" w:cs="宋体"/>
                <w:kern w:val="0"/>
                <w:szCs w:val="21"/>
              </w:rPr>
            </w:pPr>
            <w:r w:rsidRPr="00123108">
              <w:rPr>
                <w:rFonts w:ascii="宋体" w:hAnsi="宋体" w:cs="宋体"/>
                <w:kern w:val="0"/>
                <w:szCs w:val="21"/>
              </w:rPr>
              <w:t>（三）上一年度营业收入超过1亿元至10亿元的部分，按照0.55%提取；</w:t>
            </w:r>
          </w:p>
          <w:p w:rsidR="004F34D9" w:rsidRPr="00123108" w:rsidRDefault="004F34D9">
            <w:pPr>
              <w:snapToGrid w:val="0"/>
              <w:rPr>
                <w:rFonts w:ascii="宋体" w:hAnsi="宋体" w:cs="宋体" w:hint="eastAsia"/>
                <w:kern w:val="0"/>
                <w:szCs w:val="21"/>
              </w:rPr>
            </w:pPr>
            <w:r w:rsidRPr="00123108">
              <w:rPr>
                <w:rFonts w:ascii="宋体" w:hAnsi="宋体" w:cs="宋体"/>
                <w:kern w:val="0"/>
                <w:szCs w:val="21"/>
              </w:rPr>
              <w:t>（四）上一年度营业收入超过10亿元的部分，按照0.2%提取。</w:t>
            </w:r>
          </w:p>
        </w:tc>
        <w:tc>
          <w:tcPr>
            <w:tcW w:w="905"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企业安全生产费用提取和使用管理办法</w:t>
            </w:r>
          </w:p>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第二十一条</w:t>
            </w:r>
          </w:p>
        </w:tc>
        <w:tc>
          <w:tcPr>
            <w:tcW w:w="456" w:type="pct"/>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c>
          <w:tcPr>
            <w:tcW w:w="926" w:type="pct"/>
            <w:vAlign w:val="center"/>
          </w:tcPr>
          <w:p w:rsidR="004F34D9" w:rsidRPr="00123108" w:rsidRDefault="004F34D9">
            <w:pPr>
              <w:snapToGrid w:val="0"/>
              <w:rPr>
                <w:rFonts w:ascii="宋体" w:hAnsi="宋体" w:cs="宋体"/>
                <w:kern w:val="0"/>
                <w:szCs w:val="21"/>
              </w:rPr>
            </w:pPr>
            <w:r w:rsidRPr="00123108">
              <w:rPr>
                <w:rFonts w:ascii="宋体" w:hAnsi="宋体" w:cs="宋体" w:hint="eastAsia"/>
                <w:kern w:val="0"/>
                <w:szCs w:val="21"/>
              </w:rPr>
              <w:t>安全投入满足要求，具体见表2.13-11</w:t>
            </w:r>
          </w:p>
        </w:tc>
      </w:tr>
    </w:tbl>
    <w:p w:rsidR="004F34D9" w:rsidRPr="00123108" w:rsidRDefault="004F34D9">
      <w:pPr>
        <w:pStyle w:val="aff4"/>
        <w:widowControl w:val="0"/>
        <w:adjustRightInd w:val="0"/>
        <w:spacing w:before="0" w:beforeAutospacing="0" w:after="0" w:afterAutospacing="0"/>
        <w:rPr>
          <w:rFonts w:cs="宋体" w:hint="eastAsia"/>
          <w:sz w:val="28"/>
          <w:szCs w:val="28"/>
        </w:rPr>
      </w:pPr>
    </w:p>
    <w:p w:rsidR="004F34D9" w:rsidRPr="00123108" w:rsidRDefault="004F34D9">
      <w:pPr>
        <w:pStyle w:val="aff4"/>
        <w:widowControl w:val="0"/>
        <w:adjustRightInd w:val="0"/>
        <w:spacing w:before="0" w:beforeAutospacing="0" w:after="0" w:afterAutospacing="0" w:line="360" w:lineRule="auto"/>
        <w:ind w:firstLineChars="200" w:firstLine="560"/>
        <w:rPr>
          <w:rFonts w:cs="宋体" w:hint="eastAsia"/>
          <w:sz w:val="28"/>
          <w:szCs w:val="28"/>
        </w:rPr>
      </w:pPr>
      <w:r w:rsidRPr="00123108">
        <w:rPr>
          <w:rFonts w:cs="宋体" w:hint="eastAsia"/>
          <w:sz w:val="28"/>
          <w:szCs w:val="28"/>
        </w:rPr>
        <w:t>小结：新桥化工已设置了安全生产管理机构、配备了专职安全生产管</w:t>
      </w:r>
      <w:r w:rsidRPr="00123108">
        <w:rPr>
          <w:rFonts w:cs="宋体" w:hint="eastAsia"/>
          <w:sz w:val="28"/>
          <w:szCs w:val="28"/>
        </w:rPr>
        <w:lastRenderedPageBreak/>
        <w:t>理人员，制定了安全生产责任制、安全规章制度、安全生产操作规程并落实，制定了安全生产事故应急救援预案并定期开展演练，安全生产投入符合要求。</w:t>
      </w:r>
    </w:p>
    <w:p w:rsidR="004F34D9" w:rsidRPr="00123108" w:rsidRDefault="004F34D9">
      <w:pPr>
        <w:pStyle w:val="aff4"/>
        <w:widowControl w:val="0"/>
        <w:adjustRightInd w:val="0"/>
        <w:spacing w:before="0" w:beforeAutospacing="0" w:after="0" w:afterAutospacing="0" w:line="360" w:lineRule="auto"/>
        <w:ind w:firstLineChars="200" w:firstLine="560"/>
        <w:rPr>
          <w:rFonts w:cs="宋体" w:hint="eastAsia"/>
          <w:sz w:val="28"/>
          <w:szCs w:val="28"/>
        </w:rPr>
      </w:pPr>
      <w:r w:rsidRPr="00123108">
        <w:rPr>
          <w:rFonts w:cs="宋体" w:hint="eastAsia"/>
          <w:sz w:val="28"/>
          <w:szCs w:val="28"/>
        </w:rPr>
        <w:t>存在问题：个别管道涂色不规范；冷库</w:t>
      </w:r>
      <w:r w:rsidRPr="00123108">
        <w:rPr>
          <w:rFonts w:hint="eastAsia"/>
          <w:sz w:val="28"/>
          <w:szCs w:val="28"/>
        </w:rPr>
        <w:t>缺少</w:t>
      </w:r>
      <w:r w:rsidRPr="00123108">
        <w:rPr>
          <w:sz w:val="28"/>
          <w:szCs w:val="28"/>
        </w:rPr>
        <w:t>禁止震动、撞击和摩擦</w:t>
      </w:r>
      <w:r w:rsidRPr="00123108">
        <w:rPr>
          <w:rFonts w:hint="eastAsia"/>
          <w:sz w:val="28"/>
          <w:szCs w:val="28"/>
        </w:rPr>
        <w:t>安全警示标志。</w:t>
      </w:r>
    </w:p>
    <w:p w:rsidR="004F34D9" w:rsidRPr="00123108" w:rsidRDefault="004F34D9" w:rsidP="00E36E64">
      <w:pPr>
        <w:pStyle w:val="2"/>
        <w:spacing w:line="500" w:lineRule="exact"/>
        <w:jc w:val="both"/>
        <w:rPr>
          <w:rFonts w:ascii="宋体" w:eastAsia="宋体" w:cs="宋体" w:hint="eastAsia"/>
          <w:sz w:val="28"/>
          <w:szCs w:val="28"/>
        </w:rPr>
      </w:pPr>
      <w:bookmarkStart w:id="1824" w:name="_Toc31011"/>
      <w:bookmarkStart w:id="1825" w:name="_Toc1354"/>
      <w:bookmarkStart w:id="1826" w:name="_Toc11430"/>
      <w:bookmarkStart w:id="1827" w:name="_Toc22849"/>
      <w:bookmarkStart w:id="1828" w:name="_Toc6043"/>
      <w:bookmarkStart w:id="1829" w:name="_Toc11047"/>
      <w:bookmarkStart w:id="1830" w:name="_Toc190935918"/>
      <w:r w:rsidRPr="00123108">
        <w:rPr>
          <w:rFonts w:ascii="宋体" w:eastAsia="宋体" w:cs="宋体" w:hint="eastAsia"/>
          <w:sz w:val="28"/>
          <w:szCs w:val="28"/>
        </w:rPr>
        <w:t>附件2.12 生产单位特殊作业安全评价</w:t>
      </w:r>
      <w:bookmarkEnd w:id="1824"/>
      <w:bookmarkEnd w:id="1825"/>
      <w:bookmarkEnd w:id="1826"/>
      <w:bookmarkEnd w:id="1827"/>
      <w:bookmarkEnd w:id="1828"/>
      <w:bookmarkEnd w:id="1829"/>
      <w:bookmarkEnd w:id="1830"/>
    </w:p>
    <w:p w:rsidR="004F34D9" w:rsidRPr="00123108" w:rsidRDefault="004F34D9">
      <w:pPr>
        <w:adjustRightInd w:val="0"/>
        <w:snapToGrid w:val="0"/>
        <w:spacing w:line="360" w:lineRule="auto"/>
        <w:ind w:firstLineChars="200" w:firstLine="560"/>
        <w:rPr>
          <w:rFonts w:ascii="宋体" w:hAnsi="宋体" w:cs="宋体" w:hint="eastAsia"/>
          <w:sz w:val="28"/>
          <w:szCs w:val="28"/>
        </w:rPr>
      </w:pPr>
      <w:r w:rsidRPr="00123108">
        <w:rPr>
          <w:rFonts w:ascii="宋体" w:hAnsi="宋体" w:cs="宋体" w:hint="eastAsia"/>
          <w:sz w:val="28"/>
          <w:szCs w:val="28"/>
        </w:rPr>
        <w:t>依据</w:t>
      </w:r>
      <w:r w:rsidRPr="00123108">
        <w:rPr>
          <w:rFonts w:ascii="宋体" w:hint="eastAsia"/>
          <w:sz w:val="28"/>
          <w:szCs w:val="28"/>
        </w:rPr>
        <w:t>《中华人民共和国安全生产法》</w:t>
      </w:r>
      <w:r w:rsidRPr="00123108">
        <w:rPr>
          <w:rFonts w:ascii="宋体" w:hAnsi="宋体" w:cs="宋体" w:hint="eastAsia"/>
          <w:sz w:val="28"/>
          <w:szCs w:val="28"/>
        </w:rPr>
        <w:t>、</w:t>
      </w:r>
      <w:r w:rsidRPr="00123108">
        <w:rPr>
          <w:rFonts w:ascii="宋体" w:hAnsi="宋体" w:cs="宋体" w:hint="eastAsia"/>
          <w:sz w:val="28"/>
        </w:rPr>
        <w:t>《危险化学品企业特殊作业安全规范》GB 30871-2022</w:t>
      </w:r>
      <w:r w:rsidRPr="00123108">
        <w:rPr>
          <w:rFonts w:ascii="宋体" w:hAnsi="宋体" w:cs="宋体" w:hint="eastAsia"/>
          <w:sz w:val="28"/>
          <w:szCs w:val="28"/>
        </w:rPr>
        <w:t>等法律法规、标准规范对企业特殊作业管理程序及执行情况进行评价，见附表2.12-1。</w:t>
      </w:r>
    </w:p>
    <w:p w:rsidR="004F34D9" w:rsidRPr="00123108" w:rsidRDefault="004F34D9">
      <w:pPr>
        <w:adjustRightInd w:val="0"/>
        <w:snapToGrid w:val="0"/>
        <w:spacing w:line="360" w:lineRule="auto"/>
        <w:jc w:val="center"/>
        <w:rPr>
          <w:rFonts w:ascii="宋体" w:hAnsi="宋体" w:cs="宋体" w:hint="eastAsia"/>
          <w:b/>
          <w:sz w:val="28"/>
          <w:szCs w:val="28"/>
        </w:rPr>
      </w:pPr>
      <w:r w:rsidRPr="00123108">
        <w:rPr>
          <w:rFonts w:ascii="宋体" w:hAnsi="宋体" w:cs="宋体" w:hint="eastAsia"/>
          <w:b/>
          <w:sz w:val="28"/>
          <w:szCs w:val="28"/>
        </w:rPr>
        <w:t>附表2.12-1  化学品生产单位特殊作业安全检查表</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1"/>
        <w:gridCol w:w="1635"/>
        <w:gridCol w:w="3524"/>
        <w:gridCol w:w="2621"/>
        <w:gridCol w:w="774"/>
      </w:tblGrid>
      <w:tr w:rsidR="004F34D9" w:rsidRPr="00123108">
        <w:trPr>
          <w:trHeight w:val="90"/>
          <w:tblHeader/>
        </w:trPr>
        <w:tc>
          <w:tcPr>
            <w:tcW w:w="62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序号</w:t>
            </w:r>
          </w:p>
        </w:tc>
        <w:tc>
          <w:tcPr>
            <w:tcW w:w="1679"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项目</w:t>
            </w:r>
          </w:p>
        </w:tc>
        <w:tc>
          <w:tcPr>
            <w:tcW w:w="361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检查内容</w:t>
            </w:r>
          </w:p>
        </w:tc>
        <w:tc>
          <w:tcPr>
            <w:tcW w:w="2693"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检查情况描述</w:t>
            </w:r>
          </w:p>
        </w:tc>
        <w:tc>
          <w:tcPr>
            <w:tcW w:w="78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检查结论</w:t>
            </w:r>
          </w:p>
        </w:tc>
      </w:tr>
      <w:tr w:rsidR="004F34D9" w:rsidRPr="00123108">
        <w:trPr>
          <w:trHeight w:val="816"/>
        </w:trPr>
        <w:tc>
          <w:tcPr>
            <w:tcW w:w="62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1</w:t>
            </w:r>
          </w:p>
        </w:tc>
        <w:tc>
          <w:tcPr>
            <w:tcW w:w="1679"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特殊作业管理制度</w:t>
            </w:r>
          </w:p>
        </w:tc>
        <w:tc>
          <w:tcPr>
            <w:tcW w:w="361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参照《危险化学品企业特殊作业安全规范》，检查特殊作业管理制度</w:t>
            </w:r>
          </w:p>
        </w:tc>
        <w:tc>
          <w:tcPr>
            <w:tcW w:w="2693"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已制定动火、受限空间等管理制度，明确了动火、受限空间、高处作业、起重作业、动土作业、断路作业、临时用电、盲板抽堵作业等作业程序及要求，制定了动火、受限空间等作业安全许可作业票</w:t>
            </w:r>
          </w:p>
        </w:tc>
        <w:tc>
          <w:tcPr>
            <w:tcW w:w="78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1134"/>
        </w:trPr>
        <w:tc>
          <w:tcPr>
            <w:tcW w:w="62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2</w:t>
            </w:r>
          </w:p>
        </w:tc>
        <w:tc>
          <w:tcPr>
            <w:tcW w:w="1679"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特殊作业培训</w:t>
            </w:r>
          </w:p>
        </w:tc>
        <w:tc>
          <w:tcPr>
            <w:tcW w:w="361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是否对主要负责人、安全管理人员、专业技术人员和岗位员工进行特殊作业培训（掌握所审批或所从事的特殊作业相关知识）</w:t>
            </w:r>
          </w:p>
        </w:tc>
        <w:tc>
          <w:tcPr>
            <w:tcW w:w="2693"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主要负责人、安全管理人员、专业技术人员和岗位员工已进行相关培训</w:t>
            </w:r>
          </w:p>
        </w:tc>
        <w:tc>
          <w:tcPr>
            <w:tcW w:w="78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899"/>
        </w:trPr>
        <w:tc>
          <w:tcPr>
            <w:tcW w:w="62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3</w:t>
            </w:r>
          </w:p>
        </w:tc>
        <w:tc>
          <w:tcPr>
            <w:tcW w:w="1679"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特殊作业有效证件</w:t>
            </w:r>
          </w:p>
        </w:tc>
        <w:tc>
          <w:tcPr>
            <w:tcW w:w="361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电工、焊接与热切割等作业人员证书</w:t>
            </w:r>
          </w:p>
        </w:tc>
        <w:tc>
          <w:tcPr>
            <w:tcW w:w="2693"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电工、焊工均按要求取证，对外来施工单位作业人员对作业证进行备份</w:t>
            </w:r>
          </w:p>
        </w:tc>
        <w:tc>
          <w:tcPr>
            <w:tcW w:w="78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1324"/>
        </w:trPr>
        <w:tc>
          <w:tcPr>
            <w:tcW w:w="62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4</w:t>
            </w:r>
          </w:p>
        </w:tc>
        <w:tc>
          <w:tcPr>
            <w:tcW w:w="1679"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安全设备设施</w:t>
            </w:r>
          </w:p>
        </w:tc>
        <w:tc>
          <w:tcPr>
            <w:tcW w:w="361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可燃、有毒气体检测报警仪（参照GB/T 50493-2019）；氧含量分析仪器（参照AQ 3028-2008）；消防器材、照明器材、应急救援器材是否符合相关法规规范要求</w:t>
            </w:r>
          </w:p>
        </w:tc>
        <w:tc>
          <w:tcPr>
            <w:tcW w:w="2693"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已配备便携式可燃气体检测报警仪、二合一、四合一便携式报警仪包含氧含量分析仪，已配备各类消防器材、应急救援器材</w:t>
            </w:r>
          </w:p>
        </w:tc>
        <w:tc>
          <w:tcPr>
            <w:tcW w:w="78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38"/>
        </w:trPr>
        <w:tc>
          <w:tcPr>
            <w:tcW w:w="62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5</w:t>
            </w:r>
          </w:p>
        </w:tc>
        <w:tc>
          <w:tcPr>
            <w:tcW w:w="1679"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空气呼吸器等个人防护用品</w:t>
            </w:r>
          </w:p>
        </w:tc>
        <w:tc>
          <w:tcPr>
            <w:tcW w:w="361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《呼吸防护用品的选择、使用与维护》GB/T 18664-2002</w:t>
            </w:r>
          </w:p>
        </w:tc>
        <w:tc>
          <w:tcPr>
            <w:tcW w:w="2693"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已配备空气呼吸器</w:t>
            </w:r>
          </w:p>
        </w:tc>
        <w:tc>
          <w:tcPr>
            <w:tcW w:w="78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22"/>
        </w:trPr>
        <w:tc>
          <w:tcPr>
            <w:tcW w:w="62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6</w:t>
            </w:r>
          </w:p>
        </w:tc>
        <w:tc>
          <w:tcPr>
            <w:tcW w:w="1679"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作业前准备工作</w:t>
            </w:r>
          </w:p>
        </w:tc>
        <w:tc>
          <w:tcPr>
            <w:tcW w:w="361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风险辨识；制定、落实并按规定确认防范措施</w:t>
            </w:r>
          </w:p>
        </w:tc>
        <w:tc>
          <w:tcPr>
            <w:tcW w:w="2693"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根据作业票，有风险辨识及所采取防范措施选项</w:t>
            </w:r>
          </w:p>
        </w:tc>
        <w:tc>
          <w:tcPr>
            <w:tcW w:w="78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984"/>
        </w:trPr>
        <w:tc>
          <w:tcPr>
            <w:tcW w:w="62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7</w:t>
            </w:r>
          </w:p>
        </w:tc>
        <w:tc>
          <w:tcPr>
            <w:tcW w:w="1679"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作业前气体分析</w:t>
            </w:r>
          </w:p>
        </w:tc>
        <w:tc>
          <w:tcPr>
            <w:tcW w:w="361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动火作业前，可燃气体分析；进入受限空间前，可燃、有毒气体和氧含量分析</w:t>
            </w:r>
          </w:p>
        </w:tc>
        <w:tc>
          <w:tcPr>
            <w:tcW w:w="2693"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根据作业票及管理制度，动火作业有进行可燃气体分析要求，受限空间有可燃、有毒气体和氧含量分</w:t>
            </w:r>
            <w:r w:rsidRPr="00123108">
              <w:rPr>
                <w:rFonts w:ascii="宋体" w:hAnsi="宋体" w:cs="宋体" w:hint="eastAsia"/>
                <w:kern w:val="0"/>
                <w:szCs w:val="21"/>
              </w:rPr>
              <w:lastRenderedPageBreak/>
              <w:t>析要求</w:t>
            </w:r>
          </w:p>
        </w:tc>
        <w:tc>
          <w:tcPr>
            <w:tcW w:w="78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lastRenderedPageBreak/>
              <w:t>符合</w:t>
            </w:r>
          </w:p>
        </w:tc>
      </w:tr>
      <w:tr w:rsidR="004F34D9" w:rsidRPr="00123108">
        <w:trPr>
          <w:trHeight w:val="1134"/>
        </w:trPr>
        <w:tc>
          <w:tcPr>
            <w:tcW w:w="62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8</w:t>
            </w:r>
          </w:p>
        </w:tc>
        <w:tc>
          <w:tcPr>
            <w:tcW w:w="1679"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审批手续</w:t>
            </w:r>
          </w:p>
        </w:tc>
        <w:tc>
          <w:tcPr>
            <w:tcW w:w="361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一个作业点、一个作业周期内一作业内容一张《安全作业证》；表格内容无涂改；监护人、审核人等相关人员签名确认</w:t>
            </w:r>
          </w:p>
        </w:tc>
        <w:tc>
          <w:tcPr>
            <w:tcW w:w="2693"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管理制度对作业证有效期有明确规定，监护人、审核人有签名</w:t>
            </w:r>
          </w:p>
        </w:tc>
        <w:tc>
          <w:tcPr>
            <w:tcW w:w="78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90"/>
        </w:trPr>
        <w:tc>
          <w:tcPr>
            <w:tcW w:w="62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9</w:t>
            </w:r>
          </w:p>
        </w:tc>
        <w:tc>
          <w:tcPr>
            <w:tcW w:w="1679"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安全交底</w:t>
            </w:r>
          </w:p>
        </w:tc>
        <w:tc>
          <w:tcPr>
            <w:tcW w:w="361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操作规程；作业风险；注意事项</w:t>
            </w:r>
          </w:p>
        </w:tc>
        <w:tc>
          <w:tcPr>
            <w:tcW w:w="2693"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作业有安全交底，制定操作规程，并对可能存在风险进行辨识并采取安全措施、个体防护用具使用、事故预防、事故案例等内容</w:t>
            </w:r>
          </w:p>
        </w:tc>
        <w:tc>
          <w:tcPr>
            <w:tcW w:w="78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321"/>
        </w:trPr>
        <w:tc>
          <w:tcPr>
            <w:tcW w:w="62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10</w:t>
            </w:r>
          </w:p>
        </w:tc>
        <w:tc>
          <w:tcPr>
            <w:tcW w:w="1679"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全过程监护</w:t>
            </w:r>
          </w:p>
        </w:tc>
        <w:tc>
          <w:tcPr>
            <w:tcW w:w="361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动火、进入受限空间、盲板抽堵、高处作业等</w:t>
            </w:r>
          </w:p>
        </w:tc>
        <w:tc>
          <w:tcPr>
            <w:tcW w:w="2693"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制度规定动火、进入受限空间等作业均要求进行监护</w:t>
            </w:r>
          </w:p>
        </w:tc>
        <w:tc>
          <w:tcPr>
            <w:tcW w:w="78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852"/>
        </w:trPr>
        <w:tc>
          <w:tcPr>
            <w:tcW w:w="62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11</w:t>
            </w:r>
          </w:p>
        </w:tc>
        <w:tc>
          <w:tcPr>
            <w:tcW w:w="1679"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作业后恢复</w:t>
            </w:r>
          </w:p>
        </w:tc>
        <w:tc>
          <w:tcPr>
            <w:tcW w:w="361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作业完毕应恢复安全设施的安全使用功能；将作业工具撤离现场；清理现场</w:t>
            </w:r>
          </w:p>
        </w:tc>
        <w:tc>
          <w:tcPr>
            <w:tcW w:w="2693"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抽查作业票，作业结束后，有相应验收程序，要求相关人员进行验收确认</w:t>
            </w:r>
          </w:p>
        </w:tc>
        <w:tc>
          <w:tcPr>
            <w:tcW w:w="78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r>
      <w:tr w:rsidR="004F34D9" w:rsidRPr="00123108">
        <w:trPr>
          <w:trHeight w:val="477"/>
        </w:trPr>
        <w:tc>
          <w:tcPr>
            <w:tcW w:w="62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12</w:t>
            </w:r>
          </w:p>
        </w:tc>
        <w:tc>
          <w:tcPr>
            <w:tcW w:w="1679"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特殊作业升级</w:t>
            </w:r>
          </w:p>
        </w:tc>
        <w:tc>
          <w:tcPr>
            <w:tcW w:w="3614"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重点检查节日、假日，动火作业升级管理AQ 3022-2008</w:t>
            </w:r>
          </w:p>
        </w:tc>
        <w:tc>
          <w:tcPr>
            <w:tcW w:w="2693"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管理制度明确，节假日，动火作业、登高作业升级管控</w:t>
            </w:r>
          </w:p>
        </w:tc>
        <w:tc>
          <w:tcPr>
            <w:tcW w:w="787" w:type="dxa"/>
            <w:tcBorders>
              <w:top w:val="single" w:sz="4" w:space="0" w:color="000000"/>
              <w:left w:val="single" w:sz="4" w:space="0" w:color="000000"/>
              <w:bottom w:val="single" w:sz="4" w:space="0" w:color="000000"/>
              <w:right w:val="single" w:sz="4" w:space="0" w:color="000000"/>
            </w:tcBorders>
            <w:vAlign w:val="center"/>
          </w:tcPr>
          <w:p w:rsidR="004F34D9" w:rsidRPr="00123108" w:rsidRDefault="004F34D9">
            <w:pPr>
              <w:snapToGrid w:val="0"/>
              <w:rPr>
                <w:rFonts w:ascii="宋体" w:hAnsi="宋体" w:cs="宋体" w:hint="eastAsia"/>
                <w:kern w:val="0"/>
                <w:szCs w:val="21"/>
              </w:rPr>
            </w:pPr>
            <w:r w:rsidRPr="00123108">
              <w:rPr>
                <w:rFonts w:ascii="宋体" w:hAnsi="宋体" w:cs="宋体" w:hint="eastAsia"/>
                <w:kern w:val="0"/>
                <w:szCs w:val="21"/>
              </w:rPr>
              <w:t>符合</w:t>
            </w:r>
          </w:p>
        </w:tc>
      </w:tr>
    </w:tbl>
    <w:p w:rsidR="004F34D9" w:rsidRPr="00123108" w:rsidRDefault="004F34D9">
      <w:pPr>
        <w:adjustRightInd w:val="0"/>
        <w:snapToGrid w:val="0"/>
        <w:spacing w:line="360" w:lineRule="auto"/>
        <w:ind w:firstLineChars="200" w:firstLine="560"/>
        <w:rPr>
          <w:rFonts w:ascii="宋体" w:hAnsi="宋体" w:cs="宋体" w:hint="eastAsia"/>
          <w:sz w:val="28"/>
          <w:szCs w:val="28"/>
        </w:rPr>
      </w:pPr>
      <w:r w:rsidRPr="00123108">
        <w:rPr>
          <w:rFonts w:ascii="宋体" w:hAnsi="宋体" w:cs="宋体" w:hint="eastAsia"/>
          <w:sz w:val="28"/>
          <w:szCs w:val="28"/>
        </w:rPr>
        <w:t>小结：</w:t>
      </w:r>
    </w:p>
    <w:p w:rsidR="004F34D9" w:rsidRPr="00123108" w:rsidRDefault="004F34D9">
      <w:pPr>
        <w:numPr>
          <w:ilvl w:val="0"/>
          <w:numId w:val="67"/>
        </w:numPr>
        <w:tabs>
          <w:tab w:val="left" w:pos="1155"/>
        </w:tabs>
        <w:adjustRightInd w:val="0"/>
        <w:snapToGrid w:val="0"/>
        <w:spacing w:line="500" w:lineRule="exact"/>
        <w:ind w:left="0" w:firstLineChars="200" w:firstLine="560"/>
        <w:rPr>
          <w:rFonts w:ascii="宋体" w:hAnsi="宋体" w:cs="宋体" w:hint="eastAsia"/>
          <w:sz w:val="28"/>
          <w:szCs w:val="28"/>
        </w:rPr>
      </w:pPr>
      <w:r w:rsidRPr="00123108">
        <w:rPr>
          <w:rFonts w:ascii="宋体" w:hAnsi="宋体" w:cs="宋体" w:hint="eastAsia"/>
          <w:sz w:val="28"/>
          <w:szCs w:val="28"/>
        </w:rPr>
        <w:t xml:space="preserve">新桥化工已制定动火、受限空间等管理制度，明确了普通检修、动火、受限空间、高处作业、起重作业、动土作业、断路作业、临时用电、盲板抽堵作业等作业程序及要求，制定了动火、受限空间等作业安全许可作业票；企业主要负责人、安全管理人员、专业技术人员和岗位员工已进行相关培训。电工、焊工均按要求取证，对外来施工单位作业人员对作业证进行备份； </w:t>
      </w:r>
    </w:p>
    <w:p w:rsidR="004F34D9" w:rsidRPr="00123108" w:rsidRDefault="004F34D9">
      <w:pPr>
        <w:numPr>
          <w:ilvl w:val="0"/>
          <w:numId w:val="67"/>
        </w:numPr>
        <w:tabs>
          <w:tab w:val="left" w:pos="1155"/>
        </w:tabs>
        <w:adjustRightInd w:val="0"/>
        <w:snapToGrid w:val="0"/>
        <w:spacing w:line="500" w:lineRule="exact"/>
        <w:ind w:left="0" w:firstLineChars="200" w:firstLine="560"/>
        <w:rPr>
          <w:rFonts w:ascii="宋体" w:hAnsi="宋体" w:cs="宋体" w:hint="eastAsia"/>
          <w:sz w:val="28"/>
          <w:szCs w:val="28"/>
        </w:rPr>
      </w:pPr>
      <w:r w:rsidRPr="00123108">
        <w:rPr>
          <w:rFonts w:ascii="宋体" w:hAnsi="宋体" w:cs="宋体" w:hint="eastAsia"/>
          <w:sz w:val="28"/>
          <w:szCs w:val="28"/>
        </w:rPr>
        <w:t>已配备便携式，四合一检测报警仪、空气呼吸器及相关消防器材、应急救援器材；</w:t>
      </w:r>
    </w:p>
    <w:p w:rsidR="004F34D9" w:rsidRPr="00123108" w:rsidRDefault="004F34D9">
      <w:pPr>
        <w:numPr>
          <w:ilvl w:val="0"/>
          <w:numId w:val="67"/>
        </w:numPr>
        <w:tabs>
          <w:tab w:val="left" w:pos="1155"/>
        </w:tabs>
        <w:adjustRightInd w:val="0"/>
        <w:snapToGrid w:val="0"/>
        <w:spacing w:line="500" w:lineRule="exact"/>
        <w:ind w:left="0" w:firstLineChars="200" w:firstLine="560"/>
        <w:rPr>
          <w:rFonts w:ascii="宋体" w:hAnsi="宋体" w:cs="宋体" w:hint="eastAsia"/>
          <w:sz w:val="28"/>
          <w:szCs w:val="28"/>
        </w:rPr>
      </w:pPr>
      <w:r w:rsidRPr="00123108">
        <w:rPr>
          <w:rFonts w:ascii="宋体" w:hAnsi="宋体" w:cs="宋体" w:hint="eastAsia"/>
          <w:sz w:val="28"/>
          <w:szCs w:val="28"/>
        </w:rPr>
        <w:t>根据作业票及管理制度，作业前有风险辨识及所采取防范措施选项，动火作业有进行可燃气体分析要求，受限空间有可燃、有毒气体和氧含量分析要求。管理制度对作业证有效期有明确规定，监护人、审核人有签名。</w:t>
      </w:r>
    </w:p>
    <w:p w:rsidR="004F34D9" w:rsidRPr="00123108" w:rsidRDefault="004F34D9">
      <w:pPr>
        <w:numPr>
          <w:ilvl w:val="0"/>
          <w:numId w:val="67"/>
        </w:numPr>
        <w:tabs>
          <w:tab w:val="left" w:pos="1155"/>
        </w:tabs>
        <w:adjustRightInd w:val="0"/>
        <w:snapToGrid w:val="0"/>
        <w:spacing w:line="500" w:lineRule="exact"/>
        <w:ind w:left="0" w:firstLineChars="200" w:firstLine="560"/>
        <w:rPr>
          <w:rFonts w:ascii="宋体" w:hAnsi="宋体" w:cs="宋体" w:hint="eastAsia"/>
          <w:sz w:val="28"/>
          <w:szCs w:val="28"/>
        </w:rPr>
      </w:pPr>
      <w:r w:rsidRPr="00123108">
        <w:rPr>
          <w:rFonts w:ascii="宋体" w:hAnsi="宋体" w:cs="宋体" w:hint="eastAsia"/>
          <w:sz w:val="28"/>
          <w:szCs w:val="28"/>
        </w:rPr>
        <w:t>管理制度明确作业前需对作业人员进行培训，包括规章制度、可能存在风险及需采取安全措施、个体防护用具使用、事故预防、事故案例等内</w:t>
      </w:r>
      <w:r w:rsidRPr="00123108">
        <w:rPr>
          <w:rFonts w:ascii="宋体" w:hAnsi="宋体" w:cs="宋体" w:hint="eastAsia"/>
          <w:sz w:val="28"/>
          <w:szCs w:val="28"/>
        </w:rPr>
        <w:lastRenderedPageBreak/>
        <w:t>容。</w:t>
      </w:r>
    </w:p>
    <w:p w:rsidR="004F34D9" w:rsidRPr="00123108" w:rsidRDefault="004F34D9">
      <w:pPr>
        <w:numPr>
          <w:ilvl w:val="0"/>
          <w:numId w:val="67"/>
        </w:numPr>
        <w:tabs>
          <w:tab w:val="left" w:pos="1155"/>
        </w:tabs>
        <w:spacing w:line="500" w:lineRule="exact"/>
        <w:ind w:left="0" w:firstLineChars="200" w:firstLine="560"/>
        <w:rPr>
          <w:rFonts w:ascii="宋体" w:hAnsi="宋体" w:cs="宋体" w:hint="eastAsia"/>
          <w:sz w:val="28"/>
          <w:szCs w:val="28"/>
        </w:rPr>
      </w:pPr>
      <w:r w:rsidRPr="00123108">
        <w:rPr>
          <w:rFonts w:ascii="宋体" w:hAnsi="宋体" w:cs="宋体" w:hint="eastAsia"/>
          <w:sz w:val="28"/>
          <w:szCs w:val="28"/>
        </w:rPr>
        <w:t>管理制度规定动火、进入受限空间等作业均要求进行监护，作业结束后，有相应验收程序，要求相关人员进行验收确认。管理制度明确，节假日，动火作业进行升级。</w:t>
      </w:r>
    </w:p>
    <w:p w:rsidR="004F34D9" w:rsidRPr="00123108" w:rsidRDefault="004F34D9">
      <w:pPr>
        <w:snapToGrid w:val="0"/>
        <w:spacing w:line="500" w:lineRule="exact"/>
        <w:outlineLvl w:val="1"/>
        <w:rPr>
          <w:rFonts w:ascii="宋体" w:hAnsi="宋体" w:cs="宋体" w:hint="eastAsia"/>
          <w:b/>
          <w:bCs/>
          <w:sz w:val="28"/>
          <w:szCs w:val="28"/>
        </w:rPr>
      </w:pPr>
      <w:bookmarkStart w:id="1831" w:name="_Toc4690"/>
      <w:bookmarkStart w:id="1832" w:name="_Toc31714"/>
      <w:bookmarkStart w:id="1833" w:name="_Toc9762"/>
      <w:bookmarkStart w:id="1834" w:name="_Toc15702"/>
      <w:bookmarkStart w:id="1835" w:name="_Toc15343"/>
      <w:bookmarkStart w:id="1836" w:name="_Toc16513"/>
      <w:bookmarkStart w:id="1837" w:name="_Toc190935919"/>
      <w:r w:rsidRPr="00123108">
        <w:rPr>
          <w:rFonts w:ascii="宋体" w:hAnsi="宋体" w:cs="宋体" w:hint="eastAsia"/>
          <w:b/>
          <w:bCs/>
          <w:sz w:val="28"/>
          <w:szCs w:val="28"/>
        </w:rPr>
        <w:t>附件2.13 安全生产许可证取证情况符合性检查</w:t>
      </w:r>
      <w:bookmarkEnd w:id="1831"/>
      <w:bookmarkEnd w:id="1832"/>
      <w:bookmarkEnd w:id="1833"/>
      <w:bookmarkEnd w:id="1834"/>
      <w:bookmarkEnd w:id="1835"/>
      <w:bookmarkEnd w:id="1836"/>
      <w:bookmarkEnd w:id="1837"/>
    </w:p>
    <w:p w:rsidR="004F34D9" w:rsidRPr="00123108" w:rsidRDefault="004F34D9">
      <w:pPr>
        <w:pStyle w:val="aff4"/>
        <w:widowControl w:val="0"/>
        <w:adjustRightInd w:val="0"/>
        <w:spacing w:before="0" w:beforeAutospacing="0" w:after="0" w:afterAutospacing="0" w:line="500" w:lineRule="exact"/>
        <w:ind w:firstLineChars="200" w:firstLine="560"/>
        <w:rPr>
          <w:rFonts w:cs="宋体" w:hint="eastAsia"/>
          <w:b/>
          <w:kern w:val="2"/>
          <w:sz w:val="28"/>
          <w:szCs w:val="28"/>
          <w:lang w:val="en-US" w:eastAsia="zh-CN"/>
        </w:rPr>
      </w:pPr>
      <w:r w:rsidRPr="00123108">
        <w:rPr>
          <w:rFonts w:cs="宋体" w:hint="eastAsia"/>
          <w:sz w:val="28"/>
          <w:szCs w:val="28"/>
        </w:rPr>
        <w:t>依据</w:t>
      </w:r>
      <w:r w:rsidRPr="00123108">
        <w:rPr>
          <w:rFonts w:hAnsi="Times New Roman" w:hint="eastAsia"/>
          <w:sz w:val="28"/>
          <w:szCs w:val="28"/>
        </w:rPr>
        <w:t>《危险化学品生产企业安全生产许可证实施办法》</w:t>
      </w:r>
      <w:r w:rsidRPr="00123108">
        <w:rPr>
          <w:rFonts w:cs="宋体" w:hint="eastAsia"/>
          <w:sz w:val="28"/>
          <w:szCs w:val="28"/>
        </w:rPr>
        <w:t>，对新桥化工安全生产许可证换证条件符合性进行检查，见附表2.13-</w:t>
      </w:r>
      <w:r w:rsidRPr="00123108">
        <w:rPr>
          <w:rFonts w:cs="宋体" w:hint="eastAsia"/>
          <w:b/>
          <w:kern w:val="2"/>
          <w:sz w:val="28"/>
          <w:szCs w:val="28"/>
          <w:lang w:val="en-US" w:eastAsia="zh-CN"/>
        </w:rPr>
        <w:t>1。</w:t>
      </w:r>
    </w:p>
    <w:p w:rsidR="004F34D9" w:rsidRPr="00123108" w:rsidRDefault="004F34D9">
      <w:pPr>
        <w:pStyle w:val="aff4"/>
        <w:widowControl w:val="0"/>
        <w:adjustRightInd w:val="0"/>
        <w:spacing w:before="0" w:beforeAutospacing="0" w:after="0" w:afterAutospacing="0" w:line="500" w:lineRule="exact"/>
        <w:jc w:val="center"/>
        <w:rPr>
          <w:rFonts w:cs="宋体" w:hint="eastAsia"/>
          <w:b/>
          <w:bCs/>
          <w:sz w:val="28"/>
          <w:szCs w:val="28"/>
        </w:rPr>
      </w:pPr>
      <w:r w:rsidRPr="00123108">
        <w:rPr>
          <w:rFonts w:cs="宋体" w:hint="eastAsia"/>
          <w:b/>
          <w:bCs/>
          <w:sz w:val="28"/>
          <w:szCs w:val="28"/>
        </w:rPr>
        <w:t>附表2.13-1安全生产许可证换证条件符合性检查表</w:t>
      </w:r>
    </w:p>
    <w:tbl>
      <w:tblPr>
        <w:tblW w:w="918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8"/>
        <w:gridCol w:w="4688"/>
        <w:gridCol w:w="2974"/>
        <w:gridCol w:w="681"/>
      </w:tblGrid>
      <w:tr w:rsidR="004F34D9" w:rsidRPr="00123108">
        <w:trPr>
          <w:trHeight w:val="340"/>
          <w:tblHeader/>
          <w:jc w:val="center"/>
        </w:trPr>
        <w:tc>
          <w:tcPr>
            <w:tcW w:w="838" w:type="dxa"/>
            <w:vAlign w:val="center"/>
          </w:tcPr>
          <w:p w:rsidR="004F34D9" w:rsidRPr="00123108" w:rsidRDefault="004F34D9">
            <w:pPr>
              <w:spacing w:line="300" w:lineRule="exact"/>
              <w:jc w:val="center"/>
              <w:rPr>
                <w:rFonts w:ascii="宋体" w:hAnsi="宋体" w:cs="宋体" w:hint="eastAsia"/>
                <w:b/>
              </w:rPr>
            </w:pPr>
            <w:r w:rsidRPr="00123108">
              <w:rPr>
                <w:rFonts w:ascii="宋体" w:hAnsi="宋体" w:cs="宋体" w:hint="eastAsia"/>
                <w:b/>
              </w:rPr>
              <w:t>序号</w:t>
            </w:r>
          </w:p>
        </w:tc>
        <w:tc>
          <w:tcPr>
            <w:tcW w:w="4688" w:type="dxa"/>
            <w:vAlign w:val="center"/>
          </w:tcPr>
          <w:p w:rsidR="004F34D9" w:rsidRPr="00123108" w:rsidRDefault="004F34D9">
            <w:pPr>
              <w:spacing w:line="300" w:lineRule="exact"/>
              <w:jc w:val="center"/>
              <w:rPr>
                <w:rFonts w:ascii="宋体" w:hAnsi="宋体" w:cs="宋体" w:hint="eastAsia"/>
                <w:b/>
              </w:rPr>
            </w:pPr>
            <w:r w:rsidRPr="00123108">
              <w:rPr>
                <w:rFonts w:ascii="宋体" w:hAnsi="宋体" w:cs="宋体" w:hint="eastAsia"/>
                <w:b/>
              </w:rPr>
              <w:t>检查项目及内容</w:t>
            </w:r>
          </w:p>
        </w:tc>
        <w:tc>
          <w:tcPr>
            <w:tcW w:w="2974" w:type="dxa"/>
            <w:vAlign w:val="center"/>
          </w:tcPr>
          <w:p w:rsidR="004F34D9" w:rsidRPr="00123108" w:rsidRDefault="004F34D9">
            <w:pPr>
              <w:spacing w:line="300" w:lineRule="exact"/>
              <w:jc w:val="center"/>
              <w:rPr>
                <w:rFonts w:ascii="宋体" w:hAnsi="宋体" w:cs="宋体" w:hint="eastAsia"/>
                <w:b/>
              </w:rPr>
            </w:pPr>
            <w:r w:rsidRPr="00123108">
              <w:rPr>
                <w:rFonts w:ascii="宋体" w:hAnsi="宋体" w:cs="宋体" w:hint="eastAsia"/>
                <w:b/>
              </w:rPr>
              <w:t>实际情况说明</w:t>
            </w:r>
          </w:p>
        </w:tc>
        <w:tc>
          <w:tcPr>
            <w:tcW w:w="681" w:type="dxa"/>
            <w:vAlign w:val="center"/>
          </w:tcPr>
          <w:p w:rsidR="004F34D9" w:rsidRPr="00123108" w:rsidRDefault="004F34D9">
            <w:pPr>
              <w:spacing w:line="300" w:lineRule="exact"/>
              <w:jc w:val="center"/>
              <w:rPr>
                <w:rFonts w:ascii="宋体" w:hAnsi="宋体" w:cs="宋体" w:hint="eastAsia"/>
                <w:b/>
              </w:rPr>
            </w:pPr>
            <w:r w:rsidRPr="00123108">
              <w:rPr>
                <w:rFonts w:ascii="宋体" w:hAnsi="宋体" w:cs="宋体" w:hint="eastAsia"/>
                <w:b/>
              </w:rPr>
              <w:t>检查</w:t>
            </w:r>
          </w:p>
          <w:p w:rsidR="004F34D9" w:rsidRPr="00123108" w:rsidRDefault="004F34D9">
            <w:pPr>
              <w:spacing w:line="300" w:lineRule="exact"/>
              <w:jc w:val="center"/>
              <w:rPr>
                <w:rFonts w:ascii="宋体" w:hAnsi="宋体" w:cs="宋体" w:hint="eastAsia"/>
                <w:b/>
              </w:rPr>
            </w:pPr>
            <w:r w:rsidRPr="00123108">
              <w:rPr>
                <w:rFonts w:ascii="宋体" w:hAnsi="宋体" w:cs="宋体" w:hint="eastAsia"/>
                <w:b/>
              </w:rPr>
              <w:t>结果</w:t>
            </w:r>
          </w:p>
        </w:tc>
      </w:tr>
      <w:tr w:rsidR="004F34D9" w:rsidRPr="00123108">
        <w:trPr>
          <w:trHeight w:val="340"/>
          <w:jc w:val="center"/>
        </w:trPr>
        <w:tc>
          <w:tcPr>
            <w:tcW w:w="9181" w:type="dxa"/>
            <w:gridSpan w:val="4"/>
            <w:vAlign w:val="center"/>
          </w:tcPr>
          <w:p w:rsidR="004F34D9" w:rsidRPr="00123108" w:rsidRDefault="004F34D9">
            <w:pPr>
              <w:spacing w:line="300" w:lineRule="exact"/>
              <w:jc w:val="center"/>
              <w:rPr>
                <w:rFonts w:ascii="宋体" w:hAnsi="宋体" w:cs="宋体" w:hint="eastAsia"/>
                <w:b/>
                <w:szCs w:val="21"/>
              </w:rPr>
            </w:pPr>
            <w:r w:rsidRPr="00123108">
              <w:rPr>
                <w:rFonts w:ascii="宋体" w:hAnsi="宋体" w:cs="宋体" w:hint="eastAsia"/>
                <w:b/>
                <w:szCs w:val="21"/>
              </w:rPr>
              <w:t>一、企业总体选址布局合理性</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w:t>
            </w:r>
          </w:p>
        </w:tc>
        <w:tc>
          <w:tcPr>
            <w:tcW w:w="4688" w:type="dxa"/>
          </w:tcPr>
          <w:p w:rsidR="004F34D9" w:rsidRPr="00123108" w:rsidRDefault="004F34D9">
            <w:pPr>
              <w:spacing w:line="300" w:lineRule="exact"/>
              <w:jc w:val="left"/>
              <w:rPr>
                <w:rFonts w:ascii="宋体" w:hAnsi="宋体" w:cs="宋体" w:hint="eastAsia"/>
                <w:szCs w:val="21"/>
              </w:rPr>
            </w:pPr>
            <w:r w:rsidRPr="00123108">
              <w:rPr>
                <w:rFonts w:ascii="宋体" w:hAnsi="宋体" w:cs="宋体" w:hint="eastAsia"/>
                <w:szCs w:val="21"/>
              </w:rPr>
              <w:t>企业选址布局是否符合当地县级（含县级）以上人民政府以上规划和布局。</w:t>
            </w:r>
          </w:p>
        </w:tc>
        <w:tc>
          <w:tcPr>
            <w:tcW w:w="2974" w:type="dxa"/>
            <w:vAlign w:val="center"/>
          </w:tcPr>
          <w:p w:rsidR="004F34D9" w:rsidRPr="00123108" w:rsidRDefault="004F34D9">
            <w:pPr>
              <w:jc w:val="left"/>
              <w:rPr>
                <w:rFonts w:ascii="宋体" w:hAnsi="宋体" w:cs="宋体" w:hint="eastAsia"/>
                <w:szCs w:val="21"/>
              </w:rPr>
            </w:pPr>
            <w:r w:rsidRPr="00123108">
              <w:rPr>
                <w:rFonts w:ascii="宋体" w:hAnsi="宋体" w:cs="宋体" w:hint="eastAsia"/>
                <w:szCs w:val="21"/>
              </w:rPr>
              <w:t>选址符合规划和布局要求</w:t>
            </w:r>
          </w:p>
        </w:tc>
        <w:tc>
          <w:tcPr>
            <w:tcW w:w="681" w:type="dxa"/>
            <w:vAlign w:val="center"/>
          </w:tcPr>
          <w:p w:rsidR="004F34D9" w:rsidRPr="00123108" w:rsidRDefault="004F34D9">
            <w:pPr>
              <w:spacing w:line="30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2</w:t>
            </w:r>
          </w:p>
        </w:tc>
        <w:tc>
          <w:tcPr>
            <w:tcW w:w="4688" w:type="dxa"/>
          </w:tcPr>
          <w:p w:rsidR="004F34D9" w:rsidRPr="00123108" w:rsidRDefault="004F34D9">
            <w:pPr>
              <w:adjustRightInd w:val="0"/>
              <w:snapToGrid w:val="0"/>
              <w:rPr>
                <w:rFonts w:hint="eastAsia"/>
                <w:szCs w:val="21"/>
              </w:rPr>
            </w:pPr>
            <w:r w:rsidRPr="00123108">
              <w:rPr>
                <w:rFonts w:hint="eastAsia"/>
                <w:szCs w:val="21"/>
              </w:rPr>
              <w:t>企业总体布局是否符合《化工企业总图运输设计规范》（</w:t>
            </w:r>
            <w:r w:rsidRPr="00123108">
              <w:rPr>
                <w:rFonts w:hint="eastAsia"/>
                <w:szCs w:val="21"/>
              </w:rPr>
              <w:t>GB50489</w:t>
            </w:r>
            <w:r w:rsidRPr="00123108">
              <w:rPr>
                <w:rFonts w:hint="eastAsia"/>
                <w:szCs w:val="21"/>
              </w:rPr>
              <w:t>）、《工业企业总平面设计规范》（</w:t>
            </w:r>
            <w:r w:rsidRPr="00123108">
              <w:rPr>
                <w:rFonts w:hint="eastAsia"/>
                <w:szCs w:val="21"/>
              </w:rPr>
              <w:t>GB50187</w:t>
            </w:r>
            <w:r w:rsidRPr="00123108">
              <w:rPr>
                <w:rFonts w:hint="eastAsia"/>
                <w:szCs w:val="21"/>
              </w:rPr>
              <w:t>）、《建筑设计防火规范》（</w:t>
            </w:r>
            <w:r w:rsidRPr="00123108">
              <w:rPr>
                <w:rFonts w:hint="eastAsia"/>
                <w:szCs w:val="21"/>
              </w:rPr>
              <w:t>GB 50016</w:t>
            </w:r>
            <w:r w:rsidRPr="00123108">
              <w:rPr>
                <w:rFonts w:hint="eastAsia"/>
                <w:szCs w:val="21"/>
              </w:rPr>
              <w:t>）等标准。是否符合《石油化工企业设计防火标准》（</w:t>
            </w:r>
            <w:r w:rsidRPr="00123108">
              <w:rPr>
                <w:rFonts w:hint="eastAsia"/>
                <w:szCs w:val="21"/>
              </w:rPr>
              <w:t>GB 50160</w:t>
            </w:r>
            <w:r w:rsidRPr="00123108">
              <w:rPr>
                <w:rFonts w:hint="eastAsia"/>
                <w:szCs w:val="21"/>
              </w:rPr>
              <w:t>）。</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企业总体布局符合《化工企业总图运输设计规范》等规范要求</w:t>
            </w:r>
          </w:p>
        </w:tc>
        <w:tc>
          <w:tcPr>
            <w:tcW w:w="681"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3</w:t>
            </w:r>
          </w:p>
        </w:tc>
        <w:tc>
          <w:tcPr>
            <w:tcW w:w="4688" w:type="dxa"/>
          </w:tcPr>
          <w:p w:rsidR="004F34D9" w:rsidRPr="00123108" w:rsidRDefault="004F34D9">
            <w:pPr>
              <w:adjustRightInd w:val="0"/>
              <w:snapToGrid w:val="0"/>
              <w:rPr>
                <w:rFonts w:hint="eastAsia"/>
                <w:szCs w:val="21"/>
              </w:rPr>
            </w:pPr>
            <w:r w:rsidRPr="00123108">
              <w:rPr>
                <w:rFonts w:hint="eastAsia"/>
                <w:szCs w:val="21"/>
              </w:rPr>
              <w:t>危险化学品生产装置或者储存数量构成重大危险源的危险化学品储存设施，与下列场所、设施、区域的距离应当符合国家有关规定：</w:t>
            </w:r>
          </w:p>
          <w:p w:rsidR="004F34D9" w:rsidRPr="00123108" w:rsidRDefault="004F34D9">
            <w:pPr>
              <w:adjustRightInd w:val="0"/>
              <w:snapToGrid w:val="0"/>
              <w:rPr>
                <w:rFonts w:hint="eastAsia"/>
                <w:szCs w:val="21"/>
              </w:rPr>
            </w:pPr>
            <w:r w:rsidRPr="00123108">
              <w:rPr>
                <w:rFonts w:hint="eastAsia"/>
                <w:szCs w:val="21"/>
              </w:rPr>
              <w:t>（一）居住区以及商业中心、公园等人员密集场所；</w:t>
            </w:r>
          </w:p>
          <w:p w:rsidR="004F34D9" w:rsidRPr="00123108" w:rsidRDefault="004F34D9">
            <w:pPr>
              <w:adjustRightInd w:val="0"/>
              <w:snapToGrid w:val="0"/>
              <w:rPr>
                <w:rFonts w:hint="eastAsia"/>
                <w:szCs w:val="21"/>
              </w:rPr>
            </w:pPr>
            <w:r w:rsidRPr="00123108">
              <w:rPr>
                <w:rFonts w:hint="eastAsia"/>
                <w:szCs w:val="21"/>
              </w:rPr>
              <w:t>（二）学校、医院、影剧院、体育场（馆）等公共设施；</w:t>
            </w:r>
          </w:p>
          <w:p w:rsidR="004F34D9" w:rsidRPr="00123108" w:rsidRDefault="004F34D9">
            <w:pPr>
              <w:adjustRightInd w:val="0"/>
              <w:snapToGrid w:val="0"/>
              <w:rPr>
                <w:rFonts w:hint="eastAsia"/>
                <w:szCs w:val="21"/>
              </w:rPr>
            </w:pPr>
            <w:r w:rsidRPr="00123108">
              <w:rPr>
                <w:rFonts w:hint="eastAsia"/>
                <w:szCs w:val="21"/>
              </w:rPr>
              <w:t>（三）饮用水源、水厂以及水源保护区；</w:t>
            </w:r>
          </w:p>
          <w:p w:rsidR="004F34D9" w:rsidRPr="00123108" w:rsidRDefault="004F34D9">
            <w:pPr>
              <w:adjustRightInd w:val="0"/>
              <w:snapToGrid w:val="0"/>
              <w:rPr>
                <w:rFonts w:hint="eastAsia"/>
                <w:szCs w:val="21"/>
              </w:rPr>
            </w:pPr>
            <w:r w:rsidRPr="00123108">
              <w:rPr>
                <w:rFonts w:hint="eastAsia"/>
                <w:szCs w:val="21"/>
              </w:rPr>
              <w:t>（四）车站、码头（依法经许可从事危险化学品装卸作业的除外）、机场以及通信干线、通信枢纽、铁路线路、道路交通干线、水路交通干线、地铁风亭以及地铁站出入口；</w:t>
            </w:r>
          </w:p>
          <w:p w:rsidR="004F34D9" w:rsidRPr="00123108" w:rsidRDefault="004F34D9">
            <w:pPr>
              <w:adjustRightInd w:val="0"/>
              <w:snapToGrid w:val="0"/>
              <w:rPr>
                <w:rFonts w:hint="eastAsia"/>
                <w:szCs w:val="21"/>
              </w:rPr>
            </w:pPr>
            <w:r w:rsidRPr="00123108">
              <w:rPr>
                <w:rFonts w:hint="eastAsia"/>
                <w:szCs w:val="21"/>
              </w:rPr>
              <w:t>（五）基本农田保护区、基本草原、畜禽遗传资源保护区、畜禽规模化养殖场（养殖小区）、渔业水域以及种子、种畜禽、水产苗种生产基地；</w:t>
            </w:r>
          </w:p>
          <w:p w:rsidR="004F34D9" w:rsidRPr="00123108" w:rsidRDefault="004F34D9">
            <w:pPr>
              <w:adjustRightInd w:val="0"/>
              <w:snapToGrid w:val="0"/>
              <w:rPr>
                <w:rFonts w:hint="eastAsia"/>
                <w:szCs w:val="21"/>
              </w:rPr>
            </w:pPr>
            <w:r w:rsidRPr="00123108">
              <w:rPr>
                <w:rFonts w:hint="eastAsia"/>
                <w:szCs w:val="21"/>
              </w:rPr>
              <w:t>（六）河流、湖泊、风景名胜区、自然保护区；</w:t>
            </w:r>
          </w:p>
          <w:p w:rsidR="004F34D9" w:rsidRPr="00123108" w:rsidRDefault="004F34D9">
            <w:pPr>
              <w:adjustRightInd w:val="0"/>
              <w:snapToGrid w:val="0"/>
              <w:rPr>
                <w:rFonts w:hint="eastAsia"/>
                <w:szCs w:val="21"/>
              </w:rPr>
            </w:pPr>
            <w:r w:rsidRPr="00123108">
              <w:rPr>
                <w:rFonts w:hint="eastAsia"/>
                <w:szCs w:val="21"/>
              </w:rPr>
              <w:t>（七）军事禁区、军事管理区；</w:t>
            </w:r>
          </w:p>
          <w:p w:rsidR="004F34D9" w:rsidRPr="00123108" w:rsidRDefault="004F34D9">
            <w:pPr>
              <w:adjustRightInd w:val="0"/>
              <w:snapToGrid w:val="0"/>
              <w:rPr>
                <w:rFonts w:hint="eastAsia"/>
                <w:szCs w:val="21"/>
              </w:rPr>
            </w:pPr>
            <w:r w:rsidRPr="00123108">
              <w:rPr>
                <w:rFonts w:hint="eastAsia"/>
                <w:szCs w:val="21"/>
              </w:rPr>
              <w:t>（八）法律、行政法规规定的其他场所、设施、区域。</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与八类场所的距离符合要求</w:t>
            </w:r>
          </w:p>
        </w:tc>
        <w:tc>
          <w:tcPr>
            <w:tcW w:w="681" w:type="dxa"/>
            <w:vAlign w:val="center"/>
          </w:tcPr>
          <w:p w:rsidR="004F34D9" w:rsidRPr="00123108" w:rsidRDefault="004F34D9">
            <w:pPr>
              <w:spacing w:line="300" w:lineRule="exact"/>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340"/>
          <w:jc w:val="center"/>
        </w:trPr>
        <w:tc>
          <w:tcPr>
            <w:tcW w:w="9181" w:type="dxa"/>
            <w:gridSpan w:val="4"/>
            <w:vAlign w:val="center"/>
          </w:tcPr>
          <w:p w:rsidR="004F34D9" w:rsidRPr="00123108" w:rsidRDefault="004F34D9">
            <w:pPr>
              <w:spacing w:line="300" w:lineRule="exact"/>
              <w:jc w:val="center"/>
              <w:rPr>
                <w:rFonts w:ascii="宋体" w:hAnsi="宋体" w:cs="宋体" w:hint="eastAsia"/>
                <w:szCs w:val="21"/>
              </w:rPr>
            </w:pPr>
            <w:r w:rsidRPr="00123108">
              <w:rPr>
                <w:rFonts w:ascii="宋体" w:hAnsi="宋体" w:cs="宋体" w:hint="eastAsia"/>
                <w:b/>
                <w:szCs w:val="21"/>
              </w:rPr>
              <w:t>二、企业设备设施工艺的安全可靠性</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4</w:t>
            </w:r>
          </w:p>
        </w:tc>
        <w:tc>
          <w:tcPr>
            <w:tcW w:w="4688" w:type="dxa"/>
          </w:tcPr>
          <w:p w:rsidR="004F34D9" w:rsidRPr="00123108" w:rsidRDefault="004F34D9">
            <w:pPr>
              <w:adjustRightInd w:val="0"/>
              <w:snapToGrid w:val="0"/>
              <w:rPr>
                <w:rFonts w:hint="eastAsia"/>
                <w:szCs w:val="21"/>
              </w:rPr>
            </w:pPr>
            <w:r w:rsidRPr="00123108">
              <w:rPr>
                <w:rFonts w:hint="eastAsia"/>
                <w:szCs w:val="21"/>
              </w:rPr>
              <w:t>新建、改建、扩建建设项目是否经具备国家规定资质的单位设计、制造和施工建设；涉及危险化工工艺、重点监管危险化学品的装置，是否由具有综合甲级资质或者化工石化医药行业专业甲级设计资质的设计单位设计。</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本周期不涉及新建、改建、扩建项目</w:t>
            </w:r>
          </w:p>
        </w:tc>
        <w:tc>
          <w:tcPr>
            <w:tcW w:w="681"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5</w:t>
            </w:r>
          </w:p>
        </w:tc>
        <w:tc>
          <w:tcPr>
            <w:tcW w:w="4688" w:type="dxa"/>
          </w:tcPr>
          <w:p w:rsidR="004F34D9" w:rsidRPr="00123108" w:rsidRDefault="004F34D9">
            <w:pPr>
              <w:adjustRightInd w:val="0"/>
              <w:snapToGrid w:val="0"/>
              <w:rPr>
                <w:rFonts w:hint="eastAsia"/>
                <w:szCs w:val="21"/>
              </w:rPr>
            </w:pPr>
            <w:r w:rsidRPr="00123108">
              <w:rPr>
                <w:rFonts w:hint="eastAsia"/>
                <w:szCs w:val="21"/>
              </w:rPr>
              <w:t>是否采用和使用国家明令淘汰、禁止使用的工艺、</w:t>
            </w:r>
            <w:r w:rsidRPr="00123108">
              <w:rPr>
                <w:rFonts w:hint="eastAsia"/>
                <w:szCs w:val="21"/>
              </w:rPr>
              <w:lastRenderedPageBreak/>
              <w:t>设备。</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lastRenderedPageBreak/>
              <w:t>未使用明令淘汰、禁止使用工艺</w:t>
            </w:r>
          </w:p>
        </w:tc>
        <w:tc>
          <w:tcPr>
            <w:tcW w:w="681"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6</w:t>
            </w:r>
          </w:p>
        </w:tc>
        <w:tc>
          <w:tcPr>
            <w:tcW w:w="4688" w:type="dxa"/>
          </w:tcPr>
          <w:p w:rsidR="004F34D9" w:rsidRPr="00123108" w:rsidRDefault="004F34D9">
            <w:pPr>
              <w:adjustRightInd w:val="0"/>
              <w:snapToGrid w:val="0"/>
              <w:rPr>
                <w:rFonts w:hint="eastAsia"/>
                <w:szCs w:val="21"/>
              </w:rPr>
            </w:pPr>
            <w:r w:rsidRPr="00123108">
              <w:rPr>
                <w:rFonts w:hint="eastAsia"/>
                <w:szCs w:val="21"/>
              </w:rPr>
              <w:t>新开发的危险化学品生产工艺是否在小试、中试、工业化试验的基础上逐步放大到工业化生产；国内首次使用的化工工艺，必须经过省安全生产监督管理局组织的安全可靠性专家论证。</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不涉及新开发的危险化学品生产工艺</w:t>
            </w:r>
          </w:p>
        </w:tc>
        <w:tc>
          <w:tcPr>
            <w:tcW w:w="681"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7</w:t>
            </w:r>
          </w:p>
        </w:tc>
        <w:tc>
          <w:tcPr>
            <w:tcW w:w="4688" w:type="dxa"/>
          </w:tcPr>
          <w:p w:rsidR="004F34D9" w:rsidRPr="00123108" w:rsidRDefault="004F34D9">
            <w:pPr>
              <w:adjustRightInd w:val="0"/>
              <w:snapToGrid w:val="0"/>
              <w:rPr>
                <w:rFonts w:hint="eastAsia"/>
                <w:szCs w:val="21"/>
              </w:rPr>
            </w:pPr>
            <w:r w:rsidRPr="00123108">
              <w:rPr>
                <w:rFonts w:hint="eastAsia"/>
                <w:szCs w:val="21"/>
              </w:rPr>
              <w:t>涉及危险化工工艺、重点监管危险化学品的装置是否装设自动化控制系统；涉及危险化工工艺的大型化工装置装设紧急停车系统；涉及易燃易爆、有毒有害气体化学品的场所是否装设易燃易爆、有毒有害介质泄漏报警等安全设施。</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相关装置已设置自控系统，相关场所已设置可燃气体检测报警器等安全设施</w:t>
            </w:r>
          </w:p>
        </w:tc>
        <w:tc>
          <w:tcPr>
            <w:tcW w:w="681"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8</w:t>
            </w:r>
          </w:p>
        </w:tc>
        <w:tc>
          <w:tcPr>
            <w:tcW w:w="4688" w:type="dxa"/>
          </w:tcPr>
          <w:p w:rsidR="004F34D9" w:rsidRPr="00123108" w:rsidRDefault="004F34D9">
            <w:pPr>
              <w:adjustRightInd w:val="0"/>
              <w:snapToGrid w:val="0"/>
              <w:rPr>
                <w:rFonts w:hint="eastAsia"/>
                <w:szCs w:val="21"/>
              </w:rPr>
            </w:pPr>
            <w:r w:rsidRPr="00123108">
              <w:rPr>
                <w:rFonts w:hint="eastAsia"/>
                <w:szCs w:val="21"/>
              </w:rPr>
              <w:t>生产区与非生产区是否分开设置，并符合国家标准或者行业标准规定的距离。</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生产区与非生产区分开设置，间距符合要求</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t>符合</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9</w:t>
            </w:r>
          </w:p>
        </w:tc>
        <w:tc>
          <w:tcPr>
            <w:tcW w:w="4688" w:type="dxa"/>
          </w:tcPr>
          <w:p w:rsidR="004F34D9" w:rsidRPr="00123108" w:rsidRDefault="004F34D9">
            <w:pPr>
              <w:adjustRightInd w:val="0"/>
              <w:snapToGrid w:val="0"/>
              <w:rPr>
                <w:rFonts w:hint="eastAsia"/>
                <w:szCs w:val="21"/>
              </w:rPr>
            </w:pPr>
            <w:r w:rsidRPr="00123108">
              <w:rPr>
                <w:rFonts w:hint="eastAsia"/>
                <w:szCs w:val="21"/>
              </w:rPr>
              <w:t>危险化学品生产装置和储存设施之间及其与建（构）筑物之间的距离是否符合有关标准规范的规定。</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见附表</w:t>
            </w:r>
            <w:r w:rsidRPr="00123108">
              <w:rPr>
                <w:rFonts w:hint="eastAsia"/>
                <w:szCs w:val="21"/>
              </w:rPr>
              <w:t>2.4-1-1</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t>不符合</w:t>
            </w:r>
          </w:p>
        </w:tc>
      </w:tr>
      <w:tr w:rsidR="004F34D9" w:rsidRPr="00123108">
        <w:trPr>
          <w:trHeight w:val="340"/>
          <w:jc w:val="center"/>
        </w:trPr>
        <w:tc>
          <w:tcPr>
            <w:tcW w:w="9181" w:type="dxa"/>
            <w:gridSpan w:val="4"/>
            <w:vAlign w:val="center"/>
          </w:tcPr>
          <w:p w:rsidR="004F34D9" w:rsidRPr="00123108" w:rsidRDefault="004F34D9">
            <w:pPr>
              <w:jc w:val="center"/>
              <w:rPr>
                <w:rFonts w:ascii="宋体" w:hAnsi="宋体" w:cs="宋体" w:hint="eastAsia"/>
                <w:szCs w:val="21"/>
              </w:rPr>
            </w:pPr>
            <w:r w:rsidRPr="00123108">
              <w:rPr>
                <w:rFonts w:ascii="宋体" w:hAnsi="宋体" w:cs="宋体" w:hint="eastAsia"/>
                <w:b/>
                <w:szCs w:val="21"/>
              </w:rPr>
              <w:t>三、安全生产管理制度</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b/>
                <w:szCs w:val="21"/>
              </w:rPr>
            </w:pPr>
            <w:r w:rsidRPr="00123108">
              <w:rPr>
                <w:rFonts w:ascii="宋体" w:hAnsi="宋体" w:cs="宋体" w:hint="eastAsia"/>
                <w:szCs w:val="21"/>
              </w:rPr>
              <w:t>10</w:t>
            </w:r>
          </w:p>
        </w:tc>
        <w:tc>
          <w:tcPr>
            <w:tcW w:w="4688" w:type="dxa"/>
          </w:tcPr>
          <w:p w:rsidR="004F34D9" w:rsidRPr="00123108" w:rsidRDefault="004F34D9">
            <w:pPr>
              <w:adjustRightInd w:val="0"/>
              <w:snapToGrid w:val="0"/>
              <w:rPr>
                <w:rFonts w:hint="eastAsia"/>
                <w:szCs w:val="21"/>
              </w:rPr>
            </w:pPr>
            <w:r w:rsidRPr="00123108">
              <w:rPr>
                <w:rFonts w:hint="eastAsia"/>
                <w:szCs w:val="21"/>
              </w:rPr>
              <w:t>是否建立健全主要负责人、分管负责人、安全生产管理人员、职能部门、岗位的全员安全生产责任制，明确岗位安全生产责任。</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已明确各岗位安全生产责任</w:t>
            </w:r>
          </w:p>
        </w:tc>
        <w:tc>
          <w:tcPr>
            <w:tcW w:w="681"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11</w:t>
            </w:r>
          </w:p>
        </w:tc>
        <w:tc>
          <w:tcPr>
            <w:tcW w:w="4688" w:type="dxa"/>
          </w:tcPr>
          <w:p w:rsidR="004F34D9" w:rsidRPr="00123108" w:rsidRDefault="004F34D9">
            <w:pPr>
              <w:adjustRightInd w:val="0"/>
              <w:snapToGrid w:val="0"/>
              <w:rPr>
                <w:rFonts w:hint="eastAsia"/>
                <w:szCs w:val="21"/>
              </w:rPr>
            </w:pPr>
            <w:r w:rsidRPr="00123108">
              <w:rPr>
                <w:rFonts w:hint="eastAsia"/>
                <w:szCs w:val="21"/>
              </w:rPr>
              <w:t>是否根据实际情况，制定下列安全生产制度：安全生产工作例会等安全生产会议制度，安全投入保障制度，安全生产奖惩制度，安全培训教育制度，领导干部现场带班制度，特种作业人员管理制度，安全检查和隐患排查治理制度，重大危险源评估和安全管理制度，变更管理制度，应急管理制度，生产安全事故或者重大事件的调查和报告处理制度，防火、防爆、防中毒、防泄漏管理制度，工艺、设备、电气仪表、公用工程安全管理制度，动火、进入受限空间、吊装、高处、盲板抽堵、动土、断路、设备检维修等作业安全管理制度，危险化学品安全管理制度，职业健康相关管理制度，劳动防护用品使用维护管理制度，承包商管理制度，安全管理制度及操作规程定期修订制度，设施、设备的维护、保养、检测管理制度，危险作业的现场管理制度，安全生产台帐的管理制度，关键装置与重点部位管理制度，装置开停车安全管理制度，自动化安全控制系统管理和维护制度，安全管理制度执行情况检查制度。</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已制定相关管理制度</w:t>
            </w:r>
          </w:p>
        </w:tc>
        <w:tc>
          <w:tcPr>
            <w:tcW w:w="681"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12</w:t>
            </w:r>
          </w:p>
        </w:tc>
        <w:tc>
          <w:tcPr>
            <w:tcW w:w="4688" w:type="dxa"/>
          </w:tcPr>
          <w:p w:rsidR="004F34D9" w:rsidRPr="00123108" w:rsidRDefault="004F34D9">
            <w:pPr>
              <w:adjustRightInd w:val="0"/>
              <w:snapToGrid w:val="0"/>
              <w:rPr>
                <w:rFonts w:hint="eastAsia"/>
                <w:szCs w:val="21"/>
              </w:rPr>
            </w:pPr>
            <w:r w:rsidRPr="00123108">
              <w:rPr>
                <w:rFonts w:hint="eastAsia"/>
                <w:szCs w:val="21"/>
              </w:rPr>
              <w:t>是否根据生产工艺、技术、设备、自动化控制特点和原辅料、产品危险性等实际情况，编制岗位安全操作规程和制定符合有关标准规定的作业安全规程。</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已编制岗位安全操作规程</w:t>
            </w:r>
          </w:p>
        </w:tc>
        <w:tc>
          <w:tcPr>
            <w:tcW w:w="681"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符合</w:t>
            </w:r>
          </w:p>
        </w:tc>
      </w:tr>
      <w:tr w:rsidR="004F34D9" w:rsidRPr="00123108">
        <w:trPr>
          <w:trHeight w:val="340"/>
          <w:jc w:val="center"/>
        </w:trPr>
        <w:tc>
          <w:tcPr>
            <w:tcW w:w="9181" w:type="dxa"/>
            <w:gridSpan w:val="4"/>
            <w:vAlign w:val="center"/>
          </w:tcPr>
          <w:p w:rsidR="004F34D9" w:rsidRPr="00123108" w:rsidRDefault="004F34D9">
            <w:pPr>
              <w:jc w:val="center"/>
              <w:rPr>
                <w:rFonts w:ascii="宋体" w:hAnsi="宋体" w:cs="宋体" w:hint="eastAsia"/>
                <w:szCs w:val="21"/>
              </w:rPr>
            </w:pPr>
            <w:r w:rsidRPr="00123108">
              <w:rPr>
                <w:rFonts w:ascii="宋体" w:hAnsi="宋体" w:cs="宋体" w:hint="eastAsia"/>
                <w:b/>
                <w:szCs w:val="21"/>
              </w:rPr>
              <w:t>四、安全管理机构和人员条件</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b/>
                <w:szCs w:val="21"/>
              </w:rPr>
            </w:pPr>
            <w:r w:rsidRPr="00123108">
              <w:rPr>
                <w:rFonts w:ascii="宋体" w:hAnsi="宋体" w:cs="宋体" w:hint="eastAsia"/>
                <w:szCs w:val="21"/>
              </w:rPr>
              <w:t>13</w:t>
            </w:r>
          </w:p>
        </w:tc>
        <w:tc>
          <w:tcPr>
            <w:tcW w:w="4688" w:type="dxa"/>
          </w:tcPr>
          <w:p w:rsidR="004F34D9" w:rsidRPr="00123108" w:rsidRDefault="004F34D9">
            <w:pPr>
              <w:adjustRightInd w:val="0"/>
              <w:snapToGrid w:val="0"/>
              <w:rPr>
                <w:rFonts w:hint="eastAsia"/>
                <w:szCs w:val="21"/>
              </w:rPr>
            </w:pPr>
            <w:r w:rsidRPr="00123108">
              <w:rPr>
                <w:rFonts w:hint="eastAsia"/>
                <w:szCs w:val="21"/>
              </w:rPr>
              <w:t>是否依法设置安全生产管理机构，配备专职安全生产管理人员。从业人员超过五十人的企业，应当配备不少于两名的专职安全生产管理人员。</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已设置安全管理机构，专职安管员已取证</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t>符合</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14</w:t>
            </w:r>
          </w:p>
        </w:tc>
        <w:tc>
          <w:tcPr>
            <w:tcW w:w="4688" w:type="dxa"/>
          </w:tcPr>
          <w:p w:rsidR="004F34D9" w:rsidRPr="00123108" w:rsidRDefault="004F34D9">
            <w:pPr>
              <w:adjustRightInd w:val="0"/>
              <w:snapToGrid w:val="0"/>
              <w:rPr>
                <w:rFonts w:hint="eastAsia"/>
                <w:szCs w:val="21"/>
              </w:rPr>
            </w:pPr>
            <w:r w:rsidRPr="00123108">
              <w:rPr>
                <w:rFonts w:hint="eastAsia"/>
                <w:szCs w:val="21"/>
              </w:rPr>
              <w:t>企业主要负责人、分管安全负责人和安全生产管理人员是否依法参加安全生产培训，并经考核合格，</w:t>
            </w:r>
            <w:r w:rsidRPr="00123108">
              <w:rPr>
                <w:rFonts w:hint="eastAsia"/>
                <w:szCs w:val="21"/>
              </w:rPr>
              <w:lastRenderedPageBreak/>
              <w:t>取得安全资格证书。</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lastRenderedPageBreak/>
              <w:t>企业主要负责人、分管安全负责人已培训考试合格</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t>符合</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15</w:t>
            </w:r>
          </w:p>
        </w:tc>
        <w:tc>
          <w:tcPr>
            <w:tcW w:w="4688" w:type="dxa"/>
            <w:vAlign w:val="center"/>
          </w:tcPr>
          <w:p w:rsidR="004F34D9" w:rsidRPr="00123108" w:rsidRDefault="004F34D9">
            <w:pPr>
              <w:adjustRightInd w:val="0"/>
              <w:snapToGrid w:val="0"/>
              <w:rPr>
                <w:rFonts w:hint="eastAsia"/>
                <w:szCs w:val="21"/>
              </w:rPr>
            </w:pPr>
            <w:r w:rsidRPr="00123108">
              <w:rPr>
                <w:rFonts w:hint="eastAsia"/>
                <w:szCs w:val="21"/>
              </w:rPr>
              <w:t>企业分管安全负责人、分管生产负责人、分管技术负责人应当具有一定的化工专业知识或者相应的专业学历。</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企业分管安全负责人、分管生产负责人、分管技术负责人具有化工专业知识</w:t>
            </w:r>
          </w:p>
        </w:tc>
        <w:tc>
          <w:tcPr>
            <w:tcW w:w="681" w:type="dxa"/>
            <w:vAlign w:val="center"/>
          </w:tcPr>
          <w:p w:rsidR="004F34D9" w:rsidRPr="00123108" w:rsidRDefault="004F34D9">
            <w:pPr>
              <w:adjustRightInd w:val="0"/>
              <w:snapToGrid w:val="0"/>
              <w:jc w:val="center"/>
              <w:rPr>
                <w:rFonts w:hint="eastAsia"/>
                <w:szCs w:val="21"/>
              </w:rPr>
            </w:pPr>
            <w:r w:rsidRPr="00123108">
              <w:rPr>
                <w:rFonts w:hint="eastAsia"/>
                <w:szCs w:val="21"/>
              </w:rPr>
              <w:t>符合</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16</w:t>
            </w:r>
          </w:p>
        </w:tc>
        <w:tc>
          <w:tcPr>
            <w:tcW w:w="4688" w:type="dxa"/>
          </w:tcPr>
          <w:p w:rsidR="004F34D9" w:rsidRPr="00123108" w:rsidRDefault="004F34D9">
            <w:pPr>
              <w:adjustRightInd w:val="0"/>
              <w:snapToGrid w:val="0"/>
              <w:rPr>
                <w:rFonts w:hint="eastAsia"/>
                <w:szCs w:val="21"/>
              </w:rPr>
            </w:pPr>
            <w:r w:rsidRPr="00123108">
              <w:rPr>
                <w:rFonts w:hint="eastAsia"/>
                <w:szCs w:val="21"/>
              </w:rPr>
              <w:t>专职安全生产管理人员应当具备国民教育化工化学类（或安全工程）中等职业教育以上学历或者化工化学类中级以上专业技术职称，企业应当有危险物品安全类注册安全工程师从事安全生产管理工作。</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专职安全管理人员具有化工等相关教育背景，已配备注册安全工程师</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t>符合</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17</w:t>
            </w:r>
          </w:p>
        </w:tc>
        <w:tc>
          <w:tcPr>
            <w:tcW w:w="4688" w:type="dxa"/>
          </w:tcPr>
          <w:p w:rsidR="004F34D9" w:rsidRPr="00123108" w:rsidRDefault="004F34D9">
            <w:pPr>
              <w:adjustRightInd w:val="0"/>
              <w:snapToGrid w:val="0"/>
              <w:rPr>
                <w:rFonts w:hint="eastAsia"/>
                <w:szCs w:val="21"/>
              </w:rPr>
            </w:pPr>
            <w:r w:rsidRPr="00123108">
              <w:rPr>
                <w:rFonts w:hint="eastAsia"/>
                <w:szCs w:val="21"/>
              </w:rPr>
              <w:t>特种作业人员是否依照规定经专门的安全技术培训考核合格，取得特种作业操作证书。</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特种作业人员已取证</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t>符合</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18</w:t>
            </w:r>
          </w:p>
        </w:tc>
        <w:tc>
          <w:tcPr>
            <w:tcW w:w="4688" w:type="dxa"/>
          </w:tcPr>
          <w:p w:rsidR="004F34D9" w:rsidRPr="00123108" w:rsidRDefault="004F34D9">
            <w:pPr>
              <w:adjustRightInd w:val="0"/>
              <w:snapToGrid w:val="0"/>
              <w:rPr>
                <w:rFonts w:hint="eastAsia"/>
                <w:szCs w:val="21"/>
              </w:rPr>
            </w:pPr>
            <w:r w:rsidRPr="00123108">
              <w:rPr>
                <w:rFonts w:hint="eastAsia"/>
                <w:szCs w:val="21"/>
              </w:rPr>
              <w:t>企业其他从业人员是否按照国家有关规定，经安全教育和培训并考核合格。并应建立相应台帐。</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有相应安全教育和培训台账</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t>符合</w:t>
            </w:r>
          </w:p>
        </w:tc>
      </w:tr>
      <w:tr w:rsidR="004F34D9" w:rsidRPr="00123108">
        <w:trPr>
          <w:trHeight w:val="340"/>
          <w:jc w:val="center"/>
        </w:trPr>
        <w:tc>
          <w:tcPr>
            <w:tcW w:w="9181" w:type="dxa"/>
            <w:gridSpan w:val="4"/>
            <w:vAlign w:val="center"/>
          </w:tcPr>
          <w:p w:rsidR="004F34D9" w:rsidRPr="00123108" w:rsidRDefault="004F34D9">
            <w:pPr>
              <w:jc w:val="center"/>
              <w:rPr>
                <w:rFonts w:ascii="宋体" w:hAnsi="宋体" w:cs="宋体" w:hint="eastAsia"/>
                <w:szCs w:val="21"/>
              </w:rPr>
            </w:pPr>
            <w:r w:rsidRPr="00123108">
              <w:rPr>
                <w:rFonts w:ascii="宋体" w:hAnsi="宋体" w:cs="宋体" w:hint="eastAsia"/>
                <w:b/>
                <w:szCs w:val="21"/>
              </w:rPr>
              <w:t>五、重大危险源管理</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b/>
                <w:szCs w:val="21"/>
              </w:rPr>
            </w:pPr>
            <w:r w:rsidRPr="00123108">
              <w:rPr>
                <w:rFonts w:ascii="宋体" w:hAnsi="宋体" w:cs="宋体" w:hint="eastAsia"/>
                <w:szCs w:val="21"/>
              </w:rPr>
              <w:t>19</w:t>
            </w:r>
          </w:p>
        </w:tc>
        <w:tc>
          <w:tcPr>
            <w:tcW w:w="4688" w:type="dxa"/>
          </w:tcPr>
          <w:p w:rsidR="004F34D9" w:rsidRPr="00123108" w:rsidRDefault="004F34D9">
            <w:pPr>
              <w:adjustRightInd w:val="0"/>
              <w:snapToGrid w:val="0"/>
              <w:rPr>
                <w:rFonts w:hint="eastAsia"/>
                <w:szCs w:val="21"/>
              </w:rPr>
            </w:pPr>
            <w:r w:rsidRPr="00123108">
              <w:rPr>
                <w:rFonts w:hint="eastAsia"/>
                <w:szCs w:val="21"/>
              </w:rPr>
              <w:t>是否依据《危险化学品重大危险源辨识》（</w:t>
            </w:r>
            <w:r w:rsidRPr="00123108">
              <w:rPr>
                <w:rFonts w:hint="eastAsia"/>
                <w:szCs w:val="21"/>
              </w:rPr>
              <w:t>GB18218</w:t>
            </w:r>
            <w:r w:rsidRPr="00123108">
              <w:rPr>
                <w:rFonts w:hint="eastAsia"/>
                <w:szCs w:val="21"/>
              </w:rPr>
              <w:t>），辨识、确定本企业的重大危险源。</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已对重大危险源进行辨识</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t>符合</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20</w:t>
            </w:r>
          </w:p>
        </w:tc>
        <w:tc>
          <w:tcPr>
            <w:tcW w:w="4688" w:type="dxa"/>
          </w:tcPr>
          <w:p w:rsidR="004F34D9" w:rsidRPr="00123108" w:rsidRDefault="004F34D9">
            <w:pPr>
              <w:adjustRightInd w:val="0"/>
              <w:snapToGrid w:val="0"/>
              <w:rPr>
                <w:rFonts w:hint="eastAsia"/>
                <w:szCs w:val="21"/>
              </w:rPr>
            </w:pPr>
            <w:r w:rsidRPr="00123108">
              <w:rPr>
                <w:rFonts w:hint="eastAsia"/>
                <w:szCs w:val="21"/>
              </w:rPr>
              <w:t>重大危险源是否报县级安全生产监督管理部门备案。</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已进行重大危险源备案</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t>符合</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21</w:t>
            </w:r>
          </w:p>
        </w:tc>
        <w:tc>
          <w:tcPr>
            <w:tcW w:w="4688" w:type="dxa"/>
          </w:tcPr>
          <w:p w:rsidR="004F34D9" w:rsidRPr="00123108" w:rsidRDefault="004F34D9">
            <w:pPr>
              <w:adjustRightInd w:val="0"/>
              <w:snapToGrid w:val="0"/>
              <w:rPr>
                <w:rFonts w:hint="eastAsia"/>
                <w:szCs w:val="21"/>
              </w:rPr>
            </w:pPr>
            <w:r w:rsidRPr="00123108">
              <w:rPr>
                <w:rFonts w:hint="eastAsia"/>
                <w:szCs w:val="21"/>
              </w:rPr>
              <w:t>新建、改建、扩建项目是否在竣工验收前完成重大危险源的辨识、安全评估和分级、登记建档工作，并完成备案。</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不涉及新建、改建、扩建项目</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t>/</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22</w:t>
            </w:r>
          </w:p>
        </w:tc>
        <w:tc>
          <w:tcPr>
            <w:tcW w:w="4688" w:type="dxa"/>
          </w:tcPr>
          <w:p w:rsidR="004F34D9" w:rsidRPr="00123108" w:rsidRDefault="004F34D9">
            <w:pPr>
              <w:adjustRightInd w:val="0"/>
              <w:snapToGrid w:val="0"/>
              <w:rPr>
                <w:rFonts w:hint="eastAsia"/>
                <w:szCs w:val="21"/>
              </w:rPr>
            </w:pPr>
            <w:r w:rsidRPr="00123108">
              <w:rPr>
                <w:rFonts w:hint="eastAsia"/>
                <w:szCs w:val="21"/>
              </w:rPr>
              <w:t>重大危险源场所是否执行“两牌一箱”制度，明确紧急情况下的应急处置办法。</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已设置“两牌一箱”</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t>符合</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23</w:t>
            </w:r>
          </w:p>
        </w:tc>
        <w:tc>
          <w:tcPr>
            <w:tcW w:w="4688" w:type="dxa"/>
          </w:tcPr>
          <w:p w:rsidR="004F34D9" w:rsidRPr="00123108" w:rsidRDefault="004F34D9">
            <w:pPr>
              <w:adjustRightInd w:val="0"/>
              <w:snapToGrid w:val="0"/>
              <w:rPr>
                <w:rFonts w:hint="eastAsia"/>
                <w:szCs w:val="21"/>
              </w:rPr>
            </w:pPr>
            <w:r w:rsidRPr="00123108">
              <w:rPr>
                <w:rFonts w:hint="eastAsia"/>
                <w:szCs w:val="21"/>
              </w:rPr>
              <w:t>是否制定重大危险源专项应急预案和现场处置方案，并定期演练。</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已制定重大危险源专项应急预案，并进行定期演练</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t>符合</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24</w:t>
            </w:r>
          </w:p>
        </w:tc>
        <w:tc>
          <w:tcPr>
            <w:tcW w:w="4688" w:type="dxa"/>
          </w:tcPr>
          <w:p w:rsidR="004F34D9" w:rsidRPr="00123108" w:rsidRDefault="004F34D9">
            <w:pPr>
              <w:adjustRightInd w:val="0"/>
              <w:snapToGrid w:val="0"/>
              <w:rPr>
                <w:rFonts w:hint="eastAsia"/>
                <w:szCs w:val="21"/>
              </w:rPr>
            </w:pPr>
            <w:r w:rsidRPr="00123108">
              <w:rPr>
                <w:rFonts w:hint="eastAsia"/>
                <w:szCs w:val="21"/>
              </w:rPr>
              <w:t>是否定期对重大危险源的安全设施和安全监测监控系统进行检测、检验，并进行经常性维护、保养，保证重大危险源的安全设施和安全监测监控系统有效、可靠运行。维护、保养、检测应当作好记录，并由有关人员签字。</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安全设施进行检测、检验，并进行经常性维护、保养</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t>符合</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25</w:t>
            </w:r>
          </w:p>
        </w:tc>
        <w:tc>
          <w:tcPr>
            <w:tcW w:w="4688" w:type="dxa"/>
          </w:tcPr>
          <w:p w:rsidR="004F34D9" w:rsidRPr="00123108" w:rsidRDefault="004F34D9">
            <w:pPr>
              <w:adjustRightInd w:val="0"/>
              <w:snapToGrid w:val="0"/>
              <w:rPr>
                <w:rFonts w:hint="eastAsia"/>
                <w:szCs w:val="21"/>
              </w:rPr>
            </w:pPr>
            <w:r w:rsidRPr="00123108">
              <w:rPr>
                <w:rFonts w:hint="eastAsia"/>
                <w:szCs w:val="21"/>
              </w:rPr>
              <w:t>是否明确重大危险源中关键装置、重点部位的责任人或者责任机构，并对重大危险源的安全生产状况进行定期检查，及时采取措施消除事故隐患。</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已明确重大危险源中关键装置、重点部位的责任人</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t>符合</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26</w:t>
            </w:r>
          </w:p>
        </w:tc>
        <w:tc>
          <w:tcPr>
            <w:tcW w:w="4688" w:type="dxa"/>
            <w:vAlign w:val="center"/>
          </w:tcPr>
          <w:p w:rsidR="004F34D9" w:rsidRPr="00123108" w:rsidRDefault="004F34D9">
            <w:pPr>
              <w:adjustRightInd w:val="0"/>
              <w:snapToGrid w:val="0"/>
              <w:rPr>
                <w:rFonts w:hint="eastAsia"/>
                <w:szCs w:val="21"/>
              </w:rPr>
            </w:pPr>
            <w:r w:rsidRPr="00123108">
              <w:rPr>
                <w:rFonts w:hint="eastAsia"/>
                <w:szCs w:val="21"/>
              </w:rPr>
              <w:t>是否根据构成重大危险源的危险化学品种类、数量、生产、使用工艺（方式）或者相关设备、设施等实际情况，按照《危险化学品重大危险源监督管理暂行规定》要求建立健全安全监测监控体系，完善控制措施。</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设置有自动化控制系统、可燃气体检测报警系统、视频监控系统，对生产工艺进行监控</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t>符合</w:t>
            </w:r>
          </w:p>
        </w:tc>
      </w:tr>
      <w:tr w:rsidR="004F34D9" w:rsidRPr="00123108">
        <w:trPr>
          <w:trHeight w:val="340"/>
          <w:jc w:val="center"/>
        </w:trPr>
        <w:tc>
          <w:tcPr>
            <w:tcW w:w="9181" w:type="dxa"/>
            <w:gridSpan w:val="4"/>
            <w:vAlign w:val="center"/>
          </w:tcPr>
          <w:p w:rsidR="004F34D9" w:rsidRPr="00123108" w:rsidRDefault="004F34D9">
            <w:pPr>
              <w:jc w:val="center"/>
              <w:rPr>
                <w:rFonts w:ascii="宋体" w:hAnsi="宋体" w:cs="宋体" w:hint="eastAsia"/>
                <w:szCs w:val="21"/>
              </w:rPr>
            </w:pPr>
            <w:r w:rsidRPr="00123108">
              <w:rPr>
                <w:rFonts w:ascii="宋体" w:hAnsi="宋体" w:cs="宋体" w:hint="eastAsia"/>
                <w:b/>
                <w:szCs w:val="21"/>
              </w:rPr>
              <w:t>六、应急管理要求</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b/>
                <w:szCs w:val="21"/>
              </w:rPr>
            </w:pPr>
            <w:r w:rsidRPr="00123108">
              <w:rPr>
                <w:rFonts w:ascii="宋体" w:hAnsi="宋体" w:cs="宋体" w:hint="eastAsia"/>
                <w:szCs w:val="21"/>
              </w:rPr>
              <w:t>27</w:t>
            </w:r>
          </w:p>
        </w:tc>
        <w:tc>
          <w:tcPr>
            <w:tcW w:w="4688" w:type="dxa"/>
          </w:tcPr>
          <w:p w:rsidR="004F34D9" w:rsidRPr="00123108" w:rsidRDefault="004F34D9">
            <w:pPr>
              <w:adjustRightInd w:val="0"/>
              <w:snapToGrid w:val="0"/>
              <w:rPr>
                <w:rFonts w:hint="eastAsia"/>
                <w:szCs w:val="21"/>
              </w:rPr>
            </w:pPr>
            <w:r w:rsidRPr="00123108">
              <w:rPr>
                <w:rFonts w:hint="eastAsia"/>
                <w:szCs w:val="21"/>
              </w:rPr>
              <w:t>是否按照国家有关规定编制危险化学品事故应急预案并报安监部门备案。</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应急预案已修订并备案</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t>符合</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28</w:t>
            </w:r>
          </w:p>
        </w:tc>
        <w:tc>
          <w:tcPr>
            <w:tcW w:w="4688" w:type="dxa"/>
            <w:vAlign w:val="center"/>
          </w:tcPr>
          <w:p w:rsidR="004F34D9" w:rsidRPr="00123108" w:rsidRDefault="004F34D9">
            <w:pPr>
              <w:adjustRightInd w:val="0"/>
              <w:snapToGrid w:val="0"/>
              <w:rPr>
                <w:rFonts w:hint="eastAsia"/>
                <w:szCs w:val="21"/>
              </w:rPr>
            </w:pPr>
            <w:r w:rsidRPr="00123108">
              <w:rPr>
                <w:rFonts w:hint="eastAsia"/>
                <w:szCs w:val="21"/>
              </w:rPr>
              <w:t>是否建立应急救援组织或者明确应急救援人员，配备必要的应急救援器材、设备设施，并定期进行演练。</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已建立应急救援组织，明确应急救援人员，配备有相应的应急救援器材、设备设施，并定期演练</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t>符合</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29</w:t>
            </w:r>
          </w:p>
        </w:tc>
        <w:tc>
          <w:tcPr>
            <w:tcW w:w="4688" w:type="dxa"/>
          </w:tcPr>
          <w:p w:rsidR="004F34D9" w:rsidRPr="00123108" w:rsidRDefault="004F34D9">
            <w:pPr>
              <w:adjustRightInd w:val="0"/>
              <w:snapToGrid w:val="0"/>
              <w:rPr>
                <w:rFonts w:hint="eastAsia"/>
                <w:szCs w:val="21"/>
              </w:rPr>
            </w:pPr>
            <w:r w:rsidRPr="00123108">
              <w:rPr>
                <w:rFonts w:hint="eastAsia"/>
                <w:szCs w:val="21"/>
              </w:rPr>
              <w:t>构成重大危险源的生产、储存和使用氯气、氨气、光气、硫化氢等吸入性有毒有害气体的企业，应当设立气体防护站（组）。</w:t>
            </w:r>
          </w:p>
        </w:tc>
        <w:tc>
          <w:tcPr>
            <w:tcW w:w="2974" w:type="dxa"/>
            <w:vAlign w:val="center"/>
          </w:tcPr>
          <w:p w:rsidR="004F34D9" w:rsidRPr="00123108" w:rsidRDefault="004F34D9">
            <w:pPr>
              <w:adjustRightInd w:val="0"/>
              <w:snapToGrid w:val="0"/>
              <w:rPr>
                <w:szCs w:val="21"/>
              </w:rPr>
            </w:pPr>
            <w:r w:rsidRPr="00123108">
              <w:rPr>
                <w:rFonts w:hint="eastAsia"/>
                <w:szCs w:val="21"/>
              </w:rPr>
              <w:t>不涉及氯气、氨气、光气、硫化氢</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t>/</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30</w:t>
            </w:r>
          </w:p>
        </w:tc>
        <w:tc>
          <w:tcPr>
            <w:tcW w:w="4688" w:type="dxa"/>
          </w:tcPr>
          <w:p w:rsidR="004F34D9" w:rsidRPr="00123108" w:rsidRDefault="004F34D9">
            <w:pPr>
              <w:adjustRightInd w:val="0"/>
              <w:snapToGrid w:val="0"/>
              <w:rPr>
                <w:rFonts w:hint="eastAsia"/>
                <w:szCs w:val="21"/>
              </w:rPr>
            </w:pPr>
            <w:r w:rsidRPr="00123108">
              <w:rPr>
                <w:rFonts w:hint="eastAsia"/>
                <w:szCs w:val="21"/>
              </w:rPr>
              <w:t>是否对存在吸入性有毒、有害气体的重大危险源，</w:t>
            </w:r>
            <w:r w:rsidRPr="00123108">
              <w:rPr>
                <w:rFonts w:hint="eastAsia"/>
                <w:szCs w:val="21"/>
              </w:rPr>
              <w:lastRenderedPageBreak/>
              <w:t>危险化学品单位应当配备便携式浓度检测设备、空气呼吸器、化学防护服、堵漏器材等应急器材和设备；涉及剧毒气体的重大危险源，还应当配备两套以上（含）气密型化学防护服；涉及易燃易爆气体或者易燃液体蒸气的重大危险源，还应当配备一定数量的便携式可燃气体检测设备。</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lastRenderedPageBreak/>
              <w:t>已配备了便携式可燃气体检测</w:t>
            </w:r>
            <w:r w:rsidRPr="00123108">
              <w:rPr>
                <w:rFonts w:hint="eastAsia"/>
                <w:szCs w:val="21"/>
              </w:rPr>
              <w:lastRenderedPageBreak/>
              <w:t>报警器及应急救援器材</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lastRenderedPageBreak/>
              <w:t>符合</w:t>
            </w:r>
          </w:p>
        </w:tc>
      </w:tr>
      <w:tr w:rsidR="004F34D9" w:rsidRPr="00123108">
        <w:trPr>
          <w:trHeight w:val="340"/>
          <w:jc w:val="center"/>
        </w:trPr>
        <w:tc>
          <w:tcPr>
            <w:tcW w:w="9181" w:type="dxa"/>
            <w:gridSpan w:val="4"/>
            <w:vAlign w:val="center"/>
          </w:tcPr>
          <w:p w:rsidR="004F34D9" w:rsidRPr="00123108" w:rsidRDefault="004F34D9">
            <w:pPr>
              <w:jc w:val="center"/>
              <w:rPr>
                <w:rFonts w:ascii="宋体" w:hAnsi="宋体" w:cs="宋体" w:hint="eastAsia"/>
                <w:szCs w:val="21"/>
              </w:rPr>
            </w:pPr>
            <w:r w:rsidRPr="00123108">
              <w:rPr>
                <w:rFonts w:ascii="宋体" w:hAnsi="宋体" w:cs="宋体" w:hint="eastAsia"/>
                <w:b/>
                <w:szCs w:val="21"/>
              </w:rPr>
              <w:t>七、安全生产投入</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b/>
                <w:szCs w:val="21"/>
              </w:rPr>
            </w:pPr>
            <w:r w:rsidRPr="00123108">
              <w:rPr>
                <w:rFonts w:ascii="宋体" w:hAnsi="宋体" w:cs="宋体" w:hint="eastAsia"/>
                <w:szCs w:val="21"/>
              </w:rPr>
              <w:t>31</w:t>
            </w:r>
          </w:p>
        </w:tc>
        <w:tc>
          <w:tcPr>
            <w:tcW w:w="4688" w:type="dxa"/>
          </w:tcPr>
          <w:p w:rsidR="004F34D9" w:rsidRPr="00123108" w:rsidRDefault="004F34D9">
            <w:pPr>
              <w:adjustRightInd w:val="0"/>
              <w:snapToGrid w:val="0"/>
              <w:rPr>
                <w:rFonts w:hint="eastAsia"/>
                <w:szCs w:val="21"/>
              </w:rPr>
            </w:pPr>
            <w:r w:rsidRPr="00123108">
              <w:rPr>
                <w:rFonts w:hint="eastAsia"/>
                <w:szCs w:val="21"/>
              </w:rPr>
              <w:t>是否建立年度符合安全生产要求的安全投入计划，足额提取与安全生产有关的费用。</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建立了安全生产投入保障制度</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t>符合</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32</w:t>
            </w:r>
          </w:p>
        </w:tc>
        <w:tc>
          <w:tcPr>
            <w:tcW w:w="4688" w:type="dxa"/>
          </w:tcPr>
          <w:p w:rsidR="004F34D9" w:rsidRPr="00123108" w:rsidRDefault="004F34D9">
            <w:pPr>
              <w:adjustRightInd w:val="0"/>
              <w:snapToGrid w:val="0"/>
              <w:rPr>
                <w:rFonts w:hint="eastAsia"/>
                <w:szCs w:val="21"/>
              </w:rPr>
            </w:pPr>
            <w:r w:rsidRPr="00123108">
              <w:rPr>
                <w:rFonts w:hint="eastAsia"/>
                <w:szCs w:val="21"/>
              </w:rPr>
              <w:t>是否依法参加工伤保险，为从业人员缴纳保险费。</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已参加工伤保险</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t>符合</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33</w:t>
            </w:r>
          </w:p>
        </w:tc>
        <w:tc>
          <w:tcPr>
            <w:tcW w:w="4688" w:type="dxa"/>
          </w:tcPr>
          <w:p w:rsidR="004F34D9" w:rsidRPr="00123108" w:rsidRDefault="004F34D9">
            <w:pPr>
              <w:adjustRightInd w:val="0"/>
              <w:snapToGrid w:val="0"/>
              <w:rPr>
                <w:rFonts w:hint="eastAsia"/>
                <w:szCs w:val="21"/>
              </w:rPr>
            </w:pPr>
            <w:r w:rsidRPr="00123108">
              <w:rPr>
                <w:rFonts w:hint="eastAsia"/>
                <w:szCs w:val="21"/>
              </w:rPr>
              <w:t>是否依照国家相关标准设置职业危害防护设施，为从业人员配备符合标准的劳动防护用品。</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已配备相应的劳动防护用品</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t>符合</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34</w:t>
            </w:r>
          </w:p>
        </w:tc>
        <w:tc>
          <w:tcPr>
            <w:tcW w:w="4688" w:type="dxa"/>
          </w:tcPr>
          <w:p w:rsidR="004F34D9" w:rsidRPr="00123108" w:rsidRDefault="004F34D9">
            <w:pPr>
              <w:adjustRightInd w:val="0"/>
              <w:snapToGrid w:val="0"/>
              <w:rPr>
                <w:rFonts w:hint="eastAsia"/>
                <w:szCs w:val="21"/>
              </w:rPr>
            </w:pPr>
            <w:r w:rsidRPr="00123108">
              <w:rPr>
                <w:rFonts w:hint="eastAsia"/>
                <w:szCs w:val="21"/>
              </w:rPr>
              <w:t>涉及危险化工工艺装置的自动化安全控制是否达到国家规定的要求。</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危险化工工艺自动化安全控制符合要求</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t>符合</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35</w:t>
            </w:r>
          </w:p>
        </w:tc>
        <w:tc>
          <w:tcPr>
            <w:tcW w:w="4688" w:type="dxa"/>
          </w:tcPr>
          <w:p w:rsidR="004F34D9" w:rsidRPr="00123108" w:rsidRDefault="004F34D9">
            <w:pPr>
              <w:adjustRightInd w:val="0"/>
              <w:snapToGrid w:val="0"/>
              <w:rPr>
                <w:rFonts w:hint="eastAsia"/>
                <w:szCs w:val="21"/>
              </w:rPr>
            </w:pPr>
            <w:r w:rsidRPr="00123108">
              <w:rPr>
                <w:rFonts w:hint="eastAsia"/>
                <w:szCs w:val="21"/>
              </w:rPr>
              <w:t>是否委托具备国家规定资质的安全评价机构进行安全评价，安全评价报告是否处于有效期内。</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现状评价报告在有效期限内</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t>符合</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36</w:t>
            </w:r>
          </w:p>
        </w:tc>
        <w:tc>
          <w:tcPr>
            <w:tcW w:w="4688" w:type="dxa"/>
          </w:tcPr>
          <w:p w:rsidR="004F34D9" w:rsidRPr="00123108" w:rsidRDefault="004F34D9">
            <w:pPr>
              <w:adjustRightInd w:val="0"/>
              <w:snapToGrid w:val="0"/>
              <w:rPr>
                <w:rFonts w:hint="eastAsia"/>
                <w:szCs w:val="21"/>
              </w:rPr>
            </w:pPr>
            <w:r w:rsidRPr="00123108">
              <w:rPr>
                <w:rFonts w:hint="eastAsia"/>
                <w:szCs w:val="21"/>
              </w:rPr>
              <w:t>安全评价报告对安全评价结论是否明确，需整改的问题是否有明确的整改意见和整改落实情况的确认报告。</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安全评价报告结论明确，有明确的整改意见，提出的问题已落实整改</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t>符合</w:t>
            </w:r>
          </w:p>
        </w:tc>
      </w:tr>
      <w:tr w:rsidR="004F34D9" w:rsidRPr="00123108">
        <w:trPr>
          <w:trHeight w:val="340"/>
          <w:jc w:val="center"/>
        </w:trPr>
        <w:tc>
          <w:tcPr>
            <w:tcW w:w="9181" w:type="dxa"/>
            <w:gridSpan w:val="4"/>
            <w:vAlign w:val="center"/>
          </w:tcPr>
          <w:p w:rsidR="004F34D9" w:rsidRPr="00123108" w:rsidRDefault="004F34D9">
            <w:pPr>
              <w:jc w:val="center"/>
              <w:rPr>
                <w:rFonts w:ascii="宋体" w:hAnsi="宋体" w:cs="宋体" w:hint="eastAsia"/>
                <w:szCs w:val="21"/>
              </w:rPr>
            </w:pPr>
            <w:r w:rsidRPr="00123108">
              <w:rPr>
                <w:rFonts w:ascii="宋体" w:hAnsi="宋体" w:cs="宋体" w:hint="eastAsia"/>
                <w:b/>
                <w:szCs w:val="21"/>
              </w:rPr>
              <w:t>八、安全生产其他要求</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b/>
                <w:szCs w:val="21"/>
              </w:rPr>
            </w:pPr>
            <w:r w:rsidRPr="00123108">
              <w:rPr>
                <w:rFonts w:ascii="宋体" w:hAnsi="宋体" w:cs="宋体" w:hint="eastAsia"/>
                <w:szCs w:val="21"/>
              </w:rPr>
              <w:t>37</w:t>
            </w:r>
          </w:p>
        </w:tc>
        <w:tc>
          <w:tcPr>
            <w:tcW w:w="4688" w:type="dxa"/>
          </w:tcPr>
          <w:p w:rsidR="004F34D9" w:rsidRPr="00123108" w:rsidRDefault="004F34D9">
            <w:pPr>
              <w:adjustRightInd w:val="0"/>
              <w:snapToGrid w:val="0"/>
              <w:rPr>
                <w:rFonts w:hint="eastAsia"/>
                <w:szCs w:val="21"/>
              </w:rPr>
            </w:pPr>
            <w:r w:rsidRPr="00123108">
              <w:rPr>
                <w:rFonts w:hint="eastAsia"/>
                <w:szCs w:val="21"/>
              </w:rPr>
              <w:t>是否依法进行危险化学品登记或开展登记相关工作。</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危险化学品已进行登记</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t>符合</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38</w:t>
            </w:r>
          </w:p>
        </w:tc>
        <w:tc>
          <w:tcPr>
            <w:tcW w:w="4688" w:type="dxa"/>
          </w:tcPr>
          <w:p w:rsidR="004F34D9" w:rsidRPr="00123108" w:rsidRDefault="004F34D9">
            <w:pPr>
              <w:adjustRightInd w:val="0"/>
              <w:snapToGrid w:val="0"/>
              <w:rPr>
                <w:rFonts w:hint="eastAsia"/>
                <w:szCs w:val="21"/>
              </w:rPr>
            </w:pPr>
            <w:r w:rsidRPr="00123108">
              <w:rPr>
                <w:rFonts w:hint="eastAsia"/>
                <w:szCs w:val="21"/>
              </w:rPr>
              <w:t>安全技术说明书和安全标签是否符合国家相关标准。</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安全技术说明书和安全标签符合国家相关标准</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t>符合</w:t>
            </w:r>
          </w:p>
        </w:tc>
      </w:tr>
      <w:tr w:rsidR="004F34D9" w:rsidRPr="00123108">
        <w:trPr>
          <w:trHeight w:val="340"/>
          <w:jc w:val="center"/>
        </w:trPr>
        <w:tc>
          <w:tcPr>
            <w:tcW w:w="838" w:type="dxa"/>
            <w:vAlign w:val="center"/>
          </w:tcPr>
          <w:p w:rsidR="004F34D9" w:rsidRPr="00123108" w:rsidRDefault="004F34D9">
            <w:pPr>
              <w:jc w:val="center"/>
              <w:rPr>
                <w:rFonts w:ascii="宋体" w:hAnsi="宋体" w:cs="宋体" w:hint="eastAsia"/>
                <w:szCs w:val="21"/>
              </w:rPr>
            </w:pPr>
            <w:r w:rsidRPr="00123108">
              <w:rPr>
                <w:rFonts w:ascii="宋体" w:hAnsi="宋体" w:cs="宋体" w:hint="eastAsia"/>
                <w:szCs w:val="21"/>
              </w:rPr>
              <w:t>39</w:t>
            </w:r>
          </w:p>
        </w:tc>
        <w:tc>
          <w:tcPr>
            <w:tcW w:w="4688" w:type="dxa"/>
            <w:vAlign w:val="center"/>
          </w:tcPr>
          <w:p w:rsidR="004F34D9" w:rsidRPr="00123108" w:rsidRDefault="004F34D9">
            <w:pPr>
              <w:adjustRightInd w:val="0"/>
              <w:snapToGrid w:val="0"/>
              <w:rPr>
                <w:rFonts w:hint="eastAsia"/>
                <w:szCs w:val="21"/>
              </w:rPr>
            </w:pPr>
            <w:r w:rsidRPr="00123108">
              <w:rPr>
                <w:rFonts w:hint="eastAsia"/>
                <w:szCs w:val="21"/>
              </w:rPr>
              <w:t>是否在危险化学品包装（包括外包装件）上粘贴或者拴挂与包装内危险化学品相符的化学品安全标签，并为用户提供化学品安全技术说明书。</w:t>
            </w:r>
          </w:p>
        </w:tc>
        <w:tc>
          <w:tcPr>
            <w:tcW w:w="2974" w:type="dxa"/>
            <w:vAlign w:val="center"/>
          </w:tcPr>
          <w:p w:rsidR="004F34D9" w:rsidRPr="00123108" w:rsidRDefault="004F34D9">
            <w:pPr>
              <w:adjustRightInd w:val="0"/>
              <w:snapToGrid w:val="0"/>
              <w:rPr>
                <w:rFonts w:hint="eastAsia"/>
                <w:szCs w:val="21"/>
              </w:rPr>
            </w:pPr>
            <w:r w:rsidRPr="00123108">
              <w:rPr>
                <w:rFonts w:hint="eastAsia"/>
                <w:szCs w:val="21"/>
              </w:rPr>
              <w:t>已制定相关产品安全技术标签</w:t>
            </w:r>
          </w:p>
        </w:tc>
        <w:tc>
          <w:tcPr>
            <w:tcW w:w="681" w:type="dxa"/>
            <w:vAlign w:val="center"/>
          </w:tcPr>
          <w:p w:rsidR="004F34D9" w:rsidRPr="00123108" w:rsidRDefault="004F34D9">
            <w:pPr>
              <w:adjustRightInd w:val="0"/>
              <w:snapToGrid w:val="0"/>
              <w:rPr>
                <w:rFonts w:hint="eastAsia"/>
                <w:szCs w:val="21"/>
              </w:rPr>
            </w:pPr>
            <w:r w:rsidRPr="00123108">
              <w:rPr>
                <w:rFonts w:hint="eastAsia"/>
                <w:szCs w:val="21"/>
              </w:rPr>
              <w:t>符合</w:t>
            </w:r>
          </w:p>
        </w:tc>
      </w:tr>
    </w:tbl>
    <w:p w:rsidR="004F34D9" w:rsidRPr="00123108" w:rsidRDefault="004F34D9">
      <w:pPr>
        <w:spacing w:line="500" w:lineRule="exact"/>
        <w:ind w:firstLineChars="200" w:firstLine="560"/>
        <w:rPr>
          <w:rFonts w:ascii="宋体" w:hAnsi="宋体" w:cs="宋体" w:hint="eastAsia"/>
          <w:sz w:val="28"/>
          <w:szCs w:val="28"/>
        </w:rPr>
      </w:pPr>
      <w:r w:rsidRPr="00123108">
        <w:rPr>
          <w:rFonts w:cs="宋体" w:hint="eastAsia"/>
          <w:sz w:val="28"/>
          <w:szCs w:val="28"/>
        </w:rPr>
        <w:t>小结：新桥化工</w:t>
      </w:r>
      <w:r w:rsidRPr="00123108">
        <w:rPr>
          <w:rFonts w:ascii="宋体" w:hAnsi="宋体" w:cs="宋体" w:hint="eastAsia"/>
          <w:sz w:val="28"/>
          <w:szCs w:val="28"/>
        </w:rPr>
        <w:t>选址符合规划和布局要求、未使用明令淘汰、禁止使用工艺、相关装置已设置自控系统，相关场所已设置可燃气体检测报警器等安全设施、已制定相关管理制度。</w:t>
      </w:r>
    </w:p>
    <w:p w:rsidR="004F34D9" w:rsidRPr="00123108" w:rsidRDefault="004F34D9">
      <w:pPr>
        <w:spacing w:line="500" w:lineRule="exact"/>
        <w:ind w:left="560"/>
        <w:rPr>
          <w:rFonts w:ascii="宋体" w:hAnsi="宋体" w:cs="宋体" w:hint="eastAsia"/>
          <w:sz w:val="28"/>
          <w:szCs w:val="28"/>
        </w:rPr>
      </w:pPr>
      <w:r w:rsidRPr="00123108">
        <w:rPr>
          <w:rFonts w:ascii="宋体" w:hAnsi="宋体" w:cs="宋体" w:hint="eastAsia"/>
          <w:sz w:val="28"/>
          <w:szCs w:val="28"/>
        </w:rPr>
        <w:t>存在问题：</w:t>
      </w:r>
    </w:p>
    <w:p w:rsidR="004F34D9" w:rsidRPr="00123108" w:rsidRDefault="004F34D9">
      <w:pPr>
        <w:numPr>
          <w:ilvl w:val="0"/>
          <w:numId w:val="68"/>
        </w:numPr>
        <w:spacing w:line="500" w:lineRule="exact"/>
        <w:ind w:left="0" w:firstLineChars="200" w:firstLine="560"/>
        <w:rPr>
          <w:rFonts w:ascii="宋体" w:hAnsi="宋体" w:hint="eastAsia"/>
          <w:sz w:val="28"/>
          <w:szCs w:val="28"/>
        </w:rPr>
      </w:pPr>
      <w:r w:rsidRPr="00123108">
        <w:rPr>
          <w:rFonts w:ascii="宋体" w:hAnsi="宋体"/>
          <w:sz w:val="28"/>
          <w:szCs w:val="28"/>
        </w:rPr>
        <w:t>二甲苯</w:t>
      </w:r>
      <w:r w:rsidRPr="00123108">
        <w:rPr>
          <w:rFonts w:ascii="宋体" w:hAnsi="宋体" w:hint="eastAsia"/>
          <w:sz w:val="28"/>
          <w:szCs w:val="28"/>
        </w:rPr>
        <w:t>与主要道路及与冷库防火间距不足。</w:t>
      </w:r>
    </w:p>
    <w:p w:rsidR="004F34D9" w:rsidRPr="00123108" w:rsidRDefault="004F34D9">
      <w:pPr>
        <w:numPr>
          <w:ilvl w:val="0"/>
          <w:numId w:val="68"/>
        </w:numPr>
        <w:spacing w:line="500" w:lineRule="exact"/>
        <w:ind w:left="0" w:firstLineChars="200" w:firstLine="560"/>
        <w:rPr>
          <w:rFonts w:ascii="宋体" w:hAnsi="宋体" w:hint="eastAsia"/>
          <w:sz w:val="28"/>
          <w:szCs w:val="28"/>
        </w:rPr>
      </w:pPr>
      <w:r w:rsidRPr="00123108">
        <w:rPr>
          <w:rFonts w:ascii="宋体" w:hAnsi="宋体" w:hint="eastAsia"/>
          <w:sz w:val="28"/>
          <w:szCs w:val="28"/>
        </w:rPr>
        <w:t>B筛析部与四号仓库防火间距不足。</w:t>
      </w:r>
    </w:p>
    <w:p w:rsidR="004F34D9" w:rsidRPr="00123108" w:rsidRDefault="004F34D9" w:rsidP="00E36E64">
      <w:pPr>
        <w:pStyle w:val="2"/>
        <w:spacing w:line="500" w:lineRule="exact"/>
        <w:jc w:val="both"/>
        <w:rPr>
          <w:rFonts w:ascii="宋体" w:eastAsia="宋体" w:cs="宋体" w:hint="eastAsia"/>
          <w:sz w:val="28"/>
          <w:szCs w:val="28"/>
        </w:rPr>
      </w:pPr>
      <w:bookmarkStart w:id="1838" w:name="_Toc3809150"/>
      <w:bookmarkStart w:id="1839" w:name="_Toc393724238"/>
      <w:bookmarkStart w:id="1840" w:name="_Toc190935920"/>
      <w:bookmarkEnd w:id="1735"/>
      <w:r w:rsidRPr="00123108">
        <w:rPr>
          <w:rFonts w:ascii="宋体" w:eastAsia="宋体" w:cs="宋体" w:hint="eastAsia"/>
          <w:sz w:val="28"/>
          <w:szCs w:val="28"/>
        </w:rPr>
        <w:t>附件2.14 危险化学品企业安全风险隐患排查</w:t>
      </w:r>
      <w:bookmarkEnd w:id="1840"/>
    </w:p>
    <w:p w:rsidR="004F34D9" w:rsidRPr="00123108" w:rsidRDefault="004F34D9">
      <w:pPr>
        <w:spacing w:line="500" w:lineRule="exact"/>
        <w:ind w:firstLineChars="200" w:firstLine="560"/>
        <w:rPr>
          <w:rFonts w:ascii="宋体" w:hAnsi="宋体" w:hint="eastAsia"/>
          <w:sz w:val="28"/>
          <w:szCs w:val="28"/>
        </w:rPr>
      </w:pPr>
      <w:r w:rsidRPr="00123108">
        <w:rPr>
          <w:rFonts w:ascii="宋体" w:hAnsi="宋体" w:hint="eastAsia"/>
          <w:sz w:val="28"/>
          <w:szCs w:val="28"/>
        </w:rPr>
        <w:t>新桥化工依据《</w:t>
      </w:r>
      <w:r w:rsidRPr="00123108">
        <w:rPr>
          <w:rFonts w:ascii="宋体" w:hAnsi="宋体" w:cs="宋体" w:hint="eastAsia"/>
          <w:b/>
          <w:bCs/>
          <w:sz w:val="28"/>
          <w:szCs w:val="28"/>
        </w:rPr>
        <w:t>危险化学品企业安全风险隐患排查导则</w:t>
      </w:r>
      <w:r w:rsidRPr="00123108">
        <w:rPr>
          <w:rFonts w:ascii="宋体" w:hAnsi="宋体" w:hint="eastAsia"/>
          <w:sz w:val="28"/>
          <w:szCs w:val="28"/>
        </w:rPr>
        <w:t>》进行自查，检查结果见附表2.14-1，已完成整改。</w:t>
      </w:r>
    </w:p>
    <w:p w:rsidR="004F34D9" w:rsidRPr="00123108" w:rsidRDefault="004F34D9">
      <w:pPr>
        <w:spacing w:line="360" w:lineRule="auto"/>
        <w:jc w:val="center"/>
        <w:rPr>
          <w:rFonts w:ascii="宋体" w:hAnsi="宋体" w:cs="宋体" w:hint="eastAsia"/>
          <w:b/>
          <w:bCs/>
          <w:sz w:val="28"/>
          <w:szCs w:val="28"/>
        </w:rPr>
      </w:pPr>
      <w:r w:rsidRPr="00123108">
        <w:rPr>
          <w:rFonts w:ascii="宋体" w:hAnsi="宋体" w:cs="宋体" w:hint="eastAsia"/>
          <w:b/>
          <w:bCs/>
          <w:sz w:val="28"/>
          <w:szCs w:val="28"/>
        </w:rPr>
        <w:t>附表2.14-1 近期隐患排查治理导则等自查问题整改情况</w:t>
      </w:r>
    </w:p>
    <w:tbl>
      <w:tblPr>
        <w:tblW w:w="9401" w:type="dxa"/>
        <w:jc w:val="center"/>
        <w:tblInd w:w="0" w:type="dxa"/>
        <w:tblLook w:val="0000" w:firstRow="0" w:lastRow="0" w:firstColumn="0" w:lastColumn="0" w:noHBand="0" w:noVBand="0"/>
      </w:tblPr>
      <w:tblGrid>
        <w:gridCol w:w="578"/>
        <w:gridCol w:w="1144"/>
        <w:gridCol w:w="1075"/>
        <w:gridCol w:w="3078"/>
        <w:gridCol w:w="1902"/>
        <w:gridCol w:w="1624"/>
      </w:tblGrid>
      <w:tr w:rsidR="004F34D9" w:rsidRPr="00123108">
        <w:trPr>
          <w:cantSplit/>
          <w:trHeight w:val="340"/>
          <w:jc w:val="center"/>
        </w:trPr>
        <w:tc>
          <w:tcPr>
            <w:tcW w:w="523"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adjustRightInd w:val="0"/>
              <w:snapToGrid w:val="0"/>
              <w:rPr>
                <w:szCs w:val="21"/>
              </w:rPr>
            </w:pPr>
            <w:r w:rsidRPr="00123108">
              <w:rPr>
                <w:rFonts w:hint="eastAsia"/>
                <w:szCs w:val="21"/>
              </w:rPr>
              <w:lastRenderedPageBreak/>
              <w:t>序号</w:t>
            </w:r>
          </w:p>
        </w:tc>
        <w:tc>
          <w:tcPr>
            <w:tcW w:w="1035" w:type="dxa"/>
            <w:tcBorders>
              <w:top w:val="single" w:sz="4" w:space="0" w:color="auto"/>
              <w:left w:val="nil"/>
              <w:bottom w:val="single" w:sz="4" w:space="0" w:color="auto"/>
              <w:right w:val="single" w:sz="4" w:space="0" w:color="auto"/>
            </w:tcBorders>
            <w:vAlign w:val="center"/>
          </w:tcPr>
          <w:p w:rsidR="004F34D9" w:rsidRPr="00123108" w:rsidRDefault="004F34D9">
            <w:pPr>
              <w:adjustRightInd w:val="0"/>
              <w:snapToGrid w:val="0"/>
              <w:rPr>
                <w:szCs w:val="21"/>
              </w:rPr>
            </w:pPr>
            <w:r w:rsidRPr="00123108">
              <w:rPr>
                <w:rFonts w:hint="eastAsia"/>
                <w:szCs w:val="21"/>
              </w:rPr>
              <w:t xml:space="preserve">　</w:t>
            </w:r>
          </w:p>
        </w:tc>
        <w:tc>
          <w:tcPr>
            <w:tcW w:w="973" w:type="dxa"/>
            <w:tcBorders>
              <w:top w:val="single" w:sz="4" w:space="0" w:color="auto"/>
              <w:left w:val="nil"/>
              <w:bottom w:val="single" w:sz="4" w:space="0" w:color="auto"/>
              <w:right w:val="single" w:sz="4" w:space="0" w:color="auto"/>
            </w:tcBorders>
            <w:vAlign w:val="center"/>
          </w:tcPr>
          <w:p w:rsidR="004F34D9" w:rsidRPr="00123108" w:rsidRDefault="004F34D9">
            <w:pPr>
              <w:adjustRightInd w:val="0"/>
              <w:snapToGrid w:val="0"/>
              <w:rPr>
                <w:szCs w:val="21"/>
              </w:rPr>
            </w:pPr>
            <w:r w:rsidRPr="00123108">
              <w:rPr>
                <w:rFonts w:hint="eastAsia"/>
                <w:szCs w:val="21"/>
              </w:rPr>
              <w:t xml:space="preserve">　</w:t>
            </w:r>
          </w:p>
        </w:tc>
        <w:tc>
          <w:tcPr>
            <w:tcW w:w="2786" w:type="dxa"/>
            <w:tcBorders>
              <w:top w:val="single" w:sz="4" w:space="0" w:color="auto"/>
              <w:left w:val="nil"/>
              <w:bottom w:val="single" w:sz="4" w:space="0" w:color="auto"/>
              <w:right w:val="single" w:sz="4" w:space="0" w:color="auto"/>
            </w:tcBorders>
            <w:vAlign w:val="center"/>
          </w:tcPr>
          <w:p w:rsidR="004F34D9" w:rsidRPr="00123108" w:rsidRDefault="004F34D9">
            <w:pPr>
              <w:adjustRightInd w:val="0"/>
              <w:snapToGrid w:val="0"/>
              <w:rPr>
                <w:szCs w:val="21"/>
              </w:rPr>
            </w:pPr>
            <w:r w:rsidRPr="00123108">
              <w:rPr>
                <w:rFonts w:hint="eastAsia"/>
                <w:szCs w:val="21"/>
              </w:rPr>
              <w:t>排查内容</w:t>
            </w:r>
          </w:p>
        </w:tc>
        <w:tc>
          <w:tcPr>
            <w:tcW w:w="1721" w:type="dxa"/>
            <w:tcBorders>
              <w:top w:val="single" w:sz="4" w:space="0" w:color="auto"/>
              <w:left w:val="nil"/>
              <w:bottom w:val="single" w:sz="4" w:space="0" w:color="auto"/>
              <w:right w:val="single" w:sz="4" w:space="0" w:color="auto"/>
            </w:tcBorders>
            <w:vAlign w:val="center"/>
          </w:tcPr>
          <w:p w:rsidR="004F34D9" w:rsidRPr="00123108" w:rsidRDefault="004F34D9">
            <w:pPr>
              <w:adjustRightInd w:val="0"/>
              <w:snapToGrid w:val="0"/>
              <w:rPr>
                <w:szCs w:val="21"/>
              </w:rPr>
            </w:pPr>
            <w:r w:rsidRPr="00123108">
              <w:rPr>
                <w:rFonts w:hint="eastAsia"/>
                <w:szCs w:val="21"/>
              </w:rPr>
              <w:t>排查依据</w:t>
            </w:r>
          </w:p>
        </w:tc>
        <w:tc>
          <w:tcPr>
            <w:tcW w:w="1470" w:type="dxa"/>
            <w:tcBorders>
              <w:top w:val="single" w:sz="4" w:space="0" w:color="auto"/>
              <w:left w:val="nil"/>
              <w:bottom w:val="single" w:sz="4" w:space="0" w:color="auto"/>
              <w:right w:val="single" w:sz="4" w:space="0" w:color="auto"/>
            </w:tcBorders>
            <w:vAlign w:val="center"/>
          </w:tcPr>
          <w:p w:rsidR="004F34D9" w:rsidRPr="00123108" w:rsidRDefault="004F34D9">
            <w:pPr>
              <w:adjustRightInd w:val="0"/>
              <w:snapToGrid w:val="0"/>
              <w:rPr>
                <w:szCs w:val="21"/>
              </w:rPr>
            </w:pPr>
            <w:r w:rsidRPr="00123108">
              <w:rPr>
                <w:rFonts w:hint="eastAsia"/>
                <w:szCs w:val="21"/>
              </w:rPr>
              <w:t>自查结果</w:t>
            </w:r>
          </w:p>
        </w:tc>
      </w:tr>
      <w:tr w:rsidR="004F34D9" w:rsidRPr="00123108">
        <w:trPr>
          <w:cantSplit/>
          <w:trHeight w:val="340"/>
          <w:jc w:val="center"/>
        </w:trPr>
        <w:tc>
          <w:tcPr>
            <w:tcW w:w="523" w:type="dxa"/>
            <w:tcBorders>
              <w:top w:val="nil"/>
              <w:left w:val="single" w:sz="4" w:space="0" w:color="auto"/>
              <w:bottom w:val="single" w:sz="4" w:space="0" w:color="auto"/>
              <w:right w:val="single" w:sz="4" w:space="0" w:color="auto"/>
            </w:tcBorders>
            <w:vAlign w:val="center"/>
          </w:tcPr>
          <w:p w:rsidR="004F34D9" w:rsidRPr="00123108" w:rsidRDefault="004F34D9">
            <w:pPr>
              <w:widowControl/>
              <w:jc w:val="center"/>
              <w:rPr>
                <w:rFonts w:ascii="宋体" w:hAnsi="宋体" w:cs="宋体"/>
                <w:kern w:val="0"/>
                <w:sz w:val="20"/>
                <w:szCs w:val="20"/>
              </w:rPr>
            </w:pPr>
            <w:r w:rsidRPr="00123108">
              <w:rPr>
                <w:rFonts w:ascii="宋体" w:hAnsi="宋体" w:cs="宋体" w:hint="eastAsia"/>
                <w:kern w:val="0"/>
                <w:sz w:val="20"/>
                <w:szCs w:val="20"/>
              </w:rPr>
              <w:t>1</w:t>
            </w:r>
          </w:p>
        </w:tc>
        <w:tc>
          <w:tcPr>
            <w:tcW w:w="1035" w:type="dxa"/>
            <w:vMerge w:val="restart"/>
            <w:tcBorders>
              <w:top w:val="nil"/>
              <w:left w:val="single" w:sz="4" w:space="0" w:color="auto"/>
              <w:bottom w:val="single" w:sz="4" w:space="0" w:color="auto"/>
              <w:right w:val="single" w:sz="4" w:space="0" w:color="auto"/>
            </w:tcBorders>
            <w:vAlign w:val="center"/>
          </w:tcPr>
          <w:p w:rsidR="004F34D9" w:rsidRPr="00123108" w:rsidRDefault="004F34D9">
            <w:pPr>
              <w:adjustRightInd w:val="0"/>
              <w:snapToGrid w:val="0"/>
              <w:rPr>
                <w:szCs w:val="21"/>
              </w:rPr>
            </w:pPr>
            <w:r w:rsidRPr="00123108">
              <w:rPr>
                <w:rFonts w:hint="eastAsia"/>
                <w:szCs w:val="21"/>
              </w:rPr>
              <w:t>设备安全</w:t>
            </w:r>
          </w:p>
        </w:tc>
        <w:tc>
          <w:tcPr>
            <w:tcW w:w="973" w:type="dxa"/>
            <w:tcBorders>
              <w:top w:val="nil"/>
              <w:left w:val="nil"/>
              <w:bottom w:val="single" w:sz="4" w:space="0" w:color="auto"/>
              <w:right w:val="single" w:sz="4" w:space="0" w:color="auto"/>
            </w:tcBorders>
            <w:vAlign w:val="center"/>
          </w:tcPr>
          <w:p w:rsidR="004F34D9" w:rsidRPr="00123108" w:rsidRDefault="004F34D9">
            <w:pPr>
              <w:adjustRightInd w:val="0"/>
              <w:snapToGrid w:val="0"/>
              <w:rPr>
                <w:szCs w:val="21"/>
              </w:rPr>
            </w:pPr>
            <w:r w:rsidRPr="00123108">
              <w:rPr>
                <w:rFonts w:hint="eastAsia"/>
                <w:szCs w:val="21"/>
              </w:rPr>
              <w:t>设备设施管理体系的建立与执行</w:t>
            </w:r>
          </w:p>
        </w:tc>
        <w:tc>
          <w:tcPr>
            <w:tcW w:w="2786" w:type="dxa"/>
            <w:tcBorders>
              <w:top w:val="nil"/>
              <w:left w:val="nil"/>
              <w:bottom w:val="single" w:sz="4" w:space="0" w:color="auto"/>
              <w:right w:val="single" w:sz="4" w:space="0" w:color="auto"/>
            </w:tcBorders>
            <w:vAlign w:val="center"/>
          </w:tcPr>
          <w:p w:rsidR="004F34D9" w:rsidRPr="00123108" w:rsidRDefault="004F34D9">
            <w:pPr>
              <w:adjustRightInd w:val="0"/>
              <w:snapToGrid w:val="0"/>
              <w:rPr>
                <w:szCs w:val="21"/>
              </w:rPr>
            </w:pPr>
            <w:r w:rsidRPr="00123108">
              <w:rPr>
                <w:rFonts w:hint="eastAsia"/>
                <w:szCs w:val="21"/>
              </w:rPr>
              <w:t>企业应对所有设备进行编号，建立设备设施台账、技术档案，确保设备台账、档案信息准确、完备。</w:t>
            </w:r>
          </w:p>
        </w:tc>
        <w:tc>
          <w:tcPr>
            <w:tcW w:w="1721" w:type="dxa"/>
            <w:tcBorders>
              <w:top w:val="nil"/>
              <w:left w:val="nil"/>
              <w:bottom w:val="single" w:sz="4" w:space="0" w:color="auto"/>
              <w:right w:val="single" w:sz="4" w:space="0" w:color="auto"/>
            </w:tcBorders>
            <w:vAlign w:val="center"/>
          </w:tcPr>
          <w:p w:rsidR="004F34D9" w:rsidRPr="00123108" w:rsidRDefault="004F34D9">
            <w:pPr>
              <w:adjustRightInd w:val="0"/>
              <w:snapToGrid w:val="0"/>
              <w:rPr>
                <w:szCs w:val="21"/>
              </w:rPr>
            </w:pPr>
            <w:r w:rsidRPr="00123108">
              <w:rPr>
                <w:rFonts w:hint="eastAsia"/>
                <w:szCs w:val="21"/>
              </w:rPr>
              <w:t>《关于加强化工过程安全管理的指导意见》（安监总管三〔</w:t>
            </w:r>
            <w:r w:rsidRPr="00123108">
              <w:rPr>
                <w:rFonts w:hint="eastAsia"/>
                <w:szCs w:val="21"/>
              </w:rPr>
              <w:t>2013</w:t>
            </w:r>
            <w:r w:rsidRPr="00123108">
              <w:rPr>
                <w:rFonts w:hint="eastAsia"/>
                <w:szCs w:val="21"/>
              </w:rPr>
              <w:t>〕</w:t>
            </w:r>
            <w:r w:rsidRPr="00123108">
              <w:rPr>
                <w:rFonts w:hint="eastAsia"/>
                <w:szCs w:val="21"/>
              </w:rPr>
              <w:t>88</w:t>
            </w:r>
            <w:r w:rsidRPr="00123108">
              <w:rPr>
                <w:rFonts w:hint="eastAsia"/>
                <w:szCs w:val="21"/>
              </w:rPr>
              <w:t>号）第十六条</w:t>
            </w:r>
          </w:p>
        </w:tc>
        <w:tc>
          <w:tcPr>
            <w:tcW w:w="1470" w:type="dxa"/>
            <w:tcBorders>
              <w:top w:val="nil"/>
              <w:left w:val="nil"/>
              <w:bottom w:val="single" w:sz="4" w:space="0" w:color="auto"/>
              <w:right w:val="single" w:sz="4" w:space="0" w:color="auto"/>
            </w:tcBorders>
            <w:vAlign w:val="center"/>
          </w:tcPr>
          <w:p w:rsidR="004F34D9" w:rsidRPr="00123108" w:rsidRDefault="004F34D9">
            <w:pPr>
              <w:adjustRightInd w:val="0"/>
              <w:snapToGrid w:val="0"/>
              <w:rPr>
                <w:szCs w:val="21"/>
              </w:rPr>
            </w:pPr>
            <w:r w:rsidRPr="00123108">
              <w:rPr>
                <w:rFonts w:hint="eastAsia"/>
                <w:szCs w:val="21"/>
              </w:rPr>
              <w:t>部分管道标识褪色、不清晰</w:t>
            </w:r>
          </w:p>
        </w:tc>
      </w:tr>
      <w:tr w:rsidR="004F34D9" w:rsidRPr="00123108">
        <w:trPr>
          <w:cantSplit/>
          <w:trHeight w:val="340"/>
          <w:jc w:val="center"/>
        </w:trPr>
        <w:tc>
          <w:tcPr>
            <w:tcW w:w="523" w:type="dxa"/>
            <w:tcBorders>
              <w:top w:val="nil"/>
              <w:left w:val="single" w:sz="4" w:space="0" w:color="auto"/>
              <w:bottom w:val="single" w:sz="4" w:space="0" w:color="auto"/>
              <w:right w:val="single" w:sz="4" w:space="0" w:color="auto"/>
            </w:tcBorders>
            <w:vAlign w:val="center"/>
          </w:tcPr>
          <w:p w:rsidR="004F34D9" w:rsidRPr="00123108" w:rsidRDefault="004F34D9">
            <w:pPr>
              <w:widowControl/>
              <w:jc w:val="center"/>
              <w:rPr>
                <w:rFonts w:ascii="宋体" w:hAnsi="宋体" w:cs="宋体"/>
                <w:kern w:val="0"/>
                <w:sz w:val="20"/>
                <w:szCs w:val="20"/>
              </w:rPr>
            </w:pPr>
            <w:r w:rsidRPr="00123108">
              <w:rPr>
                <w:rFonts w:ascii="宋体" w:hAnsi="宋体" w:cs="宋体" w:hint="eastAsia"/>
                <w:kern w:val="0"/>
                <w:sz w:val="20"/>
                <w:szCs w:val="20"/>
              </w:rPr>
              <w:t>2</w:t>
            </w:r>
          </w:p>
        </w:tc>
        <w:tc>
          <w:tcPr>
            <w:tcW w:w="1035" w:type="dxa"/>
            <w:vMerge/>
            <w:tcBorders>
              <w:top w:val="nil"/>
              <w:left w:val="single" w:sz="4" w:space="0" w:color="auto"/>
              <w:bottom w:val="single" w:sz="4" w:space="0" w:color="auto"/>
              <w:right w:val="single" w:sz="4" w:space="0" w:color="auto"/>
            </w:tcBorders>
            <w:vAlign w:val="center"/>
          </w:tcPr>
          <w:p w:rsidR="004F34D9" w:rsidRPr="00123108" w:rsidRDefault="004F34D9">
            <w:pPr>
              <w:adjustRightInd w:val="0"/>
              <w:snapToGrid w:val="0"/>
              <w:rPr>
                <w:szCs w:val="21"/>
              </w:rPr>
            </w:pPr>
          </w:p>
        </w:tc>
        <w:tc>
          <w:tcPr>
            <w:tcW w:w="973" w:type="dxa"/>
            <w:tcBorders>
              <w:top w:val="nil"/>
              <w:left w:val="nil"/>
              <w:bottom w:val="single" w:sz="4" w:space="0" w:color="auto"/>
              <w:right w:val="single" w:sz="4" w:space="0" w:color="auto"/>
            </w:tcBorders>
            <w:vAlign w:val="center"/>
          </w:tcPr>
          <w:p w:rsidR="004F34D9" w:rsidRPr="00123108" w:rsidRDefault="004F34D9">
            <w:pPr>
              <w:adjustRightInd w:val="0"/>
              <w:snapToGrid w:val="0"/>
              <w:rPr>
                <w:szCs w:val="21"/>
              </w:rPr>
            </w:pPr>
            <w:r w:rsidRPr="00123108">
              <w:rPr>
                <w:rFonts w:hint="eastAsia"/>
                <w:szCs w:val="21"/>
              </w:rPr>
              <w:t>安全附件的管理</w:t>
            </w:r>
          </w:p>
        </w:tc>
        <w:tc>
          <w:tcPr>
            <w:tcW w:w="2786" w:type="dxa"/>
            <w:tcBorders>
              <w:top w:val="nil"/>
              <w:left w:val="nil"/>
              <w:bottom w:val="single" w:sz="4" w:space="0" w:color="auto"/>
              <w:right w:val="single" w:sz="4" w:space="0" w:color="auto"/>
            </w:tcBorders>
            <w:vAlign w:val="center"/>
          </w:tcPr>
          <w:p w:rsidR="004F34D9" w:rsidRPr="00123108" w:rsidRDefault="004F34D9">
            <w:pPr>
              <w:adjustRightInd w:val="0"/>
              <w:snapToGrid w:val="0"/>
              <w:rPr>
                <w:szCs w:val="21"/>
              </w:rPr>
            </w:pPr>
            <w:r w:rsidRPr="00123108">
              <w:rPr>
                <w:rFonts w:hint="eastAsia"/>
                <w:szCs w:val="21"/>
              </w:rPr>
              <w:t>企业应建立安全附件台账、爆破片更换记录。</w:t>
            </w:r>
          </w:p>
        </w:tc>
        <w:tc>
          <w:tcPr>
            <w:tcW w:w="1721" w:type="dxa"/>
            <w:tcBorders>
              <w:top w:val="nil"/>
              <w:left w:val="nil"/>
              <w:bottom w:val="single" w:sz="4" w:space="0" w:color="auto"/>
              <w:right w:val="single" w:sz="4" w:space="0" w:color="auto"/>
            </w:tcBorders>
            <w:vAlign w:val="center"/>
          </w:tcPr>
          <w:p w:rsidR="004F34D9" w:rsidRPr="00123108" w:rsidRDefault="004F34D9">
            <w:pPr>
              <w:adjustRightInd w:val="0"/>
              <w:snapToGrid w:val="0"/>
              <w:rPr>
                <w:szCs w:val="21"/>
              </w:rPr>
            </w:pPr>
            <w:r w:rsidRPr="00123108">
              <w:rPr>
                <w:rFonts w:hint="eastAsia"/>
                <w:szCs w:val="21"/>
              </w:rPr>
              <w:t xml:space="preserve">　</w:t>
            </w:r>
          </w:p>
        </w:tc>
        <w:tc>
          <w:tcPr>
            <w:tcW w:w="1470" w:type="dxa"/>
            <w:tcBorders>
              <w:top w:val="nil"/>
              <w:left w:val="nil"/>
              <w:bottom w:val="single" w:sz="4" w:space="0" w:color="auto"/>
              <w:right w:val="single" w:sz="4" w:space="0" w:color="auto"/>
            </w:tcBorders>
            <w:vAlign w:val="center"/>
          </w:tcPr>
          <w:p w:rsidR="004F34D9" w:rsidRPr="00123108" w:rsidRDefault="004F34D9">
            <w:pPr>
              <w:adjustRightInd w:val="0"/>
              <w:snapToGrid w:val="0"/>
              <w:rPr>
                <w:szCs w:val="21"/>
              </w:rPr>
            </w:pPr>
            <w:r w:rsidRPr="00123108">
              <w:rPr>
                <w:rFonts w:hint="eastAsia"/>
                <w:szCs w:val="21"/>
              </w:rPr>
              <w:t>未见安全阀更换记录</w:t>
            </w:r>
          </w:p>
        </w:tc>
      </w:tr>
      <w:tr w:rsidR="004F34D9" w:rsidRPr="00123108">
        <w:trPr>
          <w:cantSplit/>
          <w:trHeight w:val="340"/>
          <w:jc w:val="center"/>
        </w:trPr>
        <w:tc>
          <w:tcPr>
            <w:tcW w:w="523" w:type="dxa"/>
            <w:tcBorders>
              <w:top w:val="nil"/>
              <w:left w:val="single" w:sz="4" w:space="0" w:color="auto"/>
              <w:bottom w:val="single" w:sz="4" w:space="0" w:color="auto"/>
              <w:right w:val="single" w:sz="4" w:space="0" w:color="auto"/>
            </w:tcBorders>
            <w:vAlign w:val="center"/>
          </w:tcPr>
          <w:p w:rsidR="004F34D9" w:rsidRPr="00123108" w:rsidRDefault="004F34D9">
            <w:pPr>
              <w:widowControl/>
              <w:jc w:val="center"/>
              <w:rPr>
                <w:rFonts w:ascii="宋体" w:hAnsi="宋体" w:cs="宋体"/>
                <w:kern w:val="0"/>
                <w:sz w:val="20"/>
                <w:szCs w:val="20"/>
              </w:rPr>
            </w:pPr>
            <w:r w:rsidRPr="00123108">
              <w:rPr>
                <w:rFonts w:ascii="宋体" w:hAnsi="宋体" w:cs="宋体" w:hint="eastAsia"/>
                <w:kern w:val="0"/>
                <w:sz w:val="20"/>
                <w:szCs w:val="20"/>
              </w:rPr>
              <w:t>3</w:t>
            </w:r>
          </w:p>
        </w:tc>
        <w:tc>
          <w:tcPr>
            <w:tcW w:w="1035" w:type="dxa"/>
            <w:tcBorders>
              <w:top w:val="nil"/>
              <w:left w:val="nil"/>
              <w:bottom w:val="single" w:sz="4" w:space="0" w:color="auto"/>
              <w:right w:val="single" w:sz="4" w:space="0" w:color="auto"/>
            </w:tcBorders>
            <w:vAlign w:val="center"/>
          </w:tcPr>
          <w:p w:rsidR="004F34D9" w:rsidRPr="00123108" w:rsidRDefault="004F34D9">
            <w:pPr>
              <w:adjustRightInd w:val="0"/>
              <w:snapToGrid w:val="0"/>
              <w:rPr>
                <w:szCs w:val="21"/>
              </w:rPr>
            </w:pPr>
            <w:r w:rsidRPr="00123108">
              <w:rPr>
                <w:rFonts w:hint="eastAsia"/>
                <w:szCs w:val="21"/>
              </w:rPr>
              <w:t>电气安全</w:t>
            </w:r>
          </w:p>
        </w:tc>
        <w:tc>
          <w:tcPr>
            <w:tcW w:w="973" w:type="dxa"/>
            <w:tcBorders>
              <w:top w:val="nil"/>
              <w:left w:val="nil"/>
              <w:bottom w:val="single" w:sz="4" w:space="0" w:color="auto"/>
              <w:right w:val="single" w:sz="4" w:space="0" w:color="auto"/>
            </w:tcBorders>
            <w:vAlign w:val="center"/>
          </w:tcPr>
          <w:p w:rsidR="004F34D9" w:rsidRPr="00123108" w:rsidRDefault="004F34D9">
            <w:pPr>
              <w:adjustRightInd w:val="0"/>
              <w:snapToGrid w:val="0"/>
              <w:rPr>
                <w:szCs w:val="21"/>
              </w:rPr>
            </w:pPr>
            <w:r w:rsidRPr="00123108">
              <w:rPr>
                <w:rFonts w:hint="eastAsia"/>
                <w:szCs w:val="21"/>
              </w:rPr>
              <w:t>防雷、防静电设施</w:t>
            </w:r>
          </w:p>
        </w:tc>
        <w:tc>
          <w:tcPr>
            <w:tcW w:w="2786" w:type="dxa"/>
            <w:tcBorders>
              <w:top w:val="nil"/>
              <w:left w:val="nil"/>
              <w:bottom w:val="single" w:sz="4" w:space="0" w:color="auto"/>
              <w:right w:val="single" w:sz="4" w:space="0" w:color="auto"/>
            </w:tcBorders>
            <w:vAlign w:val="center"/>
          </w:tcPr>
          <w:p w:rsidR="004F34D9" w:rsidRPr="00123108" w:rsidRDefault="004F34D9">
            <w:pPr>
              <w:adjustRightInd w:val="0"/>
              <w:snapToGrid w:val="0"/>
              <w:rPr>
                <w:szCs w:val="21"/>
              </w:rPr>
            </w:pPr>
            <w:r w:rsidRPr="00123108">
              <w:rPr>
                <w:rFonts w:hint="eastAsia"/>
                <w:szCs w:val="21"/>
              </w:rPr>
              <w:t>重点防火、防爆作业区的入口处，应设计人体导除静电装置。</w:t>
            </w:r>
          </w:p>
        </w:tc>
        <w:tc>
          <w:tcPr>
            <w:tcW w:w="1721" w:type="dxa"/>
            <w:tcBorders>
              <w:top w:val="nil"/>
              <w:left w:val="nil"/>
              <w:bottom w:val="single" w:sz="4" w:space="0" w:color="auto"/>
              <w:right w:val="single" w:sz="4" w:space="0" w:color="auto"/>
            </w:tcBorders>
            <w:vAlign w:val="center"/>
          </w:tcPr>
          <w:p w:rsidR="004F34D9" w:rsidRPr="00123108" w:rsidRDefault="004F34D9">
            <w:pPr>
              <w:adjustRightInd w:val="0"/>
              <w:snapToGrid w:val="0"/>
              <w:rPr>
                <w:szCs w:val="21"/>
              </w:rPr>
            </w:pPr>
            <w:r w:rsidRPr="00123108">
              <w:rPr>
                <w:rFonts w:hint="eastAsia"/>
                <w:szCs w:val="21"/>
              </w:rPr>
              <w:t>《化工企业安全卫生设计规范》（</w:t>
            </w:r>
            <w:r w:rsidRPr="00123108">
              <w:rPr>
                <w:rFonts w:hint="eastAsia"/>
                <w:szCs w:val="21"/>
              </w:rPr>
              <w:t>HG 20571-2014</w:t>
            </w:r>
            <w:r w:rsidRPr="00123108">
              <w:rPr>
                <w:rFonts w:hint="eastAsia"/>
                <w:szCs w:val="21"/>
              </w:rPr>
              <w:t>）第</w:t>
            </w:r>
            <w:r w:rsidRPr="00123108">
              <w:rPr>
                <w:rFonts w:hint="eastAsia"/>
                <w:szCs w:val="21"/>
              </w:rPr>
              <w:t>4.2.10</w:t>
            </w:r>
            <w:r w:rsidRPr="00123108">
              <w:rPr>
                <w:rFonts w:hint="eastAsia"/>
                <w:szCs w:val="21"/>
              </w:rPr>
              <w:t>条</w:t>
            </w:r>
          </w:p>
        </w:tc>
        <w:tc>
          <w:tcPr>
            <w:tcW w:w="1470" w:type="dxa"/>
            <w:tcBorders>
              <w:top w:val="nil"/>
              <w:left w:val="nil"/>
              <w:bottom w:val="single" w:sz="4" w:space="0" w:color="auto"/>
              <w:right w:val="single" w:sz="4" w:space="0" w:color="auto"/>
            </w:tcBorders>
            <w:vAlign w:val="center"/>
          </w:tcPr>
          <w:p w:rsidR="004F34D9" w:rsidRPr="00123108" w:rsidRDefault="004F34D9">
            <w:pPr>
              <w:adjustRightInd w:val="0"/>
              <w:snapToGrid w:val="0"/>
              <w:rPr>
                <w:szCs w:val="21"/>
              </w:rPr>
            </w:pPr>
            <w:r w:rsidRPr="00123108">
              <w:rPr>
                <w:rFonts w:hint="eastAsia"/>
                <w:szCs w:val="21"/>
              </w:rPr>
              <w:t>过氧化物库门口人体静电消除器异常</w:t>
            </w:r>
          </w:p>
        </w:tc>
      </w:tr>
      <w:tr w:rsidR="004F34D9" w:rsidRPr="00123108">
        <w:trPr>
          <w:cantSplit/>
          <w:trHeight w:val="340"/>
          <w:jc w:val="center"/>
        </w:trPr>
        <w:tc>
          <w:tcPr>
            <w:tcW w:w="523" w:type="dxa"/>
            <w:tcBorders>
              <w:top w:val="nil"/>
              <w:left w:val="single" w:sz="4" w:space="0" w:color="auto"/>
              <w:bottom w:val="single" w:sz="4" w:space="0" w:color="auto"/>
              <w:right w:val="single" w:sz="4" w:space="0" w:color="auto"/>
            </w:tcBorders>
            <w:vAlign w:val="center"/>
          </w:tcPr>
          <w:p w:rsidR="004F34D9" w:rsidRPr="00123108" w:rsidRDefault="004F34D9">
            <w:pPr>
              <w:widowControl/>
              <w:jc w:val="center"/>
              <w:rPr>
                <w:rFonts w:ascii="宋体" w:hAnsi="宋体" w:cs="宋体"/>
                <w:kern w:val="0"/>
                <w:sz w:val="20"/>
                <w:szCs w:val="20"/>
              </w:rPr>
            </w:pPr>
            <w:r w:rsidRPr="00123108">
              <w:rPr>
                <w:rFonts w:ascii="宋体" w:hAnsi="宋体" w:cs="宋体" w:hint="eastAsia"/>
                <w:kern w:val="0"/>
                <w:sz w:val="20"/>
                <w:szCs w:val="20"/>
              </w:rPr>
              <w:t>4</w:t>
            </w:r>
          </w:p>
        </w:tc>
        <w:tc>
          <w:tcPr>
            <w:tcW w:w="1035" w:type="dxa"/>
            <w:tcBorders>
              <w:top w:val="nil"/>
              <w:left w:val="nil"/>
              <w:bottom w:val="single" w:sz="4" w:space="0" w:color="auto"/>
              <w:right w:val="single" w:sz="4" w:space="0" w:color="auto"/>
            </w:tcBorders>
            <w:vAlign w:val="center"/>
          </w:tcPr>
          <w:p w:rsidR="004F34D9" w:rsidRPr="00123108" w:rsidRDefault="004F34D9">
            <w:pPr>
              <w:adjustRightInd w:val="0"/>
              <w:snapToGrid w:val="0"/>
              <w:rPr>
                <w:szCs w:val="21"/>
              </w:rPr>
            </w:pPr>
            <w:r w:rsidRPr="00123108">
              <w:rPr>
                <w:rFonts w:hint="eastAsia"/>
                <w:szCs w:val="21"/>
              </w:rPr>
              <w:t>应急与消防</w:t>
            </w:r>
          </w:p>
        </w:tc>
        <w:tc>
          <w:tcPr>
            <w:tcW w:w="973" w:type="dxa"/>
            <w:tcBorders>
              <w:top w:val="nil"/>
              <w:left w:val="nil"/>
              <w:bottom w:val="single" w:sz="4" w:space="0" w:color="auto"/>
              <w:right w:val="single" w:sz="4" w:space="0" w:color="auto"/>
            </w:tcBorders>
            <w:vAlign w:val="center"/>
          </w:tcPr>
          <w:p w:rsidR="004F34D9" w:rsidRPr="00123108" w:rsidRDefault="004F34D9">
            <w:pPr>
              <w:adjustRightInd w:val="0"/>
              <w:snapToGrid w:val="0"/>
              <w:rPr>
                <w:szCs w:val="21"/>
              </w:rPr>
            </w:pPr>
            <w:r w:rsidRPr="00123108">
              <w:rPr>
                <w:rFonts w:hint="eastAsia"/>
                <w:szCs w:val="21"/>
              </w:rPr>
              <w:t>消防安全</w:t>
            </w:r>
          </w:p>
        </w:tc>
        <w:tc>
          <w:tcPr>
            <w:tcW w:w="2786" w:type="dxa"/>
            <w:tcBorders>
              <w:top w:val="nil"/>
              <w:left w:val="nil"/>
              <w:bottom w:val="single" w:sz="4" w:space="0" w:color="auto"/>
              <w:right w:val="single" w:sz="4" w:space="0" w:color="auto"/>
            </w:tcBorders>
            <w:vAlign w:val="center"/>
          </w:tcPr>
          <w:p w:rsidR="004F34D9" w:rsidRPr="00123108" w:rsidRDefault="004F34D9">
            <w:pPr>
              <w:adjustRightInd w:val="0"/>
              <w:snapToGrid w:val="0"/>
              <w:rPr>
                <w:szCs w:val="21"/>
              </w:rPr>
            </w:pPr>
            <w:r w:rsidRPr="00123108">
              <w:rPr>
                <w:rFonts w:hint="eastAsia"/>
                <w:szCs w:val="21"/>
              </w:rPr>
              <w:t>消防栓（炮）是否满足下列要求：</w:t>
            </w:r>
            <w:r w:rsidRPr="00123108">
              <w:rPr>
                <w:rFonts w:hint="eastAsia"/>
                <w:szCs w:val="21"/>
              </w:rPr>
              <w:t xml:space="preserve">                                           1</w:t>
            </w:r>
            <w:r w:rsidRPr="00123108">
              <w:rPr>
                <w:rFonts w:hint="eastAsia"/>
                <w:szCs w:val="21"/>
              </w:rPr>
              <w:t>、消防栓有编号，开启灵活，出水正常，排水良好，出水口扪盖、橡胶垫圈齐全完好；</w:t>
            </w:r>
            <w:r w:rsidRPr="00123108">
              <w:rPr>
                <w:rFonts w:hint="eastAsia"/>
                <w:szCs w:val="21"/>
              </w:rPr>
              <w:t xml:space="preserve">                                                                   2</w:t>
            </w:r>
            <w:r w:rsidRPr="00123108">
              <w:rPr>
                <w:rFonts w:hint="eastAsia"/>
                <w:szCs w:val="21"/>
              </w:rPr>
              <w:t>、消防栓阀门井完好，防冻措施到位；</w:t>
            </w:r>
            <w:r w:rsidRPr="00123108">
              <w:rPr>
                <w:rFonts w:hint="eastAsia"/>
                <w:szCs w:val="21"/>
              </w:rPr>
              <w:t xml:space="preserve">                                         3</w:t>
            </w:r>
            <w:r w:rsidRPr="00123108">
              <w:rPr>
                <w:rFonts w:hint="eastAsia"/>
                <w:szCs w:val="21"/>
              </w:rPr>
              <w:t>、消防炮完好无损、无泄漏，防冻措施落实；消防炮阀门及转向齿轮灵活，润滑无锈蚀现象。</w:t>
            </w:r>
          </w:p>
        </w:tc>
        <w:tc>
          <w:tcPr>
            <w:tcW w:w="1721" w:type="dxa"/>
            <w:tcBorders>
              <w:top w:val="nil"/>
              <w:left w:val="nil"/>
              <w:bottom w:val="single" w:sz="4" w:space="0" w:color="auto"/>
              <w:right w:val="single" w:sz="4" w:space="0" w:color="auto"/>
            </w:tcBorders>
            <w:vAlign w:val="center"/>
          </w:tcPr>
          <w:p w:rsidR="004F34D9" w:rsidRPr="00123108" w:rsidRDefault="004F34D9">
            <w:pPr>
              <w:adjustRightInd w:val="0"/>
              <w:snapToGrid w:val="0"/>
              <w:rPr>
                <w:szCs w:val="21"/>
              </w:rPr>
            </w:pPr>
            <w:r w:rsidRPr="00123108">
              <w:rPr>
                <w:rFonts w:hint="eastAsia"/>
                <w:szCs w:val="21"/>
              </w:rPr>
              <w:t>《消防给水及消火栓系统技术规范》（</w:t>
            </w:r>
            <w:r w:rsidRPr="00123108">
              <w:rPr>
                <w:rFonts w:hint="eastAsia"/>
                <w:szCs w:val="21"/>
              </w:rPr>
              <w:t>GB 50974-2014</w:t>
            </w:r>
            <w:r w:rsidRPr="00123108">
              <w:rPr>
                <w:rFonts w:hint="eastAsia"/>
                <w:szCs w:val="21"/>
              </w:rPr>
              <w:t>）第</w:t>
            </w:r>
            <w:r w:rsidRPr="00123108">
              <w:rPr>
                <w:rFonts w:hint="eastAsia"/>
                <w:szCs w:val="21"/>
              </w:rPr>
              <w:t>13.2.13</w:t>
            </w:r>
            <w:r w:rsidRPr="00123108">
              <w:rPr>
                <w:rFonts w:hint="eastAsia"/>
                <w:szCs w:val="21"/>
              </w:rPr>
              <w:t>条</w:t>
            </w:r>
          </w:p>
        </w:tc>
        <w:tc>
          <w:tcPr>
            <w:tcW w:w="1470" w:type="dxa"/>
            <w:tcBorders>
              <w:top w:val="nil"/>
              <w:left w:val="nil"/>
              <w:bottom w:val="single" w:sz="4" w:space="0" w:color="auto"/>
              <w:right w:val="single" w:sz="4" w:space="0" w:color="auto"/>
            </w:tcBorders>
            <w:vAlign w:val="center"/>
          </w:tcPr>
          <w:p w:rsidR="004F34D9" w:rsidRPr="00123108" w:rsidRDefault="004F34D9">
            <w:pPr>
              <w:adjustRightInd w:val="0"/>
              <w:snapToGrid w:val="0"/>
              <w:rPr>
                <w:szCs w:val="21"/>
              </w:rPr>
            </w:pPr>
            <w:r w:rsidRPr="00123108">
              <w:rPr>
                <w:rFonts w:hint="eastAsia"/>
                <w:szCs w:val="21"/>
              </w:rPr>
              <w:t>3#</w:t>
            </w:r>
            <w:r w:rsidRPr="00123108">
              <w:rPr>
                <w:rFonts w:hint="eastAsia"/>
                <w:szCs w:val="21"/>
              </w:rPr>
              <w:t>仓库外消火栓漏水</w:t>
            </w:r>
          </w:p>
        </w:tc>
      </w:tr>
    </w:tbl>
    <w:p w:rsidR="004F34D9" w:rsidRPr="00123108" w:rsidRDefault="004F34D9">
      <w:pPr>
        <w:pStyle w:val="aff4"/>
        <w:spacing w:before="0" w:beforeAutospacing="0" w:after="0" w:afterAutospacing="0" w:line="360" w:lineRule="auto"/>
        <w:ind w:firstLineChars="200" w:firstLine="560"/>
        <w:rPr>
          <w:rFonts w:cs="宋体" w:hint="eastAsia"/>
          <w:sz w:val="28"/>
          <w:szCs w:val="28"/>
        </w:rPr>
      </w:pPr>
      <w:r w:rsidRPr="00123108">
        <w:rPr>
          <w:rFonts w:hint="eastAsia"/>
          <w:sz w:val="28"/>
        </w:rPr>
        <w:t>小结：新桥化工定期进行</w:t>
      </w:r>
      <w:r w:rsidRPr="00123108">
        <w:rPr>
          <w:rFonts w:hint="eastAsia"/>
          <w:sz w:val="28"/>
          <w:szCs w:val="28"/>
          <w:lang w:val="zh-CN"/>
        </w:rPr>
        <w:t>危险化学品企业安全风险隐患排查</w:t>
      </w:r>
      <w:r w:rsidRPr="00123108">
        <w:rPr>
          <w:rFonts w:hint="eastAsia"/>
          <w:sz w:val="28"/>
          <w:szCs w:val="28"/>
        </w:rPr>
        <w:t>，能够符合要求。</w:t>
      </w:r>
    </w:p>
    <w:p w:rsidR="004F34D9" w:rsidRPr="00123108" w:rsidRDefault="004F34D9" w:rsidP="00E36E64">
      <w:pPr>
        <w:pStyle w:val="2"/>
        <w:spacing w:line="500" w:lineRule="exact"/>
        <w:jc w:val="both"/>
        <w:rPr>
          <w:rFonts w:ascii="宋体" w:eastAsia="宋体" w:cs="宋体" w:hint="eastAsia"/>
          <w:sz w:val="28"/>
          <w:szCs w:val="28"/>
        </w:rPr>
      </w:pPr>
      <w:bookmarkStart w:id="1841" w:name="_Toc190935921"/>
      <w:r w:rsidRPr="00123108">
        <w:rPr>
          <w:rFonts w:ascii="宋体" w:eastAsia="宋体" w:cs="宋体" w:hint="eastAsia"/>
          <w:sz w:val="28"/>
          <w:szCs w:val="28"/>
        </w:rPr>
        <w:t>附件2.15  安全生产专项提升整治检查</w:t>
      </w:r>
      <w:bookmarkEnd w:id="1841"/>
    </w:p>
    <w:p w:rsidR="004F34D9" w:rsidRPr="00123108" w:rsidRDefault="004F34D9">
      <w:pPr>
        <w:adjustRightInd w:val="0"/>
        <w:snapToGrid w:val="0"/>
        <w:spacing w:line="360" w:lineRule="auto"/>
        <w:ind w:firstLineChars="200" w:firstLine="560"/>
        <w:rPr>
          <w:rFonts w:ascii="黑体" w:eastAsia="黑体" w:hint="eastAsia"/>
          <w:b/>
          <w:bCs/>
          <w:sz w:val="28"/>
        </w:rPr>
      </w:pPr>
      <w:r w:rsidRPr="00123108">
        <w:rPr>
          <w:rFonts w:ascii="宋体" w:hAnsi="宋体" w:hint="eastAsia"/>
          <w:sz w:val="28"/>
        </w:rPr>
        <w:t>根据《中共中央办公厅 国务院办公厅印发</w:t>
      </w:r>
      <w:r w:rsidRPr="00123108">
        <w:rPr>
          <w:rFonts w:ascii="宋体" w:hAnsi="宋体" w:cs="宋体" w:hint="eastAsia"/>
          <w:sz w:val="28"/>
        </w:rPr>
        <w:t>&lt;</w:t>
      </w:r>
      <w:r w:rsidRPr="00123108">
        <w:rPr>
          <w:rFonts w:ascii="宋体" w:hAnsi="宋体" w:hint="eastAsia"/>
          <w:sz w:val="28"/>
        </w:rPr>
        <w:t>关于全面加强危险化学品安全生产工作的意见</w:t>
      </w:r>
      <w:r w:rsidRPr="00123108">
        <w:rPr>
          <w:rFonts w:ascii="宋体" w:hAnsi="宋体" w:cs="宋体" w:hint="eastAsia"/>
          <w:sz w:val="28"/>
        </w:rPr>
        <w:t>&gt;</w:t>
      </w:r>
      <w:r w:rsidRPr="00123108">
        <w:rPr>
          <w:rFonts w:ascii="宋体" w:hAnsi="宋体" w:hint="eastAsia"/>
          <w:sz w:val="28"/>
        </w:rPr>
        <w:t>》国务院公报2020年和《全国安全生产专项整治三年行动计划》安委〔2020〕3号的要求，对企业安全整治提升条件进行检查，见附表2.15-1</w:t>
      </w:r>
    </w:p>
    <w:p w:rsidR="004F34D9" w:rsidRPr="00123108" w:rsidRDefault="004F34D9">
      <w:pPr>
        <w:spacing w:line="360" w:lineRule="auto"/>
        <w:jc w:val="center"/>
        <w:rPr>
          <w:rFonts w:ascii="宋体" w:hAnsi="宋体" w:cs="宋体" w:hint="eastAsia"/>
          <w:b/>
          <w:bCs/>
          <w:sz w:val="28"/>
          <w:szCs w:val="28"/>
        </w:rPr>
      </w:pPr>
      <w:r w:rsidRPr="00123108">
        <w:rPr>
          <w:rFonts w:ascii="宋体" w:hAnsi="宋体" w:cs="宋体" w:hint="eastAsia"/>
          <w:b/>
          <w:bCs/>
          <w:sz w:val="28"/>
          <w:szCs w:val="28"/>
        </w:rPr>
        <w:t>附表2.15-1</w:t>
      </w:r>
      <w:r w:rsidRPr="00123108">
        <w:rPr>
          <w:rFonts w:ascii="宋体" w:hAnsi="宋体" w:cs="宋体" w:hint="eastAsia"/>
          <w:b/>
          <w:bCs/>
          <w:sz w:val="28"/>
        </w:rPr>
        <w:t xml:space="preserve">  </w:t>
      </w:r>
      <w:r w:rsidRPr="00123108">
        <w:rPr>
          <w:rFonts w:ascii="宋体" w:hAnsi="宋体" w:cs="宋体" w:hint="eastAsia"/>
          <w:b/>
          <w:bCs/>
          <w:sz w:val="28"/>
          <w:szCs w:val="28"/>
        </w:rPr>
        <w:t>安全整治提升情况检查表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5955"/>
        <w:gridCol w:w="706"/>
        <w:gridCol w:w="2129"/>
      </w:tblGrid>
      <w:tr w:rsidR="004F34D9" w:rsidRPr="00123108">
        <w:trPr>
          <w:trHeight w:val="510"/>
          <w:jc w:val="center"/>
        </w:trPr>
        <w:tc>
          <w:tcPr>
            <w:tcW w:w="684" w:type="dxa"/>
            <w:vAlign w:val="center"/>
          </w:tcPr>
          <w:p w:rsidR="004F34D9" w:rsidRPr="00123108" w:rsidRDefault="004F34D9">
            <w:pPr>
              <w:spacing w:line="260" w:lineRule="exact"/>
              <w:jc w:val="center"/>
              <w:rPr>
                <w:rFonts w:ascii="宋体" w:hAnsi="宋体" w:cs="宋体"/>
                <w:b/>
                <w:bCs/>
                <w:szCs w:val="21"/>
              </w:rPr>
            </w:pPr>
            <w:r w:rsidRPr="00123108">
              <w:rPr>
                <w:rFonts w:ascii="宋体" w:hAnsi="宋体" w:hint="eastAsia"/>
                <w:szCs w:val="21"/>
              </w:rPr>
              <w:t>序号</w:t>
            </w:r>
          </w:p>
        </w:tc>
        <w:tc>
          <w:tcPr>
            <w:tcW w:w="5955" w:type="dxa"/>
            <w:vAlign w:val="center"/>
          </w:tcPr>
          <w:p w:rsidR="004F34D9" w:rsidRPr="00123108" w:rsidRDefault="004F34D9">
            <w:pPr>
              <w:pStyle w:val="af0"/>
              <w:spacing w:line="260" w:lineRule="exact"/>
              <w:jc w:val="center"/>
              <w:rPr>
                <w:rFonts w:ascii="宋体" w:hAnsi="宋体" w:cs="宋体"/>
                <w:b/>
                <w:bCs/>
                <w:szCs w:val="21"/>
              </w:rPr>
            </w:pPr>
            <w:r w:rsidRPr="00123108">
              <w:rPr>
                <w:rFonts w:ascii="宋体" w:hAnsi="宋体" w:hint="eastAsia"/>
                <w:szCs w:val="21"/>
              </w:rPr>
              <w:t>检查项目及内容</w:t>
            </w:r>
          </w:p>
        </w:tc>
        <w:tc>
          <w:tcPr>
            <w:tcW w:w="706" w:type="dxa"/>
            <w:vAlign w:val="center"/>
          </w:tcPr>
          <w:p w:rsidR="004F34D9" w:rsidRPr="00123108" w:rsidRDefault="004F34D9">
            <w:pPr>
              <w:tabs>
                <w:tab w:val="center" w:pos="4153"/>
              </w:tabs>
              <w:spacing w:line="260" w:lineRule="exact"/>
              <w:jc w:val="center"/>
              <w:rPr>
                <w:rFonts w:ascii="宋体" w:hAnsi="宋体" w:cs="宋体"/>
                <w:b/>
                <w:bCs/>
                <w:szCs w:val="21"/>
              </w:rPr>
            </w:pPr>
            <w:r w:rsidRPr="00123108">
              <w:rPr>
                <w:rFonts w:ascii="宋体" w:hint="eastAsia"/>
                <w:szCs w:val="21"/>
              </w:rPr>
              <w:t>结论</w:t>
            </w:r>
          </w:p>
        </w:tc>
        <w:tc>
          <w:tcPr>
            <w:tcW w:w="2129" w:type="dxa"/>
            <w:vAlign w:val="center"/>
          </w:tcPr>
          <w:p w:rsidR="004F34D9" w:rsidRPr="00123108" w:rsidRDefault="004F34D9">
            <w:pPr>
              <w:tabs>
                <w:tab w:val="center" w:pos="4153"/>
              </w:tabs>
              <w:spacing w:line="260" w:lineRule="exact"/>
              <w:jc w:val="center"/>
              <w:rPr>
                <w:rFonts w:ascii="宋体" w:hAnsi="宋体" w:cs="宋体"/>
                <w:b/>
                <w:bCs/>
                <w:szCs w:val="21"/>
              </w:rPr>
            </w:pPr>
            <w:r w:rsidRPr="00123108">
              <w:rPr>
                <w:rFonts w:ascii="宋体" w:hint="eastAsia"/>
                <w:bCs/>
                <w:szCs w:val="21"/>
              </w:rPr>
              <w:t>实际情况</w:t>
            </w:r>
            <w:r w:rsidR="005D35DC" w:rsidRPr="00123108">
              <w:rPr>
                <w:rFonts w:ascii="宋体" w:hint="eastAsia"/>
                <w:bCs/>
                <w:szCs w:val="21"/>
              </w:rPr>
              <w:t>说明</w:t>
            </w:r>
          </w:p>
        </w:tc>
      </w:tr>
      <w:tr w:rsidR="004F34D9" w:rsidRPr="00123108">
        <w:trPr>
          <w:trHeight w:val="510"/>
          <w:jc w:val="center"/>
        </w:trPr>
        <w:tc>
          <w:tcPr>
            <w:tcW w:w="684" w:type="dxa"/>
            <w:vAlign w:val="center"/>
          </w:tcPr>
          <w:p w:rsidR="004F34D9" w:rsidRPr="00123108" w:rsidRDefault="004F34D9">
            <w:pPr>
              <w:spacing w:line="260" w:lineRule="exact"/>
              <w:jc w:val="center"/>
              <w:rPr>
                <w:rFonts w:ascii="宋体" w:hAnsi="宋体" w:hint="eastAsia"/>
                <w:szCs w:val="21"/>
              </w:rPr>
            </w:pPr>
            <w:r w:rsidRPr="00123108">
              <w:rPr>
                <w:rFonts w:ascii="宋体" w:hAnsi="宋体" w:hint="eastAsia"/>
                <w:szCs w:val="21"/>
              </w:rPr>
              <w:t>1</w:t>
            </w:r>
          </w:p>
        </w:tc>
        <w:tc>
          <w:tcPr>
            <w:tcW w:w="5955" w:type="dxa"/>
            <w:vAlign w:val="center"/>
          </w:tcPr>
          <w:p w:rsidR="004F34D9" w:rsidRPr="00123108" w:rsidRDefault="004F34D9">
            <w:pPr>
              <w:adjustRightInd w:val="0"/>
              <w:snapToGrid w:val="0"/>
              <w:rPr>
                <w:szCs w:val="21"/>
              </w:rPr>
            </w:pPr>
            <w:r w:rsidRPr="00123108">
              <w:rPr>
                <w:rFonts w:hint="eastAsia"/>
                <w:szCs w:val="21"/>
              </w:rPr>
              <w:t>完善和落实安全生产责任和管理制度，建立安全隐患排查和安全预防控制体系。</w:t>
            </w:r>
          </w:p>
        </w:tc>
        <w:tc>
          <w:tcPr>
            <w:tcW w:w="706" w:type="dxa"/>
            <w:vAlign w:val="center"/>
          </w:tcPr>
          <w:p w:rsidR="004F34D9" w:rsidRPr="00123108" w:rsidRDefault="004F34D9">
            <w:pPr>
              <w:adjustRightInd w:val="0"/>
              <w:snapToGrid w:val="0"/>
              <w:jc w:val="center"/>
              <w:rPr>
                <w:szCs w:val="21"/>
              </w:rPr>
            </w:pPr>
            <w:r w:rsidRPr="00123108">
              <w:rPr>
                <w:szCs w:val="21"/>
              </w:rPr>
              <w:t>符合</w:t>
            </w:r>
          </w:p>
        </w:tc>
        <w:tc>
          <w:tcPr>
            <w:tcW w:w="2129" w:type="dxa"/>
            <w:vAlign w:val="center"/>
          </w:tcPr>
          <w:p w:rsidR="004F34D9" w:rsidRPr="00123108" w:rsidRDefault="004F34D9">
            <w:pPr>
              <w:adjustRightInd w:val="0"/>
              <w:snapToGrid w:val="0"/>
              <w:rPr>
                <w:szCs w:val="21"/>
              </w:rPr>
            </w:pPr>
            <w:r w:rsidRPr="00123108">
              <w:rPr>
                <w:rFonts w:hint="eastAsia"/>
                <w:szCs w:val="21"/>
              </w:rPr>
              <w:t>企业</w:t>
            </w:r>
            <w:r w:rsidRPr="00123108">
              <w:rPr>
                <w:szCs w:val="21"/>
              </w:rPr>
              <w:t>已</w:t>
            </w:r>
            <w:r w:rsidRPr="00123108">
              <w:rPr>
                <w:rFonts w:hint="eastAsia"/>
                <w:szCs w:val="21"/>
              </w:rPr>
              <w:t>建立安全隐患排查和安全预防控制体系</w:t>
            </w:r>
          </w:p>
        </w:tc>
      </w:tr>
      <w:tr w:rsidR="004F34D9" w:rsidRPr="00123108">
        <w:trPr>
          <w:trHeight w:val="510"/>
          <w:jc w:val="center"/>
        </w:trPr>
        <w:tc>
          <w:tcPr>
            <w:tcW w:w="684" w:type="dxa"/>
            <w:vAlign w:val="center"/>
          </w:tcPr>
          <w:p w:rsidR="004F34D9" w:rsidRPr="00123108" w:rsidRDefault="004F34D9">
            <w:pPr>
              <w:spacing w:line="260" w:lineRule="exact"/>
              <w:jc w:val="center"/>
              <w:rPr>
                <w:rFonts w:ascii="宋体" w:hAnsi="宋体" w:hint="eastAsia"/>
                <w:szCs w:val="21"/>
              </w:rPr>
            </w:pPr>
            <w:r w:rsidRPr="00123108">
              <w:rPr>
                <w:rFonts w:ascii="宋体" w:hAnsi="宋体" w:hint="eastAsia"/>
                <w:szCs w:val="21"/>
              </w:rPr>
              <w:t>2</w:t>
            </w:r>
          </w:p>
        </w:tc>
        <w:tc>
          <w:tcPr>
            <w:tcW w:w="5955" w:type="dxa"/>
            <w:vAlign w:val="center"/>
          </w:tcPr>
          <w:p w:rsidR="004F34D9" w:rsidRPr="00123108" w:rsidRDefault="004F34D9">
            <w:pPr>
              <w:adjustRightInd w:val="0"/>
              <w:snapToGrid w:val="0"/>
              <w:rPr>
                <w:rFonts w:hint="eastAsia"/>
                <w:szCs w:val="21"/>
              </w:rPr>
            </w:pPr>
            <w:r w:rsidRPr="00123108">
              <w:rPr>
                <w:rFonts w:hint="eastAsia"/>
                <w:szCs w:val="21"/>
              </w:rPr>
              <w:t>按照《化工园区安全风险排查治理导则（试行）》和《危险化学品企业安全风险隐患排查治理导则》等相关制度规范，全面开展安全风险排查和隐患治理。</w:t>
            </w:r>
          </w:p>
        </w:tc>
        <w:tc>
          <w:tcPr>
            <w:tcW w:w="706" w:type="dxa"/>
            <w:vAlign w:val="center"/>
          </w:tcPr>
          <w:p w:rsidR="004F34D9" w:rsidRPr="00123108" w:rsidRDefault="004F34D9">
            <w:pPr>
              <w:adjustRightInd w:val="0"/>
              <w:snapToGrid w:val="0"/>
              <w:jc w:val="center"/>
              <w:rPr>
                <w:szCs w:val="21"/>
              </w:rPr>
            </w:pPr>
            <w:r w:rsidRPr="00123108">
              <w:rPr>
                <w:szCs w:val="21"/>
              </w:rPr>
              <w:t>符合</w:t>
            </w:r>
          </w:p>
        </w:tc>
        <w:tc>
          <w:tcPr>
            <w:tcW w:w="2129" w:type="dxa"/>
            <w:vAlign w:val="center"/>
          </w:tcPr>
          <w:p w:rsidR="004F34D9" w:rsidRPr="00123108" w:rsidRDefault="004F34D9">
            <w:pPr>
              <w:adjustRightInd w:val="0"/>
              <w:snapToGrid w:val="0"/>
              <w:rPr>
                <w:szCs w:val="21"/>
              </w:rPr>
            </w:pPr>
            <w:r w:rsidRPr="00123108">
              <w:rPr>
                <w:szCs w:val="21"/>
              </w:rPr>
              <w:t>企业已</w:t>
            </w:r>
            <w:r w:rsidRPr="00123108">
              <w:rPr>
                <w:rFonts w:hint="eastAsia"/>
                <w:szCs w:val="21"/>
              </w:rPr>
              <w:t>根据安全风险隐患排查治理导则</w:t>
            </w:r>
            <w:r w:rsidRPr="00123108">
              <w:rPr>
                <w:szCs w:val="21"/>
              </w:rPr>
              <w:t>开展</w:t>
            </w:r>
            <w:r w:rsidRPr="00123108">
              <w:rPr>
                <w:rFonts w:hint="eastAsia"/>
                <w:szCs w:val="21"/>
              </w:rPr>
              <w:t>自评</w:t>
            </w:r>
          </w:p>
        </w:tc>
      </w:tr>
      <w:tr w:rsidR="004F34D9" w:rsidRPr="00123108">
        <w:trPr>
          <w:trHeight w:val="510"/>
          <w:jc w:val="center"/>
        </w:trPr>
        <w:tc>
          <w:tcPr>
            <w:tcW w:w="684" w:type="dxa"/>
            <w:vAlign w:val="center"/>
          </w:tcPr>
          <w:p w:rsidR="004F34D9" w:rsidRPr="00123108" w:rsidRDefault="004F34D9">
            <w:pPr>
              <w:spacing w:line="260" w:lineRule="exact"/>
              <w:jc w:val="center"/>
              <w:rPr>
                <w:rFonts w:ascii="宋体" w:hAnsi="宋体" w:hint="eastAsia"/>
                <w:szCs w:val="21"/>
              </w:rPr>
            </w:pPr>
            <w:r w:rsidRPr="00123108">
              <w:rPr>
                <w:rFonts w:ascii="宋体" w:hAnsi="宋体" w:hint="eastAsia"/>
                <w:szCs w:val="21"/>
              </w:rPr>
              <w:t>3</w:t>
            </w:r>
          </w:p>
        </w:tc>
        <w:tc>
          <w:tcPr>
            <w:tcW w:w="5955" w:type="dxa"/>
            <w:vAlign w:val="center"/>
          </w:tcPr>
          <w:p w:rsidR="004F34D9" w:rsidRPr="00123108" w:rsidRDefault="004F34D9">
            <w:pPr>
              <w:adjustRightInd w:val="0"/>
              <w:snapToGrid w:val="0"/>
              <w:rPr>
                <w:szCs w:val="21"/>
              </w:rPr>
            </w:pPr>
            <w:r w:rsidRPr="00123108">
              <w:rPr>
                <w:rFonts w:hint="eastAsia"/>
                <w:szCs w:val="21"/>
              </w:rPr>
              <w:t>完善并严格落实化学品鉴定评估与登记有关规定，科学准确鉴定评估化学品的物理危险性、毒性，严禁未落实风险防控措施就投入生产。</w:t>
            </w:r>
          </w:p>
        </w:tc>
        <w:tc>
          <w:tcPr>
            <w:tcW w:w="706" w:type="dxa"/>
            <w:vAlign w:val="center"/>
          </w:tcPr>
          <w:p w:rsidR="004F34D9" w:rsidRPr="00123108" w:rsidRDefault="004F34D9">
            <w:pPr>
              <w:adjustRightInd w:val="0"/>
              <w:snapToGrid w:val="0"/>
              <w:jc w:val="center"/>
              <w:rPr>
                <w:szCs w:val="21"/>
              </w:rPr>
            </w:pPr>
            <w:r w:rsidRPr="00123108">
              <w:rPr>
                <w:szCs w:val="21"/>
              </w:rPr>
              <w:t>符合</w:t>
            </w:r>
          </w:p>
        </w:tc>
        <w:tc>
          <w:tcPr>
            <w:tcW w:w="2129" w:type="dxa"/>
            <w:vAlign w:val="center"/>
          </w:tcPr>
          <w:p w:rsidR="004F34D9" w:rsidRPr="00123108" w:rsidRDefault="004F34D9">
            <w:pPr>
              <w:adjustRightInd w:val="0"/>
              <w:snapToGrid w:val="0"/>
              <w:rPr>
                <w:szCs w:val="21"/>
              </w:rPr>
            </w:pPr>
            <w:r w:rsidRPr="00123108">
              <w:rPr>
                <w:rFonts w:hint="eastAsia"/>
                <w:szCs w:val="21"/>
              </w:rPr>
              <w:t>已</w:t>
            </w:r>
            <w:r w:rsidRPr="00123108">
              <w:rPr>
                <w:szCs w:val="21"/>
              </w:rPr>
              <w:t>按规定</w:t>
            </w:r>
            <w:r w:rsidRPr="00123108">
              <w:rPr>
                <w:rFonts w:hint="eastAsia"/>
                <w:szCs w:val="21"/>
              </w:rPr>
              <w:t>进行化学品鉴定评估与登记</w:t>
            </w:r>
          </w:p>
        </w:tc>
      </w:tr>
      <w:tr w:rsidR="004F34D9" w:rsidRPr="00123108">
        <w:trPr>
          <w:trHeight w:val="510"/>
          <w:jc w:val="center"/>
        </w:trPr>
        <w:tc>
          <w:tcPr>
            <w:tcW w:w="684" w:type="dxa"/>
            <w:vAlign w:val="center"/>
          </w:tcPr>
          <w:p w:rsidR="004F34D9" w:rsidRPr="00123108" w:rsidRDefault="004F34D9">
            <w:pPr>
              <w:spacing w:line="260" w:lineRule="exact"/>
              <w:jc w:val="center"/>
              <w:rPr>
                <w:rFonts w:ascii="宋体" w:hAnsi="宋体" w:hint="eastAsia"/>
                <w:szCs w:val="21"/>
              </w:rPr>
            </w:pPr>
            <w:r w:rsidRPr="00123108">
              <w:rPr>
                <w:rFonts w:ascii="宋体" w:hAnsi="宋体" w:hint="eastAsia"/>
                <w:szCs w:val="21"/>
              </w:rPr>
              <w:t>4</w:t>
            </w:r>
          </w:p>
        </w:tc>
        <w:tc>
          <w:tcPr>
            <w:tcW w:w="5955" w:type="dxa"/>
            <w:vAlign w:val="center"/>
          </w:tcPr>
          <w:p w:rsidR="004F34D9" w:rsidRPr="00123108" w:rsidRDefault="004F34D9">
            <w:pPr>
              <w:adjustRightInd w:val="0"/>
              <w:snapToGrid w:val="0"/>
              <w:rPr>
                <w:szCs w:val="21"/>
              </w:rPr>
            </w:pPr>
            <w:r w:rsidRPr="00123108">
              <w:rPr>
                <w:rFonts w:ascii="宋体" w:hAnsi="宋体" w:hint="eastAsia"/>
                <w:szCs w:val="21"/>
              </w:rPr>
              <w:t>2020年年底前实现涉及“两重点一重大”的化工装置或储运设施自动化控制系统装备率、重大危险源在线监测监控率均达到</w:t>
            </w:r>
            <w:r w:rsidRPr="00123108">
              <w:rPr>
                <w:rFonts w:ascii="宋体" w:hAnsi="宋体" w:hint="eastAsia"/>
                <w:szCs w:val="21"/>
              </w:rPr>
              <w:lastRenderedPageBreak/>
              <w:t>100%。</w:t>
            </w:r>
          </w:p>
        </w:tc>
        <w:tc>
          <w:tcPr>
            <w:tcW w:w="706" w:type="dxa"/>
            <w:vAlign w:val="center"/>
          </w:tcPr>
          <w:p w:rsidR="004F34D9" w:rsidRPr="00123108" w:rsidRDefault="004F34D9">
            <w:pPr>
              <w:adjustRightInd w:val="0"/>
              <w:snapToGrid w:val="0"/>
              <w:jc w:val="center"/>
              <w:rPr>
                <w:szCs w:val="21"/>
              </w:rPr>
            </w:pPr>
            <w:r w:rsidRPr="00123108">
              <w:rPr>
                <w:szCs w:val="21"/>
              </w:rPr>
              <w:lastRenderedPageBreak/>
              <w:t>符合</w:t>
            </w:r>
          </w:p>
        </w:tc>
        <w:tc>
          <w:tcPr>
            <w:tcW w:w="2129" w:type="dxa"/>
            <w:vAlign w:val="center"/>
          </w:tcPr>
          <w:p w:rsidR="004F34D9" w:rsidRPr="00123108" w:rsidRDefault="004F34D9">
            <w:pPr>
              <w:adjustRightInd w:val="0"/>
              <w:snapToGrid w:val="0"/>
              <w:rPr>
                <w:rFonts w:hint="eastAsia"/>
                <w:szCs w:val="21"/>
              </w:rPr>
            </w:pPr>
            <w:r w:rsidRPr="00123108">
              <w:rPr>
                <w:rFonts w:ascii="宋体" w:hAnsi="宋体" w:hint="eastAsia"/>
                <w:szCs w:val="21"/>
              </w:rPr>
              <w:t>“两重点一重大”的化工装置、储运设施</w:t>
            </w:r>
            <w:r w:rsidRPr="00123108">
              <w:rPr>
                <w:rFonts w:ascii="宋体" w:hAnsi="宋体" w:hint="eastAsia"/>
                <w:szCs w:val="21"/>
              </w:rPr>
              <w:lastRenderedPageBreak/>
              <w:t>已设置自动化控制系统、在线监测监控系统</w:t>
            </w:r>
          </w:p>
        </w:tc>
      </w:tr>
      <w:tr w:rsidR="004F34D9" w:rsidRPr="00123108">
        <w:trPr>
          <w:trHeight w:val="510"/>
          <w:jc w:val="center"/>
        </w:trPr>
        <w:tc>
          <w:tcPr>
            <w:tcW w:w="684" w:type="dxa"/>
            <w:vAlign w:val="center"/>
          </w:tcPr>
          <w:p w:rsidR="004F34D9" w:rsidRPr="00123108" w:rsidRDefault="004F34D9">
            <w:pPr>
              <w:spacing w:line="260" w:lineRule="exact"/>
              <w:jc w:val="center"/>
              <w:rPr>
                <w:rFonts w:ascii="宋体" w:hAnsi="宋体" w:hint="eastAsia"/>
                <w:szCs w:val="21"/>
              </w:rPr>
            </w:pPr>
            <w:r w:rsidRPr="00123108">
              <w:rPr>
                <w:rFonts w:ascii="宋体" w:hAnsi="宋体" w:hint="eastAsia"/>
                <w:szCs w:val="21"/>
              </w:rPr>
              <w:lastRenderedPageBreak/>
              <w:t>5</w:t>
            </w:r>
          </w:p>
        </w:tc>
        <w:tc>
          <w:tcPr>
            <w:tcW w:w="5955" w:type="dxa"/>
            <w:vAlign w:val="center"/>
          </w:tcPr>
          <w:p w:rsidR="004F34D9" w:rsidRPr="00123108" w:rsidRDefault="004F34D9">
            <w:pPr>
              <w:adjustRightInd w:val="0"/>
              <w:snapToGrid w:val="0"/>
              <w:rPr>
                <w:szCs w:val="21"/>
              </w:rPr>
            </w:pPr>
            <w:r w:rsidRPr="00123108">
              <w:rPr>
                <w:rFonts w:hint="eastAsia"/>
                <w:szCs w:val="21"/>
              </w:rPr>
              <w:t>全面开展废弃危险化学品等危险废物（以下简称危险废物）排查，对属性不明的固体废物进行鉴别鉴定。</w:t>
            </w:r>
          </w:p>
        </w:tc>
        <w:tc>
          <w:tcPr>
            <w:tcW w:w="706" w:type="dxa"/>
            <w:vAlign w:val="center"/>
          </w:tcPr>
          <w:p w:rsidR="004F34D9" w:rsidRPr="00123108" w:rsidRDefault="004F34D9">
            <w:pPr>
              <w:adjustRightInd w:val="0"/>
              <w:snapToGrid w:val="0"/>
              <w:jc w:val="center"/>
              <w:rPr>
                <w:szCs w:val="21"/>
              </w:rPr>
            </w:pPr>
            <w:r w:rsidRPr="00123108">
              <w:rPr>
                <w:szCs w:val="21"/>
              </w:rPr>
              <w:t>符合</w:t>
            </w:r>
          </w:p>
        </w:tc>
        <w:tc>
          <w:tcPr>
            <w:tcW w:w="2129" w:type="dxa"/>
            <w:vAlign w:val="center"/>
          </w:tcPr>
          <w:p w:rsidR="004F34D9" w:rsidRPr="00123108" w:rsidRDefault="004F34D9">
            <w:pPr>
              <w:adjustRightInd w:val="0"/>
              <w:snapToGrid w:val="0"/>
              <w:rPr>
                <w:szCs w:val="21"/>
              </w:rPr>
            </w:pPr>
            <w:r w:rsidRPr="00123108">
              <w:rPr>
                <w:szCs w:val="21"/>
              </w:rPr>
              <w:t>危废</w:t>
            </w:r>
            <w:r w:rsidRPr="00123108">
              <w:rPr>
                <w:rFonts w:hint="eastAsia"/>
                <w:szCs w:val="21"/>
              </w:rPr>
              <w:t>已</w:t>
            </w:r>
            <w:r w:rsidRPr="00123108">
              <w:rPr>
                <w:szCs w:val="21"/>
              </w:rPr>
              <w:t>明确</w:t>
            </w:r>
            <w:r w:rsidRPr="00123108">
              <w:rPr>
                <w:rFonts w:hint="eastAsia"/>
                <w:szCs w:val="21"/>
              </w:rPr>
              <w:t>，见报告</w:t>
            </w:r>
            <w:r w:rsidRPr="00123108">
              <w:rPr>
                <w:rFonts w:hint="eastAsia"/>
                <w:szCs w:val="21"/>
              </w:rPr>
              <w:t>2.10.8</w:t>
            </w:r>
          </w:p>
        </w:tc>
      </w:tr>
      <w:tr w:rsidR="004F34D9" w:rsidRPr="00123108">
        <w:trPr>
          <w:trHeight w:val="510"/>
          <w:jc w:val="center"/>
        </w:trPr>
        <w:tc>
          <w:tcPr>
            <w:tcW w:w="684" w:type="dxa"/>
            <w:vAlign w:val="center"/>
          </w:tcPr>
          <w:p w:rsidR="004F34D9" w:rsidRPr="00123108" w:rsidRDefault="004F34D9">
            <w:pPr>
              <w:spacing w:line="260" w:lineRule="exact"/>
              <w:jc w:val="center"/>
              <w:rPr>
                <w:rFonts w:ascii="宋体" w:hAnsi="宋体" w:hint="eastAsia"/>
                <w:szCs w:val="21"/>
              </w:rPr>
            </w:pPr>
            <w:r w:rsidRPr="00123108">
              <w:rPr>
                <w:rFonts w:ascii="宋体" w:hAnsi="宋体" w:hint="eastAsia"/>
                <w:szCs w:val="21"/>
              </w:rPr>
              <w:t>6</w:t>
            </w:r>
          </w:p>
        </w:tc>
        <w:tc>
          <w:tcPr>
            <w:tcW w:w="5955" w:type="dxa"/>
            <w:vAlign w:val="center"/>
          </w:tcPr>
          <w:p w:rsidR="004F34D9" w:rsidRPr="00123108" w:rsidRDefault="004F34D9">
            <w:pPr>
              <w:adjustRightInd w:val="0"/>
              <w:snapToGrid w:val="0"/>
              <w:rPr>
                <w:szCs w:val="21"/>
              </w:rPr>
            </w:pPr>
            <w:r w:rsidRPr="00123108">
              <w:rPr>
                <w:rFonts w:hint="eastAsia"/>
                <w:szCs w:val="21"/>
              </w:rPr>
              <w:t>提高危险化学品生产贮存企业安全生产费用提取标准。推动危险化学品企业建立安全生产内审机制和承诺制度，完善风险分级管控和隐患排查治理预防机制。</w:t>
            </w:r>
          </w:p>
        </w:tc>
        <w:tc>
          <w:tcPr>
            <w:tcW w:w="706" w:type="dxa"/>
            <w:vAlign w:val="center"/>
          </w:tcPr>
          <w:p w:rsidR="004F34D9" w:rsidRPr="00123108" w:rsidRDefault="004F34D9">
            <w:pPr>
              <w:adjustRightInd w:val="0"/>
              <w:snapToGrid w:val="0"/>
              <w:jc w:val="center"/>
              <w:rPr>
                <w:rFonts w:hint="eastAsia"/>
                <w:szCs w:val="21"/>
              </w:rPr>
            </w:pPr>
            <w:r w:rsidRPr="00123108">
              <w:rPr>
                <w:szCs w:val="21"/>
              </w:rPr>
              <w:t>符合</w:t>
            </w:r>
          </w:p>
        </w:tc>
        <w:tc>
          <w:tcPr>
            <w:tcW w:w="2129" w:type="dxa"/>
            <w:vAlign w:val="center"/>
          </w:tcPr>
          <w:p w:rsidR="004F34D9" w:rsidRPr="00123108" w:rsidRDefault="004F34D9">
            <w:pPr>
              <w:adjustRightInd w:val="0"/>
              <w:snapToGrid w:val="0"/>
              <w:rPr>
                <w:rFonts w:hint="eastAsia"/>
                <w:szCs w:val="21"/>
              </w:rPr>
            </w:pPr>
            <w:r w:rsidRPr="00123108">
              <w:rPr>
                <w:szCs w:val="21"/>
              </w:rPr>
              <w:t>按规定提取安全生产费用</w:t>
            </w:r>
          </w:p>
        </w:tc>
      </w:tr>
      <w:tr w:rsidR="004F34D9" w:rsidRPr="00123108">
        <w:trPr>
          <w:trHeight w:val="510"/>
          <w:jc w:val="center"/>
        </w:trPr>
        <w:tc>
          <w:tcPr>
            <w:tcW w:w="684" w:type="dxa"/>
            <w:vAlign w:val="center"/>
          </w:tcPr>
          <w:p w:rsidR="004F34D9" w:rsidRPr="00123108" w:rsidRDefault="004F34D9">
            <w:pPr>
              <w:spacing w:line="260" w:lineRule="exact"/>
              <w:jc w:val="center"/>
              <w:rPr>
                <w:rFonts w:ascii="宋体" w:hAnsi="宋体" w:hint="eastAsia"/>
                <w:szCs w:val="21"/>
              </w:rPr>
            </w:pPr>
            <w:r w:rsidRPr="00123108">
              <w:rPr>
                <w:rFonts w:ascii="宋体" w:hAnsi="宋体" w:hint="eastAsia"/>
                <w:szCs w:val="21"/>
              </w:rPr>
              <w:t>7</w:t>
            </w:r>
          </w:p>
        </w:tc>
        <w:tc>
          <w:tcPr>
            <w:tcW w:w="5955" w:type="dxa"/>
            <w:vAlign w:val="center"/>
          </w:tcPr>
          <w:p w:rsidR="004F34D9" w:rsidRPr="00123108" w:rsidRDefault="004F34D9">
            <w:pPr>
              <w:spacing w:line="260" w:lineRule="exact"/>
              <w:jc w:val="left"/>
              <w:rPr>
                <w:szCs w:val="21"/>
              </w:rPr>
            </w:pPr>
            <w:r w:rsidRPr="00123108">
              <w:rPr>
                <w:rFonts w:ascii="宋体" w:hAnsi="宋体" w:hint="eastAsia"/>
                <w:szCs w:val="21"/>
              </w:rPr>
              <w:t>自2020年5月起，对涉及“两重点一重大”生产装置和储存设施的企业，新入职的主要负责人和主管生产、设备、技术、安全的负责人及安全生产管理人员必须具备化学、化工、安全等相关专业大专及以上学历或化工类中级及以上职称，新入职的涉及重大危险源、重点监管化工工艺的生产装置、储存设施操作人员必须具备高中及以上学历或化工类中等及以上职业教育水平，新入职的涉及爆炸危险性化学品的生产装置和储存设施的操作人员必须具备化工类大专及以上学历；不符合上述要求的现有人员应在2022年底前达到相应水平。危险化学品企业要按规定配备化工相关专业注册安全工程师。</w:t>
            </w:r>
          </w:p>
        </w:tc>
        <w:tc>
          <w:tcPr>
            <w:tcW w:w="706" w:type="dxa"/>
            <w:vAlign w:val="center"/>
          </w:tcPr>
          <w:p w:rsidR="004F34D9" w:rsidRPr="00123108" w:rsidRDefault="004F34D9">
            <w:pPr>
              <w:adjustRightInd w:val="0"/>
              <w:snapToGrid w:val="0"/>
              <w:jc w:val="center"/>
              <w:rPr>
                <w:rFonts w:hint="eastAsia"/>
                <w:szCs w:val="21"/>
              </w:rPr>
            </w:pPr>
            <w:r w:rsidRPr="00123108">
              <w:rPr>
                <w:szCs w:val="21"/>
              </w:rPr>
              <w:t>符合</w:t>
            </w:r>
          </w:p>
        </w:tc>
        <w:tc>
          <w:tcPr>
            <w:tcW w:w="2129" w:type="dxa"/>
            <w:vAlign w:val="center"/>
          </w:tcPr>
          <w:p w:rsidR="004F34D9" w:rsidRPr="00123108" w:rsidRDefault="004F34D9">
            <w:pPr>
              <w:adjustRightInd w:val="0"/>
              <w:snapToGrid w:val="0"/>
              <w:rPr>
                <w:rFonts w:hint="eastAsia"/>
                <w:szCs w:val="21"/>
              </w:rPr>
            </w:pPr>
            <w:r w:rsidRPr="00123108">
              <w:rPr>
                <w:rFonts w:hint="eastAsia"/>
                <w:szCs w:val="21"/>
              </w:rPr>
              <w:t>相关人员专业、学历、职称符合要求，</w:t>
            </w:r>
            <w:r w:rsidRPr="00123108">
              <w:rPr>
                <w:rFonts w:ascii="宋体" w:hAnsi="宋体" w:hint="eastAsia"/>
                <w:szCs w:val="21"/>
              </w:rPr>
              <w:t>配备了化工相关专业注册安全工程师</w:t>
            </w:r>
          </w:p>
        </w:tc>
      </w:tr>
      <w:tr w:rsidR="004F34D9" w:rsidRPr="00123108">
        <w:trPr>
          <w:trHeight w:val="125"/>
          <w:jc w:val="center"/>
        </w:trPr>
        <w:tc>
          <w:tcPr>
            <w:tcW w:w="684" w:type="dxa"/>
            <w:vAlign w:val="center"/>
          </w:tcPr>
          <w:p w:rsidR="004F34D9" w:rsidRPr="00123108" w:rsidRDefault="004F34D9">
            <w:pPr>
              <w:spacing w:line="260" w:lineRule="exact"/>
              <w:jc w:val="center"/>
              <w:rPr>
                <w:rFonts w:ascii="宋体" w:hAnsi="宋体" w:hint="eastAsia"/>
                <w:szCs w:val="21"/>
              </w:rPr>
            </w:pPr>
            <w:r w:rsidRPr="00123108">
              <w:rPr>
                <w:rFonts w:ascii="宋体" w:hAnsi="宋体" w:hint="eastAsia"/>
                <w:szCs w:val="21"/>
              </w:rPr>
              <w:t>8</w:t>
            </w:r>
          </w:p>
        </w:tc>
        <w:tc>
          <w:tcPr>
            <w:tcW w:w="5955" w:type="dxa"/>
            <w:vAlign w:val="center"/>
          </w:tcPr>
          <w:p w:rsidR="004F34D9" w:rsidRPr="00123108" w:rsidRDefault="004F34D9">
            <w:pPr>
              <w:adjustRightInd w:val="0"/>
              <w:snapToGrid w:val="0"/>
              <w:rPr>
                <w:szCs w:val="21"/>
              </w:rPr>
            </w:pPr>
            <w:r w:rsidRPr="00123108">
              <w:rPr>
                <w:rFonts w:ascii="宋体" w:hAnsi="宋体" w:hint="eastAsia"/>
                <w:szCs w:val="21"/>
              </w:rPr>
              <w:t>进一步提升危险化学品企业自动化控制水平。继续推进“两重点一重大”生产装置、储存设施可燃气体和有毒气体泄漏检测报警装置、紧急切断装置、自动化控制系统的建设完善，2020年底前涉及“两重点一重大”的生产装置、储存设施的上述系统装备和使用率必须达到100%，未实现或未投用的，一律停产整改。</w:t>
            </w:r>
          </w:p>
        </w:tc>
        <w:tc>
          <w:tcPr>
            <w:tcW w:w="706" w:type="dxa"/>
            <w:vAlign w:val="center"/>
          </w:tcPr>
          <w:p w:rsidR="004F34D9" w:rsidRPr="00123108" w:rsidRDefault="004F34D9">
            <w:pPr>
              <w:adjustRightInd w:val="0"/>
              <w:snapToGrid w:val="0"/>
              <w:jc w:val="center"/>
              <w:rPr>
                <w:szCs w:val="21"/>
              </w:rPr>
            </w:pPr>
            <w:r w:rsidRPr="00123108">
              <w:rPr>
                <w:szCs w:val="21"/>
              </w:rPr>
              <w:t>符合</w:t>
            </w:r>
          </w:p>
        </w:tc>
        <w:tc>
          <w:tcPr>
            <w:tcW w:w="2129" w:type="dxa"/>
            <w:vAlign w:val="center"/>
          </w:tcPr>
          <w:p w:rsidR="004F34D9" w:rsidRPr="00123108" w:rsidRDefault="004F34D9">
            <w:pPr>
              <w:adjustRightInd w:val="0"/>
              <w:snapToGrid w:val="0"/>
              <w:rPr>
                <w:szCs w:val="21"/>
              </w:rPr>
            </w:pPr>
            <w:r w:rsidRPr="00123108">
              <w:rPr>
                <w:rFonts w:ascii="宋体" w:hAnsi="宋体" w:hint="eastAsia"/>
                <w:szCs w:val="21"/>
              </w:rPr>
              <w:t>“两重点一重大”生产装置、储存设施</w:t>
            </w:r>
            <w:r w:rsidRPr="00123108">
              <w:rPr>
                <w:szCs w:val="21"/>
              </w:rPr>
              <w:t>已</w:t>
            </w:r>
            <w:r w:rsidRPr="00123108">
              <w:rPr>
                <w:rFonts w:hint="eastAsia"/>
                <w:szCs w:val="21"/>
              </w:rPr>
              <w:t>设置</w:t>
            </w:r>
            <w:r w:rsidRPr="00123108">
              <w:rPr>
                <w:rFonts w:ascii="宋体" w:hAnsi="宋体" w:hint="eastAsia"/>
                <w:szCs w:val="21"/>
              </w:rPr>
              <w:t>可燃气体泄漏检测报警装置、紧急切断装置、自动化控制系统</w:t>
            </w:r>
          </w:p>
        </w:tc>
      </w:tr>
      <w:tr w:rsidR="004F34D9" w:rsidRPr="00123108">
        <w:trPr>
          <w:trHeight w:val="510"/>
          <w:jc w:val="center"/>
        </w:trPr>
        <w:tc>
          <w:tcPr>
            <w:tcW w:w="684" w:type="dxa"/>
            <w:vAlign w:val="center"/>
          </w:tcPr>
          <w:p w:rsidR="004F34D9" w:rsidRPr="00123108" w:rsidRDefault="004F34D9">
            <w:pPr>
              <w:spacing w:line="260" w:lineRule="exact"/>
              <w:jc w:val="center"/>
              <w:rPr>
                <w:rFonts w:ascii="宋体" w:hAnsi="宋体" w:hint="eastAsia"/>
                <w:szCs w:val="21"/>
              </w:rPr>
            </w:pPr>
            <w:r w:rsidRPr="00123108">
              <w:rPr>
                <w:rFonts w:ascii="宋体" w:hAnsi="宋体" w:hint="eastAsia"/>
                <w:szCs w:val="21"/>
              </w:rPr>
              <w:t>9</w:t>
            </w:r>
          </w:p>
        </w:tc>
        <w:tc>
          <w:tcPr>
            <w:tcW w:w="5955" w:type="dxa"/>
            <w:vAlign w:val="center"/>
          </w:tcPr>
          <w:p w:rsidR="004F34D9" w:rsidRPr="00123108" w:rsidRDefault="004F34D9">
            <w:pPr>
              <w:adjustRightInd w:val="0"/>
              <w:snapToGrid w:val="0"/>
              <w:rPr>
                <w:szCs w:val="21"/>
              </w:rPr>
            </w:pPr>
            <w:r w:rsidRPr="00123108">
              <w:rPr>
                <w:rFonts w:hint="eastAsia"/>
                <w:szCs w:val="21"/>
              </w:rPr>
              <w:t>深化精细化工企业反应安全风险评估。凡列入精细化工反应安全风险评估范围但未开展评估的精细化工生产装置，一律不得生产。</w:t>
            </w:r>
          </w:p>
        </w:tc>
        <w:tc>
          <w:tcPr>
            <w:tcW w:w="706" w:type="dxa"/>
            <w:vAlign w:val="center"/>
          </w:tcPr>
          <w:p w:rsidR="004F34D9" w:rsidRPr="00123108" w:rsidRDefault="004F34D9">
            <w:pPr>
              <w:adjustRightInd w:val="0"/>
              <w:snapToGrid w:val="0"/>
              <w:jc w:val="center"/>
              <w:rPr>
                <w:rFonts w:hint="eastAsia"/>
                <w:szCs w:val="21"/>
              </w:rPr>
            </w:pPr>
            <w:r w:rsidRPr="00123108">
              <w:rPr>
                <w:rFonts w:hint="eastAsia"/>
                <w:szCs w:val="21"/>
              </w:rPr>
              <w:t>/</w:t>
            </w:r>
          </w:p>
        </w:tc>
        <w:tc>
          <w:tcPr>
            <w:tcW w:w="2129" w:type="dxa"/>
            <w:vAlign w:val="center"/>
          </w:tcPr>
          <w:p w:rsidR="004F34D9" w:rsidRPr="00123108" w:rsidRDefault="004F34D9">
            <w:pPr>
              <w:adjustRightInd w:val="0"/>
              <w:snapToGrid w:val="0"/>
              <w:rPr>
                <w:rFonts w:hint="eastAsia"/>
                <w:szCs w:val="21"/>
              </w:rPr>
            </w:pPr>
            <w:r w:rsidRPr="00123108">
              <w:rPr>
                <w:rFonts w:hint="eastAsia"/>
                <w:szCs w:val="21"/>
              </w:rPr>
              <w:t>不涉及</w:t>
            </w:r>
          </w:p>
        </w:tc>
      </w:tr>
      <w:tr w:rsidR="004F34D9" w:rsidRPr="00123108">
        <w:trPr>
          <w:trHeight w:val="510"/>
          <w:jc w:val="center"/>
        </w:trPr>
        <w:tc>
          <w:tcPr>
            <w:tcW w:w="684" w:type="dxa"/>
            <w:vAlign w:val="center"/>
          </w:tcPr>
          <w:p w:rsidR="004F34D9" w:rsidRPr="00123108" w:rsidRDefault="004F34D9">
            <w:pPr>
              <w:spacing w:line="260" w:lineRule="exact"/>
              <w:jc w:val="center"/>
              <w:rPr>
                <w:rFonts w:ascii="宋体" w:hAnsi="宋体" w:hint="eastAsia"/>
                <w:szCs w:val="21"/>
              </w:rPr>
            </w:pPr>
            <w:bookmarkStart w:id="1842" w:name="_Toc25238"/>
            <w:bookmarkEnd w:id="1842"/>
            <w:r w:rsidRPr="00123108">
              <w:rPr>
                <w:rFonts w:ascii="宋体" w:hAnsi="宋体" w:hint="eastAsia"/>
                <w:szCs w:val="21"/>
              </w:rPr>
              <w:t>10</w:t>
            </w:r>
          </w:p>
        </w:tc>
        <w:tc>
          <w:tcPr>
            <w:tcW w:w="5955" w:type="dxa"/>
            <w:vAlign w:val="center"/>
          </w:tcPr>
          <w:p w:rsidR="004F34D9" w:rsidRPr="00123108" w:rsidRDefault="004F34D9">
            <w:pPr>
              <w:adjustRightInd w:val="0"/>
              <w:snapToGrid w:val="0"/>
              <w:rPr>
                <w:szCs w:val="21"/>
              </w:rPr>
            </w:pPr>
            <w:r w:rsidRPr="00123108">
              <w:rPr>
                <w:rFonts w:hint="eastAsia"/>
                <w:szCs w:val="21"/>
              </w:rPr>
              <w:t>危险化学品企业按照高危行业领域安全技能提升行动计划实施意见，开展在岗员工安全技能提升培训，培训考核不合格的不得上岗。</w:t>
            </w:r>
          </w:p>
        </w:tc>
        <w:tc>
          <w:tcPr>
            <w:tcW w:w="706" w:type="dxa"/>
            <w:vAlign w:val="center"/>
          </w:tcPr>
          <w:p w:rsidR="004F34D9" w:rsidRPr="00123108" w:rsidRDefault="004F34D9">
            <w:pPr>
              <w:adjustRightInd w:val="0"/>
              <w:snapToGrid w:val="0"/>
              <w:jc w:val="center"/>
              <w:rPr>
                <w:szCs w:val="21"/>
              </w:rPr>
            </w:pPr>
            <w:r w:rsidRPr="00123108">
              <w:rPr>
                <w:szCs w:val="21"/>
              </w:rPr>
              <w:t>符合</w:t>
            </w:r>
          </w:p>
        </w:tc>
        <w:tc>
          <w:tcPr>
            <w:tcW w:w="2129" w:type="dxa"/>
            <w:vAlign w:val="center"/>
          </w:tcPr>
          <w:p w:rsidR="004F34D9" w:rsidRPr="00123108" w:rsidRDefault="004F34D9">
            <w:pPr>
              <w:adjustRightInd w:val="0"/>
              <w:snapToGrid w:val="0"/>
              <w:rPr>
                <w:szCs w:val="21"/>
              </w:rPr>
            </w:pPr>
            <w:r w:rsidRPr="00123108">
              <w:rPr>
                <w:szCs w:val="21"/>
              </w:rPr>
              <w:t>已按意见实施</w:t>
            </w:r>
            <w:r w:rsidRPr="00123108">
              <w:rPr>
                <w:rFonts w:hint="eastAsia"/>
                <w:szCs w:val="21"/>
              </w:rPr>
              <w:t>在岗员工安全技能提升培训</w:t>
            </w:r>
          </w:p>
        </w:tc>
      </w:tr>
    </w:tbl>
    <w:p w:rsidR="004F34D9" w:rsidRPr="00123108" w:rsidRDefault="004F34D9">
      <w:pPr>
        <w:spacing w:line="360" w:lineRule="auto"/>
        <w:ind w:firstLineChars="200" w:firstLine="560"/>
        <w:rPr>
          <w:rFonts w:hint="eastAsia"/>
          <w:sz w:val="28"/>
          <w:szCs w:val="28"/>
        </w:rPr>
      </w:pPr>
      <w:r w:rsidRPr="00123108">
        <w:rPr>
          <w:rFonts w:hint="eastAsia"/>
          <w:sz w:val="28"/>
          <w:szCs w:val="28"/>
        </w:rPr>
        <w:t>小结：通过</w:t>
      </w:r>
      <w:r w:rsidRPr="00123108">
        <w:rPr>
          <w:rFonts w:hint="eastAsia"/>
          <w:sz w:val="28"/>
          <w:szCs w:val="28"/>
          <w:lang w:val="zh-CN"/>
        </w:rPr>
        <w:t>安全生产专项提升整治检查</w:t>
      </w:r>
      <w:r w:rsidRPr="00123108">
        <w:rPr>
          <w:rFonts w:hint="eastAsia"/>
          <w:sz w:val="28"/>
          <w:szCs w:val="28"/>
        </w:rPr>
        <w:t>，能够符合要求。</w:t>
      </w:r>
    </w:p>
    <w:p w:rsidR="004F34D9" w:rsidRPr="00123108" w:rsidRDefault="004F34D9" w:rsidP="00E36E64">
      <w:pPr>
        <w:pStyle w:val="2"/>
        <w:spacing w:line="500" w:lineRule="exact"/>
        <w:jc w:val="both"/>
        <w:rPr>
          <w:rFonts w:ascii="宋体" w:cs="宋体" w:hint="eastAsia"/>
          <w:b w:val="0"/>
          <w:bCs w:val="0"/>
          <w:sz w:val="28"/>
          <w:szCs w:val="28"/>
        </w:rPr>
      </w:pPr>
      <w:bookmarkStart w:id="1843" w:name="_Toc16418"/>
      <w:bookmarkStart w:id="1844" w:name="_Toc190935922"/>
      <w:r w:rsidRPr="00123108">
        <w:rPr>
          <w:rFonts w:ascii="宋体" w:cs="宋体" w:hint="eastAsia"/>
          <w:b w:val="0"/>
          <w:bCs w:val="0"/>
          <w:sz w:val="28"/>
          <w:szCs w:val="28"/>
        </w:rPr>
        <w:t>附件</w:t>
      </w:r>
      <w:r w:rsidRPr="00123108">
        <w:rPr>
          <w:rFonts w:ascii="宋体" w:cs="宋体" w:hint="eastAsia"/>
          <w:b w:val="0"/>
          <w:bCs w:val="0"/>
          <w:sz w:val="28"/>
          <w:szCs w:val="28"/>
        </w:rPr>
        <w:t xml:space="preserve">2.16 </w:t>
      </w:r>
      <w:r w:rsidRPr="00123108">
        <w:rPr>
          <w:rFonts w:ascii="宋体" w:cs="宋体" w:hint="eastAsia"/>
          <w:b w:val="0"/>
          <w:bCs w:val="0"/>
          <w:sz w:val="28"/>
          <w:szCs w:val="28"/>
        </w:rPr>
        <w:t>环保设施安全风险评价</w:t>
      </w:r>
      <w:bookmarkEnd w:id="1843"/>
      <w:bookmarkEnd w:id="1844"/>
    </w:p>
    <w:p w:rsidR="004F34D9" w:rsidRPr="00123108" w:rsidRDefault="004F34D9" w:rsidP="005D35DC">
      <w:pPr>
        <w:tabs>
          <w:tab w:val="left" w:pos="-42"/>
          <w:tab w:val="left" w:pos="1281"/>
        </w:tabs>
        <w:spacing w:line="500" w:lineRule="exact"/>
        <w:ind w:firstLineChars="200" w:firstLine="560"/>
        <w:rPr>
          <w:rFonts w:ascii="宋体" w:hAnsi="宋体" w:cs="宋体" w:hint="eastAsia"/>
          <w:sz w:val="28"/>
          <w:szCs w:val="28"/>
        </w:rPr>
      </w:pPr>
      <w:bookmarkStart w:id="1845" w:name="_Toc6674"/>
      <w:r w:rsidRPr="00123108">
        <w:rPr>
          <w:rFonts w:ascii="宋体" w:hAnsi="宋体" w:cs="宋体" w:hint="eastAsia"/>
          <w:sz w:val="28"/>
          <w:szCs w:val="28"/>
        </w:rPr>
        <w:t>新桥化工三废来源及三废处理情况见报告2.10.8章节。</w:t>
      </w:r>
    </w:p>
    <w:p w:rsidR="005D35DC" w:rsidRPr="00123108" w:rsidRDefault="005D35DC">
      <w:pPr>
        <w:tabs>
          <w:tab w:val="left" w:pos="-42"/>
          <w:tab w:val="left" w:pos="1281"/>
        </w:tabs>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依据《工业有机废气蓄热热力燃烧装置》JB/T 13734-2019 对本项目RTO处理系统进行检查，见附表2.16-1.</w:t>
      </w:r>
    </w:p>
    <w:p w:rsidR="005D35DC" w:rsidRPr="00123108" w:rsidRDefault="005D35DC" w:rsidP="00224B9D">
      <w:pPr>
        <w:tabs>
          <w:tab w:val="left" w:pos="-42"/>
          <w:tab w:val="left" w:pos="1281"/>
        </w:tabs>
        <w:spacing w:line="500" w:lineRule="exact"/>
        <w:ind w:firstLineChars="200" w:firstLine="562"/>
        <w:jc w:val="center"/>
        <w:rPr>
          <w:rFonts w:ascii="黑体" w:eastAsia="黑体" w:hAnsi="黑体" w:cs="宋体" w:hint="eastAsia"/>
          <w:b/>
          <w:sz w:val="28"/>
          <w:szCs w:val="28"/>
        </w:rPr>
      </w:pPr>
      <w:r w:rsidRPr="00123108">
        <w:rPr>
          <w:rFonts w:ascii="黑体" w:eastAsia="黑体" w:hAnsi="黑体" w:cs="宋体" w:hint="eastAsia"/>
          <w:b/>
          <w:sz w:val="28"/>
          <w:szCs w:val="28"/>
        </w:rPr>
        <w:t>附表2.16-1 RTO系统检查表</w:t>
      </w:r>
    </w:p>
    <w:tbl>
      <w:tblPr>
        <w:tblW w:w="101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3804"/>
        <w:gridCol w:w="1785"/>
        <w:gridCol w:w="735"/>
        <w:gridCol w:w="3172"/>
      </w:tblGrid>
      <w:tr w:rsidR="00F136C6" w:rsidRPr="00123108" w:rsidTr="001E2105">
        <w:trPr>
          <w:trHeight w:val="510"/>
          <w:jc w:val="center"/>
        </w:trPr>
        <w:tc>
          <w:tcPr>
            <w:tcW w:w="684" w:type="dxa"/>
            <w:vAlign w:val="center"/>
          </w:tcPr>
          <w:p w:rsidR="00F136C6" w:rsidRPr="00123108" w:rsidRDefault="00F136C6" w:rsidP="00AE210A">
            <w:pPr>
              <w:rPr>
                <w:rFonts w:ascii="宋体" w:hAnsi="宋体" w:cs="宋体"/>
                <w:b/>
                <w:bCs/>
                <w:szCs w:val="21"/>
              </w:rPr>
            </w:pPr>
            <w:r w:rsidRPr="00123108">
              <w:rPr>
                <w:rFonts w:ascii="宋体" w:hAnsi="宋体" w:hint="eastAsia"/>
                <w:szCs w:val="21"/>
              </w:rPr>
              <w:t>序号</w:t>
            </w:r>
          </w:p>
        </w:tc>
        <w:tc>
          <w:tcPr>
            <w:tcW w:w="3804" w:type="dxa"/>
            <w:vAlign w:val="center"/>
          </w:tcPr>
          <w:p w:rsidR="00F136C6" w:rsidRPr="00123108" w:rsidRDefault="00F136C6" w:rsidP="00AE210A">
            <w:pPr>
              <w:pStyle w:val="af0"/>
              <w:rPr>
                <w:rFonts w:ascii="宋体" w:hAnsi="宋体" w:cs="宋体"/>
                <w:b/>
                <w:bCs/>
                <w:szCs w:val="21"/>
              </w:rPr>
            </w:pPr>
            <w:r w:rsidRPr="00123108">
              <w:rPr>
                <w:rFonts w:ascii="宋体" w:hAnsi="宋体" w:hint="eastAsia"/>
                <w:szCs w:val="21"/>
              </w:rPr>
              <w:t>检查项目及内容</w:t>
            </w:r>
          </w:p>
        </w:tc>
        <w:tc>
          <w:tcPr>
            <w:tcW w:w="1785" w:type="dxa"/>
          </w:tcPr>
          <w:p w:rsidR="00F136C6" w:rsidRPr="00123108" w:rsidRDefault="00F136C6" w:rsidP="00AE210A">
            <w:pPr>
              <w:tabs>
                <w:tab w:val="center" w:pos="4153"/>
              </w:tabs>
              <w:rPr>
                <w:rFonts w:ascii="宋体" w:hAnsi="宋体" w:hint="eastAsia"/>
                <w:szCs w:val="21"/>
              </w:rPr>
            </w:pPr>
            <w:r w:rsidRPr="00123108">
              <w:rPr>
                <w:rFonts w:ascii="宋体" w:hAnsi="宋体" w:hint="eastAsia"/>
                <w:szCs w:val="21"/>
              </w:rPr>
              <w:t>检查依据</w:t>
            </w:r>
          </w:p>
        </w:tc>
        <w:tc>
          <w:tcPr>
            <w:tcW w:w="735" w:type="dxa"/>
            <w:vAlign w:val="center"/>
          </w:tcPr>
          <w:p w:rsidR="00F136C6" w:rsidRPr="00123108" w:rsidRDefault="00F136C6" w:rsidP="00AE210A">
            <w:pPr>
              <w:tabs>
                <w:tab w:val="center" w:pos="4153"/>
              </w:tabs>
              <w:rPr>
                <w:rFonts w:ascii="宋体" w:hAnsi="宋体" w:cs="宋体"/>
                <w:b/>
                <w:bCs/>
                <w:szCs w:val="21"/>
              </w:rPr>
            </w:pPr>
            <w:r w:rsidRPr="00123108">
              <w:rPr>
                <w:rFonts w:ascii="宋体" w:hAnsi="宋体" w:hint="eastAsia"/>
                <w:szCs w:val="21"/>
              </w:rPr>
              <w:t>结论</w:t>
            </w:r>
          </w:p>
        </w:tc>
        <w:tc>
          <w:tcPr>
            <w:tcW w:w="3172" w:type="dxa"/>
            <w:vAlign w:val="center"/>
          </w:tcPr>
          <w:p w:rsidR="00F136C6" w:rsidRPr="00123108" w:rsidRDefault="00F136C6" w:rsidP="00AE210A">
            <w:pPr>
              <w:tabs>
                <w:tab w:val="center" w:pos="4153"/>
              </w:tabs>
              <w:rPr>
                <w:rFonts w:ascii="宋体" w:hAnsi="宋体" w:cs="宋体"/>
                <w:b/>
                <w:bCs/>
                <w:szCs w:val="21"/>
              </w:rPr>
            </w:pPr>
            <w:r w:rsidRPr="00123108">
              <w:rPr>
                <w:rFonts w:ascii="宋体" w:hAnsi="宋体" w:hint="eastAsia"/>
                <w:bCs/>
                <w:szCs w:val="21"/>
              </w:rPr>
              <w:t>实际情况说明</w:t>
            </w:r>
          </w:p>
        </w:tc>
      </w:tr>
      <w:tr w:rsidR="00AE210A" w:rsidRPr="00123108" w:rsidTr="001E2105">
        <w:trPr>
          <w:trHeight w:val="510"/>
          <w:jc w:val="center"/>
        </w:trPr>
        <w:tc>
          <w:tcPr>
            <w:tcW w:w="684" w:type="dxa"/>
            <w:vAlign w:val="center"/>
          </w:tcPr>
          <w:p w:rsidR="00AE210A" w:rsidRPr="00123108" w:rsidRDefault="00AE210A" w:rsidP="00AE210A">
            <w:pPr>
              <w:rPr>
                <w:rFonts w:ascii="宋体" w:hAnsi="宋体" w:hint="eastAsia"/>
                <w:szCs w:val="21"/>
              </w:rPr>
            </w:pPr>
            <w:r w:rsidRPr="00123108">
              <w:rPr>
                <w:rFonts w:ascii="宋体" w:hAnsi="宋体" w:hint="eastAsia"/>
                <w:szCs w:val="21"/>
              </w:rPr>
              <w:t>1</w:t>
            </w:r>
          </w:p>
        </w:tc>
        <w:tc>
          <w:tcPr>
            <w:tcW w:w="3804" w:type="dxa"/>
            <w:vAlign w:val="center"/>
          </w:tcPr>
          <w:p w:rsidR="00AE210A" w:rsidRPr="00123108" w:rsidRDefault="00AE210A" w:rsidP="001E2105">
            <w:pPr>
              <w:adjustRightInd w:val="0"/>
              <w:snapToGrid w:val="0"/>
              <w:rPr>
                <w:rFonts w:ascii="宋体" w:hAnsi="宋体" w:hint="eastAsia"/>
                <w:szCs w:val="21"/>
              </w:rPr>
            </w:pPr>
            <w:r w:rsidRPr="00123108">
              <w:rPr>
                <w:rFonts w:ascii="宋体" w:hAnsi="宋体"/>
                <w:szCs w:val="21"/>
              </w:rPr>
              <w:t>RTO 应有醒目的安全提示标志， 保障人身和设备安全</w:t>
            </w:r>
          </w:p>
        </w:tc>
        <w:tc>
          <w:tcPr>
            <w:tcW w:w="1785" w:type="dxa"/>
          </w:tcPr>
          <w:p w:rsidR="00AE210A" w:rsidRPr="00123108" w:rsidRDefault="001E2105" w:rsidP="001E2105">
            <w:pPr>
              <w:adjustRightInd w:val="0"/>
              <w:snapToGrid w:val="0"/>
              <w:rPr>
                <w:rFonts w:ascii="宋体" w:hAnsi="宋体" w:hint="eastAsia"/>
                <w:szCs w:val="21"/>
              </w:rPr>
            </w:pPr>
            <w:r w:rsidRPr="00123108">
              <w:rPr>
                <w:rFonts w:ascii="宋体" w:hAnsi="宋体" w:hint="eastAsia"/>
                <w:szCs w:val="21"/>
              </w:rPr>
              <w:t>JB/T 13734-2019</w:t>
            </w:r>
          </w:p>
          <w:p w:rsidR="001E2105" w:rsidRPr="00123108" w:rsidRDefault="001E2105" w:rsidP="001E2105">
            <w:pPr>
              <w:adjustRightInd w:val="0"/>
              <w:snapToGrid w:val="0"/>
              <w:rPr>
                <w:rFonts w:ascii="宋体" w:hAnsi="宋体" w:hint="eastAsia"/>
                <w:szCs w:val="21"/>
              </w:rPr>
            </w:pPr>
            <w:r w:rsidRPr="00123108">
              <w:rPr>
                <w:rFonts w:ascii="宋体" w:hAnsi="宋体" w:hint="eastAsia"/>
                <w:szCs w:val="21"/>
              </w:rPr>
              <w:t>第5.5.1条</w:t>
            </w:r>
          </w:p>
        </w:tc>
        <w:tc>
          <w:tcPr>
            <w:tcW w:w="735" w:type="dxa"/>
            <w:vAlign w:val="center"/>
          </w:tcPr>
          <w:p w:rsidR="00AE210A" w:rsidRPr="00123108" w:rsidRDefault="00AE210A" w:rsidP="00AE210A">
            <w:pPr>
              <w:tabs>
                <w:tab w:val="center" w:pos="4153"/>
              </w:tabs>
              <w:rPr>
                <w:rFonts w:ascii="宋体" w:hAnsi="宋体" w:hint="eastAsia"/>
                <w:szCs w:val="21"/>
              </w:rPr>
            </w:pPr>
            <w:r w:rsidRPr="00123108">
              <w:rPr>
                <w:rFonts w:ascii="宋体" w:hAnsi="宋体"/>
                <w:szCs w:val="21"/>
              </w:rPr>
              <w:t>符合</w:t>
            </w:r>
          </w:p>
        </w:tc>
        <w:tc>
          <w:tcPr>
            <w:tcW w:w="3172" w:type="dxa"/>
            <w:vAlign w:val="center"/>
          </w:tcPr>
          <w:p w:rsidR="00AE210A" w:rsidRPr="00123108" w:rsidRDefault="001E2105" w:rsidP="00AE210A">
            <w:pPr>
              <w:tabs>
                <w:tab w:val="center" w:pos="4153"/>
              </w:tabs>
              <w:rPr>
                <w:rFonts w:ascii="宋体" w:hAnsi="宋体" w:hint="eastAsia"/>
                <w:bCs/>
                <w:szCs w:val="21"/>
              </w:rPr>
            </w:pPr>
            <w:r w:rsidRPr="00123108">
              <w:rPr>
                <w:rFonts w:ascii="宋体" w:hAnsi="宋体" w:hint="eastAsia"/>
                <w:bCs/>
                <w:szCs w:val="21"/>
              </w:rPr>
              <w:t>已张贴醒目安全警示标志</w:t>
            </w:r>
          </w:p>
        </w:tc>
      </w:tr>
      <w:tr w:rsidR="001E2105" w:rsidRPr="00123108" w:rsidTr="001E2105">
        <w:trPr>
          <w:trHeight w:val="510"/>
          <w:jc w:val="center"/>
        </w:trPr>
        <w:tc>
          <w:tcPr>
            <w:tcW w:w="684" w:type="dxa"/>
            <w:vAlign w:val="center"/>
          </w:tcPr>
          <w:p w:rsidR="001E2105" w:rsidRPr="00123108" w:rsidRDefault="001E2105" w:rsidP="00AE210A">
            <w:pPr>
              <w:rPr>
                <w:rFonts w:ascii="宋体" w:hAnsi="宋体" w:hint="eastAsia"/>
                <w:szCs w:val="21"/>
              </w:rPr>
            </w:pPr>
            <w:r w:rsidRPr="00123108">
              <w:rPr>
                <w:rFonts w:ascii="宋体" w:hAnsi="宋体" w:hint="eastAsia"/>
                <w:szCs w:val="21"/>
              </w:rPr>
              <w:t>2</w:t>
            </w:r>
          </w:p>
        </w:tc>
        <w:tc>
          <w:tcPr>
            <w:tcW w:w="3804" w:type="dxa"/>
            <w:vAlign w:val="center"/>
          </w:tcPr>
          <w:p w:rsidR="001E2105" w:rsidRPr="00123108" w:rsidRDefault="001E2105" w:rsidP="00AE210A">
            <w:pPr>
              <w:adjustRightInd w:val="0"/>
              <w:snapToGrid w:val="0"/>
              <w:rPr>
                <w:rFonts w:ascii="宋体" w:hAnsi="宋体"/>
                <w:szCs w:val="21"/>
              </w:rPr>
            </w:pPr>
            <w:r w:rsidRPr="00123108">
              <w:rPr>
                <w:rFonts w:ascii="宋体" w:hAnsi="宋体"/>
                <w:szCs w:val="21"/>
              </w:rPr>
              <w:t xml:space="preserve">RTO 的进气口、出气口应设置温度、 压力监控设施 </w:t>
            </w:r>
          </w:p>
        </w:tc>
        <w:tc>
          <w:tcPr>
            <w:tcW w:w="1785" w:type="dxa"/>
          </w:tcPr>
          <w:p w:rsidR="001E2105" w:rsidRPr="00123108" w:rsidRDefault="001E2105" w:rsidP="001E2105">
            <w:pPr>
              <w:adjustRightInd w:val="0"/>
              <w:snapToGrid w:val="0"/>
              <w:rPr>
                <w:rFonts w:ascii="宋体" w:hAnsi="宋体" w:hint="eastAsia"/>
                <w:szCs w:val="21"/>
              </w:rPr>
            </w:pPr>
            <w:r w:rsidRPr="00123108">
              <w:rPr>
                <w:rFonts w:ascii="宋体" w:hAnsi="宋体" w:hint="eastAsia"/>
                <w:szCs w:val="21"/>
              </w:rPr>
              <w:t>JB/T 13734-2019</w:t>
            </w:r>
          </w:p>
          <w:p w:rsidR="001E2105" w:rsidRPr="00123108" w:rsidRDefault="001E2105" w:rsidP="001E2105">
            <w:pPr>
              <w:adjustRightInd w:val="0"/>
              <w:snapToGrid w:val="0"/>
              <w:rPr>
                <w:rFonts w:ascii="宋体" w:hAnsi="宋体"/>
                <w:szCs w:val="21"/>
              </w:rPr>
            </w:pPr>
            <w:r w:rsidRPr="00123108">
              <w:rPr>
                <w:rFonts w:ascii="宋体" w:hAnsi="宋体" w:hint="eastAsia"/>
                <w:szCs w:val="21"/>
              </w:rPr>
              <w:t>第5.5.2条</w:t>
            </w:r>
          </w:p>
        </w:tc>
        <w:tc>
          <w:tcPr>
            <w:tcW w:w="735" w:type="dxa"/>
            <w:vAlign w:val="center"/>
          </w:tcPr>
          <w:p w:rsidR="001E2105" w:rsidRPr="00123108" w:rsidRDefault="001E2105" w:rsidP="00AE210A">
            <w:pPr>
              <w:adjustRightInd w:val="0"/>
              <w:snapToGrid w:val="0"/>
              <w:rPr>
                <w:rFonts w:ascii="宋体" w:hAnsi="宋体"/>
                <w:szCs w:val="21"/>
              </w:rPr>
            </w:pPr>
            <w:r w:rsidRPr="00123108">
              <w:rPr>
                <w:rFonts w:ascii="宋体" w:hAnsi="宋体"/>
                <w:szCs w:val="21"/>
              </w:rPr>
              <w:t>符合</w:t>
            </w:r>
          </w:p>
        </w:tc>
        <w:tc>
          <w:tcPr>
            <w:tcW w:w="3172" w:type="dxa"/>
            <w:vAlign w:val="center"/>
          </w:tcPr>
          <w:p w:rsidR="001E2105" w:rsidRPr="00123108" w:rsidRDefault="0004018C" w:rsidP="00AE210A">
            <w:pPr>
              <w:adjustRightInd w:val="0"/>
              <w:snapToGrid w:val="0"/>
              <w:rPr>
                <w:rFonts w:ascii="宋体" w:hAnsi="宋体"/>
                <w:szCs w:val="21"/>
              </w:rPr>
            </w:pPr>
            <w:r w:rsidRPr="00123108">
              <w:rPr>
                <w:rFonts w:ascii="宋体" w:hAnsi="宋体" w:hint="eastAsia"/>
                <w:szCs w:val="21"/>
              </w:rPr>
              <w:t>进口设有压力检测、</w:t>
            </w:r>
            <w:r w:rsidR="001E2105" w:rsidRPr="00123108">
              <w:rPr>
                <w:rFonts w:ascii="宋体" w:hAnsi="宋体" w:hint="eastAsia"/>
                <w:szCs w:val="21"/>
              </w:rPr>
              <w:t>出口设置温度监测，进口、炉膛设置压力监测</w:t>
            </w:r>
          </w:p>
        </w:tc>
      </w:tr>
      <w:tr w:rsidR="001E2105" w:rsidRPr="00123108" w:rsidTr="001E2105">
        <w:trPr>
          <w:trHeight w:val="510"/>
          <w:jc w:val="center"/>
        </w:trPr>
        <w:tc>
          <w:tcPr>
            <w:tcW w:w="684" w:type="dxa"/>
            <w:vAlign w:val="center"/>
          </w:tcPr>
          <w:p w:rsidR="001E2105" w:rsidRPr="00123108" w:rsidRDefault="001E2105" w:rsidP="00AE210A">
            <w:pPr>
              <w:rPr>
                <w:rFonts w:ascii="宋体" w:hAnsi="宋体" w:hint="eastAsia"/>
                <w:szCs w:val="21"/>
              </w:rPr>
            </w:pPr>
            <w:r w:rsidRPr="00123108">
              <w:rPr>
                <w:rFonts w:ascii="宋体" w:hAnsi="宋体" w:hint="eastAsia"/>
                <w:szCs w:val="21"/>
              </w:rPr>
              <w:t>3</w:t>
            </w:r>
          </w:p>
        </w:tc>
        <w:tc>
          <w:tcPr>
            <w:tcW w:w="3804" w:type="dxa"/>
            <w:vAlign w:val="center"/>
          </w:tcPr>
          <w:p w:rsidR="001E2105" w:rsidRPr="00123108" w:rsidRDefault="001E2105" w:rsidP="00AE210A">
            <w:pPr>
              <w:adjustRightInd w:val="0"/>
              <w:snapToGrid w:val="0"/>
              <w:rPr>
                <w:rFonts w:ascii="宋体" w:hAnsi="宋体" w:hint="eastAsia"/>
                <w:szCs w:val="21"/>
              </w:rPr>
            </w:pPr>
            <w:r w:rsidRPr="00123108">
              <w:rPr>
                <w:rFonts w:ascii="宋体" w:hAnsi="宋体"/>
                <w:szCs w:val="21"/>
              </w:rPr>
              <w:t>RTO 燃烧室内应安装测温装置， 数量应不少于 2 个，安装位置应避开加热器高温区</w:t>
            </w:r>
          </w:p>
        </w:tc>
        <w:tc>
          <w:tcPr>
            <w:tcW w:w="1785" w:type="dxa"/>
          </w:tcPr>
          <w:p w:rsidR="001E2105" w:rsidRPr="00123108" w:rsidRDefault="001E2105" w:rsidP="001E2105">
            <w:pPr>
              <w:adjustRightInd w:val="0"/>
              <w:snapToGrid w:val="0"/>
              <w:rPr>
                <w:rFonts w:ascii="宋体" w:hAnsi="宋体" w:hint="eastAsia"/>
                <w:szCs w:val="21"/>
              </w:rPr>
            </w:pPr>
            <w:r w:rsidRPr="00123108">
              <w:rPr>
                <w:rFonts w:ascii="宋体" w:hAnsi="宋体" w:hint="eastAsia"/>
                <w:szCs w:val="21"/>
              </w:rPr>
              <w:t>JB/T 13734-2019</w:t>
            </w:r>
          </w:p>
          <w:p w:rsidR="001E2105" w:rsidRPr="00123108" w:rsidRDefault="001E2105" w:rsidP="001E2105">
            <w:pPr>
              <w:adjustRightInd w:val="0"/>
              <w:snapToGrid w:val="0"/>
              <w:rPr>
                <w:rFonts w:ascii="宋体" w:hAnsi="宋体"/>
                <w:szCs w:val="21"/>
              </w:rPr>
            </w:pPr>
            <w:r w:rsidRPr="00123108">
              <w:rPr>
                <w:rFonts w:ascii="宋体" w:hAnsi="宋体" w:hint="eastAsia"/>
                <w:szCs w:val="21"/>
              </w:rPr>
              <w:t>第5.5.3条</w:t>
            </w:r>
          </w:p>
        </w:tc>
        <w:tc>
          <w:tcPr>
            <w:tcW w:w="735" w:type="dxa"/>
            <w:vAlign w:val="center"/>
          </w:tcPr>
          <w:p w:rsidR="001E2105" w:rsidRPr="00123108" w:rsidRDefault="001E2105" w:rsidP="00AE210A">
            <w:pPr>
              <w:adjustRightInd w:val="0"/>
              <w:snapToGrid w:val="0"/>
              <w:rPr>
                <w:rFonts w:ascii="宋体" w:hAnsi="宋体"/>
                <w:szCs w:val="21"/>
              </w:rPr>
            </w:pPr>
            <w:r w:rsidRPr="00123108">
              <w:rPr>
                <w:rFonts w:ascii="宋体" w:hAnsi="宋体"/>
                <w:szCs w:val="21"/>
              </w:rPr>
              <w:t>符合</w:t>
            </w:r>
          </w:p>
        </w:tc>
        <w:tc>
          <w:tcPr>
            <w:tcW w:w="3172" w:type="dxa"/>
            <w:vAlign w:val="center"/>
          </w:tcPr>
          <w:p w:rsidR="001E2105" w:rsidRPr="00123108" w:rsidRDefault="001E2105" w:rsidP="00AE210A">
            <w:pPr>
              <w:adjustRightInd w:val="0"/>
              <w:snapToGrid w:val="0"/>
              <w:rPr>
                <w:rFonts w:ascii="宋体" w:hAnsi="宋体"/>
                <w:szCs w:val="21"/>
              </w:rPr>
            </w:pPr>
            <w:r w:rsidRPr="00123108">
              <w:rPr>
                <w:rFonts w:ascii="宋体" w:hAnsi="宋体" w:hint="eastAsia"/>
                <w:szCs w:val="21"/>
              </w:rPr>
              <w:t>燃烧室内安装了3个测温热电偶，蓄热层内安装了6个热电偶，实时监测温度</w:t>
            </w:r>
          </w:p>
        </w:tc>
      </w:tr>
      <w:tr w:rsidR="001E2105" w:rsidRPr="00123108" w:rsidTr="001E2105">
        <w:trPr>
          <w:trHeight w:val="510"/>
          <w:jc w:val="center"/>
        </w:trPr>
        <w:tc>
          <w:tcPr>
            <w:tcW w:w="684" w:type="dxa"/>
            <w:vAlign w:val="center"/>
          </w:tcPr>
          <w:p w:rsidR="001E2105" w:rsidRPr="00123108" w:rsidRDefault="001E2105" w:rsidP="00AE210A">
            <w:pPr>
              <w:rPr>
                <w:rFonts w:ascii="宋体" w:hAnsi="宋体" w:hint="eastAsia"/>
                <w:szCs w:val="21"/>
              </w:rPr>
            </w:pPr>
            <w:r w:rsidRPr="00123108">
              <w:rPr>
                <w:rFonts w:ascii="宋体" w:hAnsi="宋体" w:hint="eastAsia"/>
                <w:szCs w:val="21"/>
              </w:rPr>
              <w:lastRenderedPageBreak/>
              <w:t>4</w:t>
            </w:r>
          </w:p>
        </w:tc>
        <w:tc>
          <w:tcPr>
            <w:tcW w:w="3804" w:type="dxa"/>
            <w:vAlign w:val="center"/>
          </w:tcPr>
          <w:p w:rsidR="001E2105" w:rsidRPr="00123108" w:rsidRDefault="001E2105" w:rsidP="00AE210A">
            <w:pPr>
              <w:adjustRightInd w:val="0"/>
              <w:snapToGrid w:val="0"/>
              <w:rPr>
                <w:rFonts w:ascii="宋体" w:hAnsi="宋体"/>
                <w:szCs w:val="21"/>
              </w:rPr>
            </w:pPr>
            <w:r w:rsidRPr="00123108">
              <w:rPr>
                <w:rFonts w:ascii="宋体" w:hAnsi="宋体"/>
                <w:szCs w:val="21"/>
              </w:rPr>
              <w:t>加热系统应设有安全保护和报警装置。若燃烧器启动后点火不正常时， 安全保护装置应能自动切断燃料供应</w:t>
            </w:r>
          </w:p>
        </w:tc>
        <w:tc>
          <w:tcPr>
            <w:tcW w:w="1785" w:type="dxa"/>
          </w:tcPr>
          <w:p w:rsidR="001E2105" w:rsidRPr="00123108" w:rsidRDefault="001E2105" w:rsidP="001E2105">
            <w:pPr>
              <w:adjustRightInd w:val="0"/>
              <w:snapToGrid w:val="0"/>
              <w:rPr>
                <w:rFonts w:ascii="宋体" w:hAnsi="宋体" w:hint="eastAsia"/>
                <w:szCs w:val="21"/>
              </w:rPr>
            </w:pPr>
            <w:r w:rsidRPr="00123108">
              <w:rPr>
                <w:rFonts w:ascii="宋体" w:hAnsi="宋体" w:hint="eastAsia"/>
                <w:szCs w:val="21"/>
              </w:rPr>
              <w:t>JB/T 13734-2019</w:t>
            </w:r>
          </w:p>
          <w:p w:rsidR="001E2105" w:rsidRPr="00123108" w:rsidRDefault="001E2105" w:rsidP="001E2105">
            <w:pPr>
              <w:adjustRightInd w:val="0"/>
              <w:snapToGrid w:val="0"/>
              <w:rPr>
                <w:rFonts w:ascii="宋体" w:hAnsi="宋体"/>
                <w:szCs w:val="21"/>
              </w:rPr>
            </w:pPr>
            <w:r w:rsidRPr="00123108">
              <w:rPr>
                <w:rFonts w:ascii="宋体" w:hAnsi="宋体" w:hint="eastAsia"/>
                <w:szCs w:val="21"/>
              </w:rPr>
              <w:t>第5.5.4条</w:t>
            </w:r>
          </w:p>
        </w:tc>
        <w:tc>
          <w:tcPr>
            <w:tcW w:w="735" w:type="dxa"/>
            <w:vAlign w:val="center"/>
          </w:tcPr>
          <w:p w:rsidR="001E2105" w:rsidRPr="00123108" w:rsidRDefault="001E2105" w:rsidP="00AE210A">
            <w:pPr>
              <w:adjustRightInd w:val="0"/>
              <w:snapToGrid w:val="0"/>
              <w:rPr>
                <w:rFonts w:ascii="宋体" w:hAnsi="宋体"/>
                <w:szCs w:val="21"/>
              </w:rPr>
            </w:pPr>
            <w:r w:rsidRPr="00123108">
              <w:rPr>
                <w:rFonts w:ascii="宋体" w:hAnsi="宋体"/>
                <w:szCs w:val="21"/>
              </w:rPr>
              <w:t>符合</w:t>
            </w:r>
          </w:p>
        </w:tc>
        <w:tc>
          <w:tcPr>
            <w:tcW w:w="3172" w:type="dxa"/>
            <w:vAlign w:val="center"/>
          </w:tcPr>
          <w:p w:rsidR="001E2105" w:rsidRPr="00123108" w:rsidRDefault="001E2105" w:rsidP="00AE210A">
            <w:pPr>
              <w:adjustRightInd w:val="0"/>
              <w:snapToGrid w:val="0"/>
              <w:rPr>
                <w:rFonts w:ascii="宋体" w:hAnsi="宋体"/>
                <w:szCs w:val="21"/>
              </w:rPr>
            </w:pPr>
            <w:r w:rsidRPr="00123108">
              <w:rPr>
                <w:rFonts w:ascii="宋体" w:hAnsi="宋体" w:hint="eastAsia"/>
                <w:szCs w:val="21"/>
              </w:rPr>
              <w:t>RTO 为PLC自动控制，点火不正常、燃烧室高温/高高温、进气浓度高等均会自动连锁保护，自动切断进气和燃料供应</w:t>
            </w:r>
          </w:p>
        </w:tc>
      </w:tr>
      <w:tr w:rsidR="001E2105" w:rsidRPr="00123108" w:rsidTr="001E2105">
        <w:trPr>
          <w:trHeight w:val="510"/>
          <w:jc w:val="center"/>
        </w:trPr>
        <w:tc>
          <w:tcPr>
            <w:tcW w:w="684" w:type="dxa"/>
            <w:vAlign w:val="center"/>
          </w:tcPr>
          <w:p w:rsidR="001E2105" w:rsidRPr="00123108" w:rsidRDefault="001E2105" w:rsidP="00AE210A">
            <w:pPr>
              <w:rPr>
                <w:rFonts w:ascii="宋体" w:hAnsi="宋体" w:hint="eastAsia"/>
                <w:szCs w:val="21"/>
              </w:rPr>
            </w:pPr>
            <w:r w:rsidRPr="00123108">
              <w:rPr>
                <w:rFonts w:ascii="宋体" w:hAnsi="宋体" w:hint="eastAsia"/>
                <w:szCs w:val="21"/>
              </w:rPr>
              <w:t>5</w:t>
            </w:r>
          </w:p>
        </w:tc>
        <w:tc>
          <w:tcPr>
            <w:tcW w:w="3804" w:type="dxa"/>
            <w:vAlign w:val="center"/>
          </w:tcPr>
          <w:p w:rsidR="001E2105" w:rsidRPr="00123108" w:rsidRDefault="001E2105" w:rsidP="00AE210A">
            <w:pPr>
              <w:adjustRightInd w:val="0"/>
              <w:snapToGrid w:val="0"/>
              <w:rPr>
                <w:rFonts w:ascii="宋体" w:hAnsi="宋体"/>
                <w:szCs w:val="21"/>
              </w:rPr>
            </w:pPr>
            <w:r w:rsidRPr="00123108">
              <w:rPr>
                <w:rFonts w:ascii="宋体" w:hAnsi="宋体"/>
                <w:szCs w:val="21"/>
              </w:rPr>
              <w:t>RTO 应安装防雷接地设施，并符合 GB 50057 的规定</w:t>
            </w:r>
          </w:p>
        </w:tc>
        <w:tc>
          <w:tcPr>
            <w:tcW w:w="1785" w:type="dxa"/>
          </w:tcPr>
          <w:p w:rsidR="001E2105" w:rsidRPr="00123108" w:rsidRDefault="001E2105" w:rsidP="001E2105">
            <w:pPr>
              <w:adjustRightInd w:val="0"/>
              <w:snapToGrid w:val="0"/>
              <w:rPr>
                <w:rFonts w:ascii="宋体" w:hAnsi="宋体" w:hint="eastAsia"/>
                <w:szCs w:val="21"/>
              </w:rPr>
            </w:pPr>
            <w:r w:rsidRPr="00123108">
              <w:rPr>
                <w:rFonts w:ascii="宋体" w:hAnsi="宋体" w:hint="eastAsia"/>
                <w:szCs w:val="21"/>
              </w:rPr>
              <w:t>JB/T 13734-2019</w:t>
            </w:r>
          </w:p>
          <w:p w:rsidR="001E2105" w:rsidRPr="00123108" w:rsidRDefault="001E2105" w:rsidP="001E2105">
            <w:pPr>
              <w:adjustRightInd w:val="0"/>
              <w:snapToGrid w:val="0"/>
              <w:rPr>
                <w:rFonts w:ascii="宋体" w:hAnsi="宋体"/>
                <w:szCs w:val="21"/>
              </w:rPr>
            </w:pPr>
            <w:r w:rsidRPr="00123108">
              <w:rPr>
                <w:rFonts w:ascii="宋体" w:hAnsi="宋体" w:hint="eastAsia"/>
                <w:szCs w:val="21"/>
              </w:rPr>
              <w:t>第5.5.5条</w:t>
            </w:r>
          </w:p>
        </w:tc>
        <w:tc>
          <w:tcPr>
            <w:tcW w:w="735" w:type="dxa"/>
            <w:vAlign w:val="center"/>
          </w:tcPr>
          <w:p w:rsidR="001E2105" w:rsidRPr="00123108" w:rsidRDefault="001E2105" w:rsidP="00AE210A">
            <w:pPr>
              <w:adjustRightInd w:val="0"/>
              <w:snapToGrid w:val="0"/>
              <w:rPr>
                <w:rFonts w:ascii="宋体" w:hAnsi="宋体"/>
                <w:szCs w:val="21"/>
              </w:rPr>
            </w:pPr>
            <w:r w:rsidRPr="00123108">
              <w:rPr>
                <w:rFonts w:ascii="宋体" w:hAnsi="宋体"/>
                <w:szCs w:val="21"/>
              </w:rPr>
              <w:t>符合</w:t>
            </w:r>
          </w:p>
        </w:tc>
        <w:tc>
          <w:tcPr>
            <w:tcW w:w="3172" w:type="dxa"/>
            <w:vAlign w:val="center"/>
          </w:tcPr>
          <w:p w:rsidR="001E2105" w:rsidRPr="00123108" w:rsidRDefault="001E2105" w:rsidP="00AE210A">
            <w:pPr>
              <w:adjustRightInd w:val="0"/>
              <w:snapToGrid w:val="0"/>
              <w:rPr>
                <w:rFonts w:ascii="宋体" w:hAnsi="宋体" w:hint="eastAsia"/>
                <w:szCs w:val="21"/>
              </w:rPr>
            </w:pPr>
            <w:r w:rsidRPr="00123108">
              <w:rPr>
                <w:rFonts w:ascii="宋体" w:hAnsi="宋体" w:hint="eastAsia"/>
                <w:szCs w:val="21"/>
              </w:rPr>
              <w:t>已安装防雷接地并检测合格</w:t>
            </w:r>
          </w:p>
        </w:tc>
      </w:tr>
      <w:tr w:rsidR="001E2105" w:rsidRPr="00123108" w:rsidTr="001E2105">
        <w:trPr>
          <w:trHeight w:val="510"/>
          <w:jc w:val="center"/>
        </w:trPr>
        <w:tc>
          <w:tcPr>
            <w:tcW w:w="684" w:type="dxa"/>
            <w:vAlign w:val="center"/>
          </w:tcPr>
          <w:p w:rsidR="001E2105" w:rsidRPr="00123108" w:rsidRDefault="001E2105" w:rsidP="00AE210A">
            <w:pPr>
              <w:rPr>
                <w:rFonts w:ascii="宋体" w:hAnsi="宋体" w:hint="eastAsia"/>
                <w:szCs w:val="21"/>
              </w:rPr>
            </w:pPr>
            <w:r w:rsidRPr="00123108">
              <w:rPr>
                <w:rFonts w:ascii="宋体" w:hAnsi="宋体" w:hint="eastAsia"/>
                <w:szCs w:val="21"/>
              </w:rPr>
              <w:t>6</w:t>
            </w:r>
          </w:p>
        </w:tc>
        <w:tc>
          <w:tcPr>
            <w:tcW w:w="3804" w:type="dxa"/>
            <w:vAlign w:val="center"/>
          </w:tcPr>
          <w:p w:rsidR="001E2105" w:rsidRPr="00123108" w:rsidRDefault="001E2105" w:rsidP="00AE210A">
            <w:pPr>
              <w:adjustRightInd w:val="0"/>
              <w:snapToGrid w:val="0"/>
              <w:rPr>
                <w:rFonts w:ascii="宋体" w:hAnsi="宋体"/>
                <w:szCs w:val="21"/>
              </w:rPr>
            </w:pPr>
            <w:r w:rsidRPr="00123108">
              <w:rPr>
                <w:rFonts w:ascii="宋体" w:hAnsi="宋体"/>
                <w:szCs w:val="21"/>
              </w:rPr>
              <w:t>在室外使用的 RTO,其电器部件的外壳防护等级应不低于 IP54</w:t>
            </w:r>
          </w:p>
        </w:tc>
        <w:tc>
          <w:tcPr>
            <w:tcW w:w="1785" w:type="dxa"/>
          </w:tcPr>
          <w:p w:rsidR="001E2105" w:rsidRPr="00123108" w:rsidRDefault="001E2105" w:rsidP="001E2105">
            <w:pPr>
              <w:adjustRightInd w:val="0"/>
              <w:snapToGrid w:val="0"/>
              <w:rPr>
                <w:rFonts w:ascii="宋体" w:hAnsi="宋体" w:hint="eastAsia"/>
                <w:szCs w:val="21"/>
              </w:rPr>
            </w:pPr>
            <w:r w:rsidRPr="00123108">
              <w:rPr>
                <w:rFonts w:ascii="宋体" w:hAnsi="宋体" w:hint="eastAsia"/>
                <w:szCs w:val="21"/>
              </w:rPr>
              <w:t>JB/T 13734-2019</w:t>
            </w:r>
          </w:p>
          <w:p w:rsidR="001E2105" w:rsidRPr="00123108" w:rsidRDefault="001E2105" w:rsidP="001E2105">
            <w:pPr>
              <w:adjustRightInd w:val="0"/>
              <w:snapToGrid w:val="0"/>
              <w:rPr>
                <w:rFonts w:ascii="宋体" w:hAnsi="宋体"/>
                <w:szCs w:val="21"/>
              </w:rPr>
            </w:pPr>
            <w:r w:rsidRPr="00123108">
              <w:rPr>
                <w:rFonts w:ascii="宋体" w:hAnsi="宋体" w:hint="eastAsia"/>
                <w:szCs w:val="21"/>
              </w:rPr>
              <w:t>第5.5.6条</w:t>
            </w:r>
          </w:p>
        </w:tc>
        <w:tc>
          <w:tcPr>
            <w:tcW w:w="735" w:type="dxa"/>
            <w:vAlign w:val="center"/>
          </w:tcPr>
          <w:p w:rsidR="001E2105" w:rsidRPr="00123108" w:rsidRDefault="001E2105" w:rsidP="00AE210A">
            <w:pPr>
              <w:adjustRightInd w:val="0"/>
              <w:snapToGrid w:val="0"/>
              <w:rPr>
                <w:rFonts w:ascii="宋体" w:hAnsi="宋体"/>
                <w:szCs w:val="21"/>
              </w:rPr>
            </w:pPr>
            <w:r w:rsidRPr="00123108">
              <w:rPr>
                <w:rFonts w:ascii="宋体" w:hAnsi="宋体"/>
                <w:szCs w:val="21"/>
              </w:rPr>
              <w:t>符合</w:t>
            </w:r>
          </w:p>
        </w:tc>
        <w:tc>
          <w:tcPr>
            <w:tcW w:w="3172" w:type="dxa"/>
            <w:vAlign w:val="center"/>
          </w:tcPr>
          <w:p w:rsidR="001E2105" w:rsidRPr="00123108" w:rsidRDefault="001E2105" w:rsidP="00AE210A">
            <w:pPr>
              <w:adjustRightInd w:val="0"/>
              <w:snapToGrid w:val="0"/>
              <w:rPr>
                <w:rFonts w:ascii="宋体" w:hAnsi="宋体"/>
                <w:szCs w:val="21"/>
              </w:rPr>
            </w:pPr>
            <w:r w:rsidRPr="00123108">
              <w:rPr>
                <w:rFonts w:ascii="宋体" w:hAnsi="宋体" w:hint="eastAsia"/>
                <w:szCs w:val="21"/>
              </w:rPr>
              <w:t>电器部件外壳现场勘察时完好</w:t>
            </w:r>
          </w:p>
        </w:tc>
      </w:tr>
      <w:tr w:rsidR="001E2105" w:rsidRPr="00123108" w:rsidTr="001E2105">
        <w:trPr>
          <w:trHeight w:val="510"/>
          <w:jc w:val="center"/>
        </w:trPr>
        <w:tc>
          <w:tcPr>
            <w:tcW w:w="684" w:type="dxa"/>
            <w:vAlign w:val="center"/>
          </w:tcPr>
          <w:p w:rsidR="001E2105" w:rsidRPr="00123108" w:rsidRDefault="001E2105" w:rsidP="00AE210A">
            <w:pPr>
              <w:rPr>
                <w:rFonts w:ascii="宋体" w:hAnsi="宋体" w:hint="eastAsia"/>
                <w:szCs w:val="21"/>
              </w:rPr>
            </w:pPr>
            <w:r w:rsidRPr="00123108">
              <w:rPr>
                <w:rFonts w:ascii="宋体" w:hAnsi="宋体" w:hint="eastAsia"/>
                <w:szCs w:val="21"/>
              </w:rPr>
              <w:t>7</w:t>
            </w:r>
          </w:p>
        </w:tc>
        <w:tc>
          <w:tcPr>
            <w:tcW w:w="3804" w:type="dxa"/>
            <w:vAlign w:val="center"/>
          </w:tcPr>
          <w:p w:rsidR="001E2105" w:rsidRPr="00123108" w:rsidRDefault="001E2105" w:rsidP="001E2105">
            <w:pPr>
              <w:adjustRightInd w:val="0"/>
              <w:snapToGrid w:val="0"/>
              <w:rPr>
                <w:rFonts w:ascii="宋体" w:hAnsi="宋体"/>
                <w:szCs w:val="21"/>
              </w:rPr>
            </w:pPr>
            <w:r w:rsidRPr="00123108">
              <w:rPr>
                <w:rFonts w:ascii="宋体" w:hAnsi="宋体"/>
                <w:szCs w:val="21"/>
              </w:rPr>
              <w:t>爬梯及平台应符合 GB 4053.1、GB 4053.2、 GB 4053.3 的要求。</w:t>
            </w:r>
          </w:p>
        </w:tc>
        <w:tc>
          <w:tcPr>
            <w:tcW w:w="1785" w:type="dxa"/>
          </w:tcPr>
          <w:p w:rsidR="001E2105" w:rsidRPr="00123108" w:rsidRDefault="001E2105" w:rsidP="001E2105">
            <w:pPr>
              <w:adjustRightInd w:val="0"/>
              <w:snapToGrid w:val="0"/>
              <w:rPr>
                <w:rFonts w:ascii="宋体" w:hAnsi="宋体" w:hint="eastAsia"/>
                <w:szCs w:val="21"/>
              </w:rPr>
            </w:pPr>
            <w:r w:rsidRPr="00123108">
              <w:rPr>
                <w:rFonts w:ascii="宋体" w:hAnsi="宋体" w:hint="eastAsia"/>
                <w:szCs w:val="21"/>
              </w:rPr>
              <w:t>JB/T 13734-2019</w:t>
            </w:r>
          </w:p>
          <w:p w:rsidR="001E2105" w:rsidRPr="00123108" w:rsidRDefault="001E2105" w:rsidP="001E2105">
            <w:pPr>
              <w:adjustRightInd w:val="0"/>
              <w:snapToGrid w:val="0"/>
              <w:rPr>
                <w:rFonts w:ascii="宋体" w:hAnsi="宋体"/>
                <w:szCs w:val="21"/>
              </w:rPr>
            </w:pPr>
            <w:r w:rsidRPr="00123108">
              <w:rPr>
                <w:rFonts w:ascii="宋体" w:hAnsi="宋体" w:hint="eastAsia"/>
                <w:szCs w:val="21"/>
              </w:rPr>
              <w:t>第5.5.7条</w:t>
            </w:r>
          </w:p>
        </w:tc>
        <w:tc>
          <w:tcPr>
            <w:tcW w:w="735" w:type="dxa"/>
            <w:vAlign w:val="center"/>
          </w:tcPr>
          <w:p w:rsidR="001E2105" w:rsidRPr="00123108" w:rsidRDefault="001E2105" w:rsidP="00AE210A">
            <w:pPr>
              <w:adjustRightInd w:val="0"/>
              <w:snapToGrid w:val="0"/>
              <w:rPr>
                <w:rFonts w:ascii="宋体" w:hAnsi="宋体" w:hint="eastAsia"/>
                <w:szCs w:val="21"/>
              </w:rPr>
            </w:pPr>
            <w:r w:rsidRPr="00123108">
              <w:rPr>
                <w:rFonts w:ascii="宋体" w:hAnsi="宋体"/>
                <w:szCs w:val="21"/>
              </w:rPr>
              <w:t>符合</w:t>
            </w:r>
          </w:p>
        </w:tc>
        <w:tc>
          <w:tcPr>
            <w:tcW w:w="3172" w:type="dxa"/>
            <w:vAlign w:val="center"/>
          </w:tcPr>
          <w:p w:rsidR="001E2105" w:rsidRPr="00123108" w:rsidRDefault="001E2105" w:rsidP="00AE210A">
            <w:pPr>
              <w:adjustRightInd w:val="0"/>
              <w:snapToGrid w:val="0"/>
              <w:rPr>
                <w:rFonts w:ascii="宋体" w:hAnsi="宋体" w:hint="eastAsia"/>
                <w:szCs w:val="21"/>
              </w:rPr>
            </w:pPr>
            <w:r w:rsidRPr="00123108">
              <w:rPr>
                <w:rFonts w:ascii="宋体" w:hAnsi="宋体"/>
                <w:szCs w:val="21"/>
              </w:rPr>
              <w:t>爬梯及平台</w:t>
            </w:r>
            <w:r w:rsidRPr="00123108">
              <w:rPr>
                <w:rFonts w:ascii="宋体" w:hAnsi="宋体" w:hint="eastAsia"/>
                <w:szCs w:val="21"/>
              </w:rPr>
              <w:t>符合要求</w:t>
            </w:r>
          </w:p>
        </w:tc>
      </w:tr>
      <w:tr w:rsidR="001E2105" w:rsidRPr="00123108" w:rsidTr="001E2105">
        <w:trPr>
          <w:trHeight w:val="510"/>
          <w:jc w:val="center"/>
        </w:trPr>
        <w:tc>
          <w:tcPr>
            <w:tcW w:w="684" w:type="dxa"/>
            <w:vAlign w:val="center"/>
          </w:tcPr>
          <w:p w:rsidR="001E2105" w:rsidRPr="00123108" w:rsidRDefault="001E2105" w:rsidP="00AE210A">
            <w:pPr>
              <w:rPr>
                <w:rFonts w:ascii="宋体" w:hAnsi="宋体" w:hint="eastAsia"/>
                <w:szCs w:val="21"/>
              </w:rPr>
            </w:pPr>
            <w:r w:rsidRPr="00123108">
              <w:rPr>
                <w:rFonts w:ascii="宋体" w:hAnsi="宋体" w:hint="eastAsia"/>
                <w:szCs w:val="21"/>
              </w:rPr>
              <w:t>8</w:t>
            </w:r>
          </w:p>
        </w:tc>
        <w:tc>
          <w:tcPr>
            <w:tcW w:w="3804" w:type="dxa"/>
            <w:vAlign w:val="center"/>
          </w:tcPr>
          <w:p w:rsidR="001E2105" w:rsidRPr="00123108" w:rsidRDefault="001E2105" w:rsidP="00AE210A">
            <w:pPr>
              <w:adjustRightInd w:val="0"/>
              <w:snapToGrid w:val="0"/>
              <w:rPr>
                <w:rFonts w:ascii="宋体" w:hAnsi="宋体"/>
                <w:szCs w:val="21"/>
              </w:rPr>
            </w:pPr>
            <w:r w:rsidRPr="00123108">
              <w:rPr>
                <w:rFonts w:ascii="宋体" w:hAnsi="宋体"/>
                <w:szCs w:val="21"/>
              </w:rPr>
              <w:t>电气控制设备安全应符合 GB 5226.1 的要求。</w:t>
            </w:r>
          </w:p>
        </w:tc>
        <w:tc>
          <w:tcPr>
            <w:tcW w:w="1785" w:type="dxa"/>
          </w:tcPr>
          <w:p w:rsidR="001E2105" w:rsidRPr="00123108" w:rsidRDefault="001E2105" w:rsidP="001E2105">
            <w:pPr>
              <w:adjustRightInd w:val="0"/>
              <w:snapToGrid w:val="0"/>
              <w:rPr>
                <w:rFonts w:ascii="宋体" w:hAnsi="宋体" w:hint="eastAsia"/>
                <w:szCs w:val="21"/>
              </w:rPr>
            </w:pPr>
            <w:r w:rsidRPr="00123108">
              <w:rPr>
                <w:rFonts w:ascii="宋体" w:hAnsi="宋体" w:hint="eastAsia"/>
                <w:szCs w:val="21"/>
              </w:rPr>
              <w:t>JB/T 13734-2019</w:t>
            </w:r>
          </w:p>
          <w:p w:rsidR="001E2105" w:rsidRPr="00123108" w:rsidRDefault="001E2105" w:rsidP="001E2105">
            <w:pPr>
              <w:adjustRightInd w:val="0"/>
              <w:snapToGrid w:val="0"/>
              <w:rPr>
                <w:rFonts w:ascii="宋体" w:hAnsi="宋体"/>
                <w:szCs w:val="21"/>
              </w:rPr>
            </w:pPr>
            <w:r w:rsidRPr="00123108">
              <w:rPr>
                <w:rFonts w:ascii="宋体" w:hAnsi="宋体" w:hint="eastAsia"/>
                <w:szCs w:val="21"/>
              </w:rPr>
              <w:t>第5.5.8条</w:t>
            </w:r>
          </w:p>
        </w:tc>
        <w:tc>
          <w:tcPr>
            <w:tcW w:w="735" w:type="dxa"/>
            <w:vAlign w:val="center"/>
          </w:tcPr>
          <w:p w:rsidR="001E2105" w:rsidRPr="00123108" w:rsidRDefault="001E2105" w:rsidP="00AE210A">
            <w:pPr>
              <w:adjustRightInd w:val="0"/>
              <w:snapToGrid w:val="0"/>
              <w:rPr>
                <w:rFonts w:ascii="宋体" w:hAnsi="宋体"/>
                <w:szCs w:val="21"/>
              </w:rPr>
            </w:pPr>
            <w:r w:rsidRPr="00123108">
              <w:rPr>
                <w:rFonts w:ascii="宋体" w:hAnsi="宋体"/>
                <w:szCs w:val="21"/>
              </w:rPr>
              <w:t>符合</w:t>
            </w:r>
          </w:p>
        </w:tc>
        <w:tc>
          <w:tcPr>
            <w:tcW w:w="3172" w:type="dxa"/>
            <w:vAlign w:val="center"/>
          </w:tcPr>
          <w:p w:rsidR="001E2105" w:rsidRPr="00123108" w:rsidRDefault="001E2105" w:rsidP="00AE210A">
            <w:pPr>
              <w:adjustRightInd w:val="0"/>
              <w:snapToGrid w:val="0"/>
              <w:rPr>
                <w:rFonts w:ascii="宋体" w:hAnsi="宋体" w:hint="eastAsia"/>
                <w:szCs w:val="21"/>
              </w:rPr>
            </w:pPr>
            <w:r w:rsidRPr="00123108">
              <w:rPr>
                <w:rFonts w:ascii="宋体" w:hAnsi="宋体" w:hint="eastAsia"/>
                <w:szCs w:val="21"/>
              </w:rPr>
              <w:t>电器部件外壳防护等级、爬梯、电气控制设备符合要求</w:t>
            </w:r>
          </w:p>
        </w:tc>
      </w:tr>
    </w:tbl>
    <w:p w:rsidR="005D35DC" w:rsidRPr="00123108" w:rsidRDefault="001E2105" w:rsidP="0004018C">
      <w:pPr>
        <w:tabs>
          <w:tab w:val="left" w:pos="-42"/>
          <w:tab w:val="left" w:pos="1281"/>
        </w:tabs>
        <w:spacing w:line="500" w:lineRule="exact"/>
        <w:ind w:firstLineChars="200" w:firstLine="560"/>
        <w:rPr>
          <w:rFonts w:ascii="宋体" w:hAnsi="宋体" w:cs="宋体" w:hint="eastAsia"/>
          <w:sz w:val="28"/>
          <w:szCs w:val="28"/>
        </w:rPr>
      </w:pPr>
      <w:r w:rsidRPr="00123108">
        <w:rPr>
          <w:rFonts w:ascii="宋体" w:hAnsi="宋体" w:cs="宋体" w:hint="eastAsia"/>
          <w:sz w:val="28"/>
          <w:szCs w:val="28"/>
        </w:rPr>
        <w:t>小结：</w:t>
      </w:r>
    </w:p>
    <w:p w:rsidR="004F34D9" w:rsidRPr="00123108" w:rsidRDefault="004F34D9" w:rsidP="0004018C">
      <w:pPr>
        <w:numPr>
          <w:ilvl w:val="0"/>
          <w:numId w:val="69"/>
        </w:numPr>
        <w:snapToGrid w:val="0"/>
        <w:spacing w:line="500" w:lineRule="exact"/>
        <w:ind w:left="0" w:firstLineChars="200" w:firstLine="560"/>
        <w:jc w:val="left"/>
        <w:rPr>
          <w:rFonts w:ascii="宋体" w:hAnsi="宋体" w:cs="宋体" w:hint="eastAsia"/>
          <w:sz w:val="28"/>
          <w:szCs w:val="28"/>
        </w:rPr>
      </w:pPr>
      <w:r w:rsidRPr="00123108">
        <w:rPr>
          <w:rFonts w:ascii="宋体" w:hAnsi="宋体" w:cs="宋体"/>
          <w:sz w:val="28"/>
          <w:szCs w:val="28"/>
        </w:rPr>
        <w:t>RTO</w:t>
      </w:r>
      <w:r w:rsidRPr="00123108">
        <w:rPr>
          <w:rFonts w:ascii="宋体" w:hAnsi="宋体" w:cs="宋体" w:hint="eastAsia"/>
          <w:sz w:val="28"/>
          <w:szCs w:val="28"/>
          <w:lang w:eastAsia="zh-Hans"/>
        </w:rPr>
        <w:t>处理的废气来自苯乙烯储罐呼吸阀废气</w:t>
      </w:r>
      <w:r w:rsidRPr="00123108">
        <w:rPr>
          <w:rFonts w:ascii="宋体" w:hAnsi="宋体" w:cs="宋体"/>
          <w:sz w:val="28"/>
          <w:szCs w:val="28"/>
          <w:lang w:eastAsia="zh-Hans"/>
        </w:rPr>
        <w:t>、</w:t>
      </w:r>
      <w:r w:rsidRPr="00123108">
        <w:rPr>
          <w:rFonts w:ascii="宋体" w:hAnsi="宋体" w:cs="宋体" w:hint="eastAsia"/>
          <w:sz w:val="28"/>
          <w:szCs w:val="28"/>
          <w:lang w:eastAsia="zh-Hans"/>
        </w:rPr>
        <w:t>二甲苯储罐呼吸阀废气</w:t>
      </w:r>
      <w:r w:rsidRPr="00123108">
        <w:rPr>
          <w:rFonts w:ascii="宋体" w:hAnsi="宋体" w:cs="宋体"/>
          <w:sz w:val="28"/>
          <w:szCs w:val="28"/>
          <w:lang w:eastAsia="zh-Hans"/>
        </w:rPr>
        <w:t>、</w:t>
      </w:r>
      <w:r w:rsidRPr="00123108">
        <w:rPr>
          <w:rFonts w:ascii="宋体" w:hAnsi="宋体" w:cs="宋体" w:hint="eastAsia"/>
          <w:sz w:val="28"/>
          <w:szCs w:val="28"/>
          <w:lang w:eastAsia="zh-Hans"/>
        </w:rPr>
        <w:t>A反应部和B反应部反应</w:t>
      </w:r>
      <w:r w:rsidRPr="00123108">
        <w:rPr>
          <w:rFonts w:ascii="宋体" w:hAnsi="宋体" w:cs="宋体" w:hint="eastAsia"/>
          <w:sz w:val="28"/>
          <w:szCs w:val="28"/>
        </w:rPr>
        <w:t>釜</w:t>
      </w:r>
      <w:r w:rsidRPr="00123108">
        <w:rPr>
          <w:rFonts w:ascii="宋体" w:hAnsi="宋体" w:cs="宋体" w:hint="eastAsia"/>
          <w:sz w:val="28"/>
          <w:szCs w:val="28"/>
          <w:lang w:eastAsia="zh-Hans"/>
        </w:rPr>
        <w:t>取样口废气</w:t>
      </w:r>
      <w:r w:rsidRPr="00123108">
        <w:rPr>
          <w:rFonts w:ascii="宋体" w:hAnsi="宋体" w:cs="宋体"/>
          <w:sz w:val="28"/>
          <w:szCs w:val="28"/>
          <w:lang w:eastAsia="zh-Hans"/>
        </w:rPr>
        <w:t>、</w:t>
      </w:r>
      <w:r w:rsidRPr="00123108">
        <w:rPr>
          <w:rFonts w:ascii="宋体" w:hAnsi="宋体" w:cs="宋体" w:hint="eastAsia"/>
          <w:sz w:val="28"/>
          <w:szCs w:val="28"/>
          <w:lang w:eastAsia="zh-Hans"/>
        </w:rPr>
        <w:t>A反应部和B反应部反应</w:t>
      </w:r>
      <w:r w:rsidRPr="00123108">
        <w:rPr>
          <w:rFonts w:ascii="宋体" w:hAnsi="宋体" w:cs="宋体" w:hint="eastAsia"/>
          <w:sz w:val="28"/>
          <w:szCs w:val="28"/>
        </w:rPr>
        <w:t>釜</w:t>
      </w:r>
      <w:r w:rsidR="00F278C6" w:rsidRPr="00123108">
        <w:rPr>
          <w:rFonts w:ascii="宋体" w:hAnsi="宋体" w:cs="宋体" w:hint="eastAsia"/>
          <w:sz w:val="28"/>
          <w:szCs w:val="28"/>
          <w:lang w:eastAsia="zh-Hans"/>
        </w:rPr>
        <w:t>挥发气体</w:t>
      </w:r>
      <w:r w:rsidRPr="00123108">
        <w:rPr>
          <w:rFonts w:ascii="宋体" w:hAnsi="宋体" w:cs="宋体"/>
          <w:sz w:val="28"/>
          <w:szCs w:val="28"/>
          <w:lang w:eastAsia="zh-Hans"/>
        </w:rPr>
        <w:t>、</w:t>
      </w:r>
      <w:r w:rsidRPr="00123108">
        <w:rPr>
          <w:rFonts w:ascii="宋体" w:hAnsi="宋体" w:cs="宋体" w:hint="eastAsia"/>
          <w:sz w:val="28"/>
          <w:szCs w:val="28"/>
          <w:lang w:eastAsia="zh-Hans"/>
        </w:rPr>
        <w:t>调节池废气</w:t>
      </w:r>
      <w:r w:rsidRPr="00123108">
        <w:rPr>
          <w:rFonts w:ascii="宋体" w:hAnsi="宋体" w:cs="宋体"/>
          <w:sz w:val="28"/>
          <w:szCs w:val="28"/>
          <w:lang w:eastAsia="zh-Hans"/>
        </w:rPr>
        <w:t>、</w:t>
      </w:r>
      <w:r w:rsidRPr="00123108">
        <w:rPr>
          <w:rFonts w:ascii="宋体" w:hAnsi="宋体" w:cs="宋体" w:hint="eastAsia"/>
          <w:sz w:val="28"/>
          <w:szCs w:val="28"/>
          <w:lang w:eastAsia="zh-Hans"/>
        </w:rPr>
        <w:t>厌氧罐废气</w:t>
      </w:r>
      <w:r w:rsidRPr="00123108">
        <w:rPr>
          <w:rFonts w:ascii="宋体" w:hAnsi="宋体" w:cs="宋体"/>
          <w:sz w:val="28"/>
          <w:szCs w:val="28"/>
          <w:lang w:eastAsia="zh-Hans"/>
        </w:rPr>
        <w:t>。</w:t>
      </w:r>
    </w:p>
    <w:p w:rsidR="004F34D9" w:rsidRPr="00123108" w:rsidRDefault="004F34D9" w:rsidP="00512112">
      <w:pPr>
        <w:numPr>
          <w:ilvl w:val="0"/>
          <w:numId w:val="70"/>
        </w:numPr>
        <w:tabs>
          <w:tab w:val="left" w:pos="945"/>
        </w:tabs>
        <w:snapToGrid w:val="0"/>
        <w:spacing w:line="500" w:lineRule="exact"/>
        <w:ind w:left="0" w:firstLineChars="200" w:firstLine="560"/>
        <w:rPr>
          <w:rFonts w:ascii="宋体" w:hAnsi="宋体" w:cs="宋体" w:hint="eastAsia"/>
          <w:sz w:val="28"/>
          <w:szCs w:val="28"/>
        </w:rPr>
      </w:pPr>
      <w:r w:rsidRPr="00123108">
        <w:rPr>
          <w:rFonts w:ascii="宋体" w:hAnsi="宋体" w:cs="宋体" w:hint="eastAsia"/>
          <w:sz w:val="28"/>
          <w:szCs w:val="28"/>
        </w:rPr>
        <w:t>为防止苯乙烯自聚，企业执行《石油化工储运系统罐区设计规范》（SH/T 3007-2014）规定苯乙烯储存温度不高于20℃的规定。由于苯乙烯储存温度不高于20℃，已低于苯乙烯闪点</w:t>
      </w:r>
      <w:r w:rsidR="00512112" w:rsidRPr="00123108">
        <w:rPr>
          <w:rFonts w:ascii="宋体" w:hAnsi="宋体" w:cs="宋体" w:hint="eastAsia"/>
          <w:sz w:val="28"/>
          <w:szCs w:val="28"/>
        </w:rPr>
        <w:t>11</w:t>
      </w:r>
      <w:r w:rsidRPr="00123108">
        <w:rPr>
          <w:rFonts w:ascii="宋体" w:hAnsi="宋体" w:cs="宋体" w:hint="eastAsia"/>
          <w:sz w:val="28"/>
          <w:szCs w:val="28"/>
        </w:rPr>
        <w:t>℃</w:t>
      </w:r>
      <w:r w:rsidR="00F278C6" w:rsidRPr="00123108">
        <w:rPr>
          <w:rFonts w:ascii="宋体" w:hAnsi="宋体" w:cs="宋体" w:hint="eastAsia"/>
          <w:sz w:val="28"/>
          <w:szCs w:val="28"/>
        </w:rPr>
        <w:t>左右</w:t>
      </w:r>
      <w:r w:rsidRPr="00123108">
        <w:rPr>
          <w:rFonts w:ascii="宋体" w:hAnsi="宋体" w:cs="宋体" w:hint="eastAsia"/>
          <w:sz w:val="28"/>
          <w:szCs w:val="28"/>
        </w:rPr>
        <w:t>，故</w:t>
      </w:r>
      <w:r w:rsidR="0004018C" w:rsidRPr="00123108">
        <w:rPr>
          <w:rFonts w:ascii="宋体" w:hAnsi="宋体" w:cs="宋体" w:hint="eastAsia"/>
          <w:sz w:val="28"/>
          <w:szCs w:val="28"/>
        </w:rPr>
        <w:t>正常情况下</w:t>
      </w:r>
      <w:r w:rsidRPr="00123108">
        <w:rPr>
          <w:rFonts w:ascii="宋体" w:hAnsi="宋体" w:cs="宋体" w:hint="eastAsia"/>
          <w:sz w:val="28"/>
          <w:szCs w:val="28"/>
        </w:rPr>
        <w:t>苯乙烯储罐气相空间苯乙烯浓度已低于其爆炸下限。苯乙烯储罐呼吸阀废气主要成分为氮气和苯乙烯，再加吸风罩吸入大量空气而进一步稀释，使废气中苯乙烯浓度进一步降低，</w:t>
      </w:r>
      <w:r w:rsidR="0004018C" w:rsidRPr="00123108">
        <w:rPr>
          <w:rFonts w:ascii="宋体" w:hAnsi="宋体" w:cs="宋体" w:hint="eastAsia"/>
          <w:sz w:val="28"/>
          <w:szCs w:val="28"/>
        </w:rPr>
        <w:t>降低了火灾爆炸风险</w:t>
      </w:r>
      <w:r w:rsidRPr="00123108">
        <w:rPr>
          <w:rFonts w:ascii="宋体" w:hAnsi="宋体" w:cs="宋体" w:hint="eastAsia"/>
          <w:sz w:val="28"/>
          <w:szCs w:val="28"/>
        </w:rPr>
        <w:t>。苯乙烯储罐选用带阻火器的呼吸阀，能进一步使废气管与其他单元废气管进行防止回火。</w:t>
      </w:r>
    </w:p>
    <w:p w:rsidR="004F34D9" w:rsidRPr="00123108" w:rsidRDefault="004F34D9" w:rsidP="00F278C6">
      <w:pPr>
        <w:numPr>
          <w:ilvl w:val="0"/>
          <w:numId w:val="70"/>
        </w:numPr>
        <w:tabs>
          <w:tab w:val="left" w:pos="1050"/>
        </w:tabs>
        <w:snapToGrid w:val="0"/>
        <w:spacing w:line="500" w:lineRule="exact"/>
        <w:ind w:left="0" w:firstLineChars="200" w:firstLine="560"/>
        <w:jc w:val="left"/>
        <w:rPr>
          <w:rFonts w:ascii="宋体" w:hAnsi="宋体" w:cs="宋体" w:hint="eastAsia"/>
          <w:sz w:val="28"/>
          <w:szCs w:val="28"/>
        </w:rPr>
      </w:pPr>
      <w:r w:rsidRPr="00123108">
        <w:rPr>
          <w:rFonts w:ascii="宋体" w:hAnsi="宋体" w:cs="宋体" w:hint="eastAsia"/>
          <w:sz w:val="28"/>
          <w:szCs w:val="28"/>
        </w:rPr>
        <w:t>二甲苯闪点为</w:t>
      </w:r>
      <w:r w:rsidR="003F01A1" w:rsidRPr="00123108">
        <w:rPr>
          <w:rFonts w:ascii="宋体" w:hAnsi="宋体" w:cs="宋体" w:hint="eastAsia"/>
          <w:sz w:val="28"/>
          <w:szCs w:val="28"/>
        </w:rPr>
        <w:t>30</w:t>
      </w:r>
      <w:r w:rsidRPr="00123108">
        <w:rPr>
          <w:rFonts w:ascii="宋体" w:hAnsi="宋体" w:cs="宋体" w:hint="eastAsia"/>
          <w:sz w:val="28"/>
          <w:szCs w:val="28"/>
        </w:rPr>
        <w:t>℃，二甲苯储罐呼吸阀呼出二甲苯采用吸风罩收集</w:t>
      </w:r>
      <w:r w:rsidR="00E97DEC" w:rsidRPr="00123108">
        <w:rPr>
          <w:rFonts w:ascii="宋体" w:hAnsi="宋体" w:cs="宋体" w:hint="eastAsia"/>
          <w:sz w:val="28"/>
          <w:szCs w:val="28"/>
        </w:rPr>
        <w:t>，</w:t>
      </w:r>
      <w:r w:rsidRPr="00123108">
        <w:rPr>
          <w:rFonts w:ascii="宋体" w:hAnsi="宋体" w:cs="宋体" w:hint="eastAsia"/>
          <w:sz w:val="28"/>
          <w:szCs w:val="28"/>
        </w:rPr>
        <w:t>同时吸入环境大量空气，</w:t>
      </w:r>
      <w:r w:rsidR="0004018C" w:rsidRPr="00123108">
        <w:rPr>
          <w:rFonts w:ascii="宋体" w:hAnsi="宋体" w:cs="宋体" w:hint="eastAsia"/>
          <w:sz w:val="28"/>
          <w:szCs w:val="28"/>
        </w:rPr>
        <w:t>正常情况下</w:t>
      </w:r>
      <w:r w:rsidRPr="00123108">
        <w:rPr>
          <w:rFonts w:ascii="宋体" w:hAnsi="宋体" w:cs="宋体" w:hint="eastAsia"/>
          <w:sz w:val="28"/>
          <w:szCs w:val="28"/>
        </w:rPr>
        <w:t>火灾爆炸风险</w:t>
      </w:r>
      <w:r w:rsidR="0004018C" w:rsidRPr="00123108">
        <w:rPr>
          <w:rFonts w:ascii="宋体" w:hAnsi="宋体" w:cs="宋体" w:hint="eastAsia"/>
          <w:sz w:val="28"/>
          <w:szCs w:val="28"/>
        </w:rPr>
        <w:t>较低</w:t>
      </w:r>
      <w:r w:rsidRPr="00123108">
        <w:rPr>
          <w:rFonts w:ascii="宋体" w:hAnsi="宋体" w:cs="宋体" w:hint="eastAsia"/>
          <w:sz w:val="28"/>
          <w:szCs w:val="28"/>
        </w:rPr>
        <w:t>。二甲苯储罐选用带阻火器的呼吸阀，能进一步使废气管与其他单元废气管进行防止回火。</w:t>
      </w:r>
    </w:p>
    <w:p w:rsidR="004F34D9" w:rsidRPr="00123108" w:rsidRDefault="004F34D9" w:rsidP="00F278C6">
      <w:pPr>
        <w:numPr>
          <w:ilvl w:val="0"/>
          <w:numId w:val="70"/>
        </w:numPr>
        <w:tabs>
          <w:tab w:val="left" w:pos="1050"/>
        </w:tabs>
        <w:snapToGrid w:val="0"/>
        <w:spacing w:line="500" w:lineRule="exact"/>
        <w:ind w:left="0" w:firstLineChars="200" w:firstLine="560"/>
        <w:jc w:val="left"/>
        <w:rPr>
          <w:rFonts w:ascii="宋体" w:hAnsi="宋体" w:cs="宋体" w:hint="eastAsia"/>
          <w:sz w:val="28"/>
          <w:szCs w:val="28"/>
        </w:rPr>
      </w:pPr>
      <w:r w:rsidRPr="00123108">
        <w:rPr>
          <w:rFonts w:ascii="宋体" w:hAnsi="宋体" w:cs="宋体" w:hint="eastAsia"/>
          <w:sz w:val="28"/>
          <w:szCs w:val="28"/>
        </w:rPr>
        <w:t>反应釜内温度40-90℃，苯乙烯闪点</w:t>
      </w:r>
      <w:r w:rsidR="00E97DEC" w:rsidRPr="00123108">
        <w:rPr>
          <w:rFonts w:ascii="宋体" w:hAnsi="宋体" w:cs="宋体" w:hint="eastAsia"/>
          <w:sz w:val="28"/>
          <w:szCs w:val="28"/>
        </w:rPr>
        <w:t>31</w:t>
      </w:r>
      <w:r w:rsidRPr="00123108">
        <w:rPr>
          <w:rFonts w:ascii="宋体" w:hAnsi="宋体" w:cs="宋体" w:hint="eastAsia"/>
          <w:sz w:val="28"/>
          <w:szCs w:val="28"/>
        </w:rPr>
        <w:t>℃、二甲苯闪点</w:t>
      </w:r>
      <w:r w:rsidR="00E97DEC" w:rsidRPr="00123108">
        <w:rPr>
          <w:rFonts w:ascii="宋体" w:hAnsi="宋体" w:cs="宋体" w:hint="eastAsia"/>
          <w:sz w:val="28"/>
          <w:szCs w:val="28"/>
        </w:rPr>
        <w:t>30</w:t>
      </w:r>
      <w:r w:rsidRPr="00123108">
        <w:rPr>
          <w:rFonts w:ascii="宋体" w:hAnsi="宋体" w:cs="宋体" w:hint="eastAsia"/>
          <w:sz w:val="28"/>
          <w:szCs w:val="28"/>
        </w:rPr>
        <w:t>℃，反应釜取样口废气为高浓度苯乙烯、二甲苯气体，通过吸风罩收集后吸入大量空气将高浓度苯乙烯、二甲苯气体浓度稀释</w:t>
      </w:r>
      <w:r w:rsidR="0004018C" w:rsidRPr="00123108">
        <w:rPr>
          <w:rFonts w:ascii="宋体" w:hAnsi="宋体" w:cs="宋体" w:hint="eastAsia"/>
          <w:sz w:val="28"/>
          <w:szCs w:val="28"/>
        </w:rPr>
        <w:t>，正常情况下火灾爆炸风险较低</w:t>
      </w:r>
      <w:r w:rsidRPr="00123108">
        <w:rPr>
          <w:rFonts w:ascii="宋体" w:hAnsi="宋体" w:cs="宋体" w:hint="eastAsia"/>
          <w:sz w:val="28"/>
          <w:szCs w:val="28"/>
        </w:rPr>
        <w:t>。</w:t>
      </w:r>
    </w:p>
    <w:p w:rsidR="004F34D9" w:rsidRPr="00123108" w:rsidRDefault="004F34D9" w:rsidP="00F278C6">
      <w:pPr>
        <w:numPr>
          <w:ilvl w:val="0"/>
          <w:numId w:val="70"/>
        </w:numPr>
        <w:tabs>
          <w:tab w:val="left" w:pos="1050"/>
        </w:tabs>
        <w:snapToGrid w:val="0"/>
        <w:spacing w:line="500" w:lineRule="exact"/>
        <w:ind w:left="0" w:firstLineChars="200" w:firstLine="560"/>
        <w:jc w:val="left"/>
        <w:rPr>
          <w:rFonts w:ascii="宋体" w:hAnsi="宋体" w:cs="宋体" w:hint="eastAsia"/>
          <w:sz w:val="28"/>
          <w:szCs w:val="28"/>
        </w:rPr>
      </w:pPr>
      <w:r w:rsidRPr="00123108">
        <w:rPr>
          <w:rFonts w:ascii="宋体" w:hAnsi="宋体" w:cs="宋体" w:hint="eastAsia"/>
          <w:sz w:val="28"/>
          <w:szCs w:val="28"/>
          <w:lang w:eastAsia="zh-Hans"/>
        </w:rPr>
        <w:t>反应</w:t>
      </w:r>
      <w:r w:rsidRPr="00123108">
        <w:rPr>
          <w:rFonts w:ascii="宋体" w:hAnsi="宋体" w:cs="宋体" w:hint="eastAsia"/>
          <w:sz w:val="28"/>
          <w:szCs w:val="28"/>
        </w:rPr>
        <w:t>釜</w:t>
      </w:r>
      <w:r w:rsidR="00F278C6" w:rsidRPr="00123108">
        <w:rPr>
          <w:rFonts w:ascii="宋体" w:hAnsi="宋体" w:cs="宋体" w:hint="eastAsia"/>
          <w:sz w:val="28"/>
          <w:szCs w:val="28"/>
        </w:rPr>
        <w:t>挥发废气</w:t>
      </w:r>
      <w:r w:rsidRPr="00123108">
        <w:rPr>
          <w:rFonts w:ascii="宋体" w:hAnsi="宋体" w:cs="宋体" w:hint="eastAsia"/>
          <w:sz w:val="28"/>
          <w:szCs w:val="28"/>
        </w:rPr>
        <w:t>和取样口废气汇合后的的废气管道上设有紧急切断阀、LEL检测报警仪，LEL检测报警仪报警时，联锁关闭紧急切断阀、打开</w:t>
      </w:r>
      <w:r w:rsidRPr="00123108">
        <w:rPr>
          <w:rFonts w:ascii="宋体" w:hAnsi="宋体" w:cs="宋体" w:hint="eastAsia"/>
          <w:sz w:val="28"/>
          <w:szCs w:val="28"/>
        </w:rPr>
        <w:lastRenderedPageBreak/>
        <w:t>紧急排放阀，废气通过不锈钢排放管至所在反应部房顶高空排放，因此，呼吸废气和取样口废气汇合后的的废气达到爆炸极限带来的风险可控。</w:t>
      </w:r>
    </w:p>
    <w:p w:rsidR="004F34D9" w:rsidRPr="00123108" w:rsidRDefault="004F34D9" w:rsidP="00F278C6">
      <w:pPr>
        <w:tabs>
          <w:tab w:val="left" w:pos="1050"/>
        </w:tabs>
        <w:snapToGrid w:val="0"/>
        <w:spacing w:line="500" w:lineRule="exact"/>
        <w:ind w:firstLineChars="200" w:firstLine="560"/>
        <w:jc w:val="left"/>
        <w:rPr>
          <w:rFonts w:ascii="宋体" w:hAnsi="宋体" w:cs="宋体" w:hint="eastAsia"/>
          <w:sz w:val="28"/>
          <w:szCs w:val="28"/>
        </w:rPr>
      </w:pPr>
      <w:r w:rsidRPr="00123108">
        <w:rPr>
          <w:rFonts w:ascii="宋体" w:hAnsi="宋体" w:cs="宋体" w:hint="eastAsia"/>
          <w:sz w:val="28"/>
          <w:szCs w:val="28"/>
        </w:rPr>
        <w:t>调节池不密闭，其废气含空气，和厌氧塔废气汇合后有可能到达爆炸极限，因此，该废气存在火灾爆炸风险。调节池废气和厌氧塔废气汇合后管道改为吸风罩收集方式，吸入大量空气将甲烷、硫化氢气体浓度稀释至其爆炸极限以下，建议将RTO的LEL检测仪以甲烷爆炸极限作为报警值来设定。</w:t>
      </w:r>
    </w:p>
    <w:p w:rsidR="004F34D9" w:rsidRPr="00123108" w:rsidRDefault="004F34D9" w:rsidP="00F278C6">
      <w:pPr>
        <w:numPr>
          <w:ilvl w:val="0"/>
          <w:numId w:val="70"/>
        </w:numPr>
        <w:tabs>
          <w:tab w:val="left" w:pos="1050"/>
        </w:tabs>
        <w:snapToGrid w:val="0"/>
        <w:spacing w:line="500" w:lineRule="exact"/>
        <w:ind w:left="0" w:firstLineChars="200" w:firstLine="560"/>
        <w:jc w:val="left"/>
        <w:rPr>
          <w:rFonts w:ascii="宋体" w:hAnsi="宋体" w:cs="宋体" w:hint="eastAsia"/>
          <w:sz w:val="28"/>
          <w:szCs w:val="28"/>
        </w:rPr>
      </w:pPr>
      <w:r w:rsidRPr="00123108">
        <w:rPr>
          <w:rFonts w:ascii="宋体" w:hAnsi="宋体" w:cs="宋体" w:hint="eastAsia"/>
          <w:sz w:val="28"/>
          <w:szCs w:val="28"/>
          <w:lang w:eastAsia="zh-Hans"/>
        </w:rPr>
        <w:t>入</w:t>
      </w:r>
      <w:r w:rsidRPr="00123108">
        <w:rPr>
          <w:rFonts w:ascii="宋体" w:hAnsi="宋体" w:cs="宋体"/>
          <w:sz w:val="28"/>
          <w:szCs w:val="28"/>
          <w:lang w:eastAsia="zh-Hans"/>
        </w:rPr>
        <w:t>RTO</w:t>
      </w:r>
      <w:r w:rsidRPr="00123108">
        <w:rPr>
          <w:rFonts w:ascii="宋体" w:hAnsi="宋体" w:cs="宋体" w:hint="eastAsia"/>
          <w:sz w:val="28"/>
          <w:szCs w:val="28"/>
          <w:lang w:eastAsia="zh-Hans"/>
        </w:rPr>
        <w:t>管网废气成分甲烷</w:t>
      </w:r>
      <w:r w:rsidRPr="00123108">
        <w:rPr>
          <w:rFonts w:ascii="宋体" w:hAnsi="宋体" w:cs="宋体"/>
          <w:sz w:val="28"/>
          <w:szCs w:val="28"/>
          <w:lang w:eastAsia="zh-Hans"/>
        </w:rPr>
        <w:t>、</w:t>
      </w:r>
      <w:r w:rsidRPr="00123108">
        <w:rPr>
          <w:rFonts w:ascii="宋体" w:hAnsi="宋体" w:cs="宋体" w:hint="eastAsia"/>
          <w:sz w:val="28"/>
          <w:szCs w:val="28"/>
          <w:lang w:eastAsia="zh-Hans"/>
        </w:rPr>
        <w:t>硫化氢</w:t>
      </w:r>
      <w:r w:rsidRPr="00123108">
        <w:rPr>
          <w:rFonts w:ascii="宋体" w:hAnsi="宋体" w:cs="宋体"/>
          <w:sz w:val="28"/>
          <w:szCs w:val="28"/>
          <w:lang w:eastAsia="zh-Hans"/>
        </w:rPr>
        <w:t>、</w:t>
      </w:r>
      <w:r w:rsidRPr="00123108">
        <w:rPr>
          <w:rFonts w:ascii="宋体" w:hAnsi="宋体" w:cs="宋体" w:hint="eastAsia"/>
          <w:sz w:val="28"/>
          <w:szCs w:val="28"/>
          <w:lang w:eastAsia="zh-Hans"/>
        </w:rPr>
        <w:t>苯乙烯</w:t>
      </w:r>
      <w:r w:rsidRPr="00123108">
        <w:rPr>
          <w:rFonts w:ascii="宋体" w:hAnsi="宋体" w:cs="宋体"/>
          <w:sz w:val="28"/>
          <w:szCs w:val="28"/>
          <w:lang w:eastAsia="zh-Hans"/>
        </w:rPr>
        <w:t>、</w:t>
      </w:r>
      <w:r w:rsidRPr="00123108">
        <w:rPr>
          <w:rFonts w:ascii="宋体" w:hAnsi="宋体" w:cs="宋体" w:hint="eastAsia"/>
          <w:sz w:val="28"/>
          <w:szCs w:val="28"/>
          <w:lang w:eastAsia="zh-Hans"/>
        </w:rPr>
        <w:t>二甲苯</w:t>
      </w:r>
      <w:r w:rsidRPr="00123108">
        <w:rPr>
          <w:rFonts w:ascii="宋体" w:hAnsi="宋体" w:cs="宋体"/>
          <w:sz w:val="28"/>
          <w:szCs w:val="28"/>
        </w:rPr>
        <w:t>、</w:t>
      </w:r>
      <w:r w:rsidRPr="00123108">
        <w:rPr>
          <w:rFonts w:ascii="宋体" w:hAnsi="宋体" w:cs="宋体" w:hint="eastAsia"/>
          <w:sz w:val="28"/>
          <w:szCs w:val="28"/>
          <w:lang w:eastAsia="zh-Hans"/>
        </w:rPr>
        <w:t>氮气</w:t>
      </w:r>
      <w:r w:rsidRPr="00123108">
        <w:rPr>
          <w:rFonts w:ascii="宋体" w:hAnsi="宋体" w:cs="宋体" w:hint="eastAsia"/>
          <w:kern w:val="0"/>
          <w:sz w:val="28"/>
          <w:szCs w:val="28"/>
        </w:rPr>
        <w:t>相互无禁配物关系，能同时接入RTO管网。</w:t>
      </w:r>
    </w:p>
    <w:p w:rsidR="004F34D9" w:rsidRPr="00123108" w:rsidRDefault="004F34D9" w:rsidP="0004018C">
      <w:pPr>
        <w:numPr>
          <w:ilvl w:val="0"/>
          <w:numId w:val="69"/>
        </w:numPr>
        <w:snapToGrid w:val="0"/>
        <w:spacing w:line="500" w:lineRule="exact"/>
        <w:ind w:left="0" w:firstLineChars="200" w:firstLine="560"/>
        <w:jc w:val="left"/>
        <w:rPr>
          <w:rFonts w:ascii="宋体" w:hAnsi="宋体" w:cs="宋体" w:hint="eastAsia"/>
          <w:sz w:val="28"/>
          <w:szCs w:val="28"/>
          <w:lang w:val="zh-CN"/>
        </w:rPr>
      </w:pPr>
      <w:r w:rsidRPr="00123108">
        <w:rPr>
          <w:rFonts w:ascii="宋体" w:hAnsi="宋体" w:cs="宋体" w:hint="eastAsia"/>
          <w:sz w:val="28"/>
          <w:szCs w:val="28"/>
          <w:lang w:eastAsia="zh-Hans"/>
        </w:rPr>
        <w:t>新桥化工</w:t>
      </w:r>
      <w:r w:rsidRPr="00123108">
        <w:rPr>
          <w:rFonts w:ascii="宋体" w:hAnsi="宋体" w:cs="宋体" w:hint="eastAsia"/>
          <w:sz w:val="28"/>
          <w:szCs w:val="28"/>
          <w:lang w:val="zh-CN"/>
        </w:rPr>
        <w:t>RTO装置是成套外购设备，设置了LEL检测以及联锁阀门等一系列检测、报警和联锁自控系统，成熟可靠。按《蓄热燃烧装置安全风险评估指南》T/EERT026-2022评份为</w:t>
      </w:r>
      <w:r w:rsidRPr="00123108">
        <w:rPr>
          <w:rFonts w:ascii="宋体" w:hAnsi="宋体" w:cs="宋体" w:hint="eastAsia"/>
          <w:sz w:val="28"/>
          <w:szCs w:val="28"/>
        </w:rPr>
        <w:t>81</w:t>
      </w:r>
      <w:r w:rsidRPr="00123108">
        <w:rPr>
          <w:rFonts w:ascii="宋体" w:hAnsi="宋体" w:cs="宋体" w:hint="eastAsia"/>
          <w:sz w:val="28"/>
          <w:szCs w:val="28"/>
          <w:lang w:val="zh-CN"/>
        </w:rPr>
        <w:t>分，需加强软件资料等管理。</w:t>
      </w:r>
    </w:p>
    <w:p w:rsidR="004F34D9" w:rsidRPr="00123108" w:rsidRDefault="004F34D9" w:rsidP="0004018C">
      <w:pPr>
        <w:numPr>
          <w:ilvl w:val="0"/>
          <w:numId w:val="69"/>
        </w:numPr>
        <w:snapToGrid w:val="0"/>
        <w:spacing w:line="500" w:lineRule="exact"/>
        <w:ind w:left="0" w:firstLineChars="200" w:firstLine="560"/>
        <w:jc w:val="left"/>
        <w:rPr>
          <w:rFonts w:ascii="宋体" w:hAnsi="宋体" w:cs="宋体" w:hint="eastAsia"/>
          <w:sz w:val="28"/>
          <w:szCs w:val="28"/>
          <w:lang w:val="zh-CN"/>
        </w:rPr>
      </w:pPr>
      <w:r w:rsidRPr="00123108">
        <w:rPr>
          <w:rFonts w:ascii="宋体" w:hAnsi="宋体" w:cs="宋体" w:hint="eastAsia"/>
          <w:sz w:val="28"/>
          <w:szCs w:val="28"/>
          <w:lang w:eastAsia="zh-Hans"/>
        </w:rPr>
        <w:t>酸雾吸收塔废气来自</w:t>
      </w:r>
      <w:r w:rsidRPr="00123108">
        <w:rPr>
          <w:rFonts w:ascii="宋体" w:hAnsi="宋体" w:cs="宋体" w:hint="eastAsia"/>
          <w:sz w:val="28"/>
          <w:szCs w:val="28"/>
          <w:lang w:val="zh-CN"/>
        </w:rPr>
        <w:t>洗涤槽</w:t>
      </w:r>
      <w:r w:rsidRPr="00123108">
        <w:rPr>
          <w:rFonts w:ascii="宋体" w:hAnsi="宋体" w:cs="宋体"/>
          <w:sz w:val="28"/>
          <w:szCs w:val="28"/>
        </w:rPr>
        <w:t>，</w:t>
      </w:r>
      <w:r w:rsidRPr="00123108">
        <w:rPr>
          <w:rFonts w:ascii="宋体" w:hAnsi="宋体" w:cs="宋体" w:hint="eastAsia"/>
          <w:sz w:val="28"/>
          <w:szCs w:val="28"/>
        </w:rPr>
        <w:t>洗涤</w:t>
      </w:r>
      <w:r w:rsidRPr="00123108">
        <w:rPr>
          <w:rFonts w:ascii="宋体" w:hAnsi="宋体" w:cs="宋体" w:hint="eastAsia"/>
          <w:sz w:val="28"/>
          <w:szCs w:val="28"/>
          <w:lang w:eastAsia="zh-Hans"/>
        </w:rPr>
        <w:t>槽</w:t>
      </w:r>
      <w:r w:rsidRPr="00123108">
        <w:rPr>
          <w:rFonts w:ascii="宋体" w:hAnsi="宋体" w:cs="宋体" w:hint="eastAsia"/>
          <w:sz w:val="28"/>
          <w:szCs w:val="28"/>
          <w:lang w:val="zh-CN"/>
        </w:rPr>
        <w:t>涉及的物料有水、聚苯乙烯、盐酸、碳酸钙，不涉及易燃爆的甲乙类物质，废气的成份为盐酸废气和微量VOC，无火灾爆炸风险。</w:t>
      </w:r>
    </w:p>
    <w:p w:rsidR="00773D74" w:rsidRPr="00123108" w:rsidRDefault="004F34D9" w:rsidP="0004018C">
      <w:pPr>
        <w:numPr>
          <w:ilvl w:val="0"/>
          <w:numId w:val="69"/>
        </w:numPr>
        <w:snapToGrid w:val="0"/>
        <w:spacing w:line="500" w:lineRule="exact"/>
        <w:ind w:left="0" w:firstLineChars="200" w:firstLine="560"/>
        <w:jc w:val="left"/>
        <w:rPr>
          <w:rFonts w:ascii="宋体" w:hAnsi="宋体" w:cs="宋体" w:hint="eastAsia"/>
          <w:sz w:val="28"/>
          <w:szCs w:val="28"/>
        </w:rPr>
      </w:pPr>
      <w:r w:rsidRPr="00123108">
        <w:rPr>
          <w:rFonts w:ascii="宋体" w:hAnsi="宋体" w:cs="宋体" w:hint="eastAsia"/>
          <w:sz w:val="28"/>
          <w:szCs w:val="28"/>
          <w:lang w:val="zh-CN"/>
        </w:rPr>
        <w:t>正常运行情况下，好氧池废气主要成分为带臭味的VOC，生物除臭装置无火灾爆炸风险。</w:t>
      </w:r>
    </w:p>
    <w:p w:rsidR="004F34D9" w:rsidRPr="00123108" w:rsidRDefault="004F34D9" w:rsidP="0004018C">
      <w:pPr>
        <w:snapToGrid w:val="0"/>
        <w:spacing w:line="500" w:lineRule="exact"/>
        <w:ind w:firstLineChars="200" w:firstLine="560"/>
        <w:jc w:val="left"/>
        <w:rPr>
          <w:rFonts w:ascii="宋体" w:hAnsi="宋体" w:cs="宋体" w:hint="eastAsia"/>
          <w:sz w:val="28"/>
          <w:szCs w:val="28"/>
        </w:rPr>
      </w:pPr>
      <w:r w:rsidRPr="00123108">
        <w:rPr>
          <w:rFonts w:ascii="宋体" w:hAnsi="宋体" w:cs="宋体" w:hint="eastAsia"/>
          <w:sz w:val="28"/>
          <w:szCs w:val="28"/>
        </w:rPr>
        <w:t>企业委托</w:t>
      </w:r>
      <w:r w:rsidRPr="00123108">
        <w:rPr>
          <w:rFonts w:ascii="宋体" w:hAnsi="宋体" w:cs="宋体" w:hint="eastAsia"/>
          <w:bCs/>
          <w:kern w:val="0"/>
          <w:sz w:val="28"/>
          <w:szCs w:val="28"/>
          <w:lang w:val="zh-CN"/>
        </w:rPr>
        <w:t>北京中安质环技术评价中心有限公司于20</w:t>
      </w:r>
      <w:r w:rsidRPr="00123108">
        <w:rPr>
          <w:rFonts w:ascii="宋体" w:hAnsi="宋体" w:cs="宋体" w:hint="eastAsia"/>
          <w:bCs/>
          <w:kern w:val="0"/>
          <w:sz w:val="28"/>
          <w:szCs w:val="28"/>
        </w:rPr>
        <w:t>22</w:t>
      </w:r>
      <w:r w:rsidRPr="00123108">
        <w:rPr>
          <w:rFonts w:ascii="宋体" w:hAnsi="宋体" w:cs="宋体" w:hint="eastAsia"/>
          <w:bCs/>
          <w:kern w:val="0"/>
          <w:sz w:val="28"/>
          <w:szCs w:val="28"/>
          <w:lang w:val="zh-CN"/>
        </w:rPr>
        <w:t>年</w:t>
      </w:r>
      <w:r w:rsidRPr="00123108">
        <w:rPr>
          <w:rFonts w:ascii="宋体" w:hAnsi="宋体" w:cs="宋体" w:hint="eastAsia"/>
          <w:bCs/>
          <w:kern w:val="0"/>
          <w:sz w:val="28"/>
          <w:szCs w:val="28"/>
        </w:rPr>
        <w:t>12</w:t>
      </w:r>
      <w:r w:rsidRPr="00123108">
        <w:rPr>
          <w:rFonts w:ascii="宋体" w:hAnsi="宋体" w:cs="宋体" w:hint="eastAsia"/>
          <w:bCs/>
          <w:kern w:val="0"/>
          <w:sz w:val="28"/>
          <w:szCs w:val="28"/>
          <w:lang w:val="zh-CN"/>
        </w:rPr>
        <w:t>月进行专项风险评估，并出具</w:t>
      </w:r>
      <w:r w:rsidRPr="00123108">
        <w:rPr>
          <w:rFonts w:ascii="宋体" w:hAnsi="宋体" w:cs="宋体" w:hint="eastAsia"/>
          <w:sz w:val="28"/>
          <w:szCs w:val="28"/>
        </w:rPr>
        <w:t>《宁波新桥化工有限公司环境治理设施项目专项安全风险评估报告》。新桥化工根据该报告提出的整改建议进行整改，目前企业环保设施保持完好，该企业环保设施安全风险可控。</w:t>
      </w:r>
    </w:p>
    <w:p w:rsidR="004F34D9" w:rsidRPr="00123108" w:rsidRDefault="004F34D9" w:rsidP="00E36E64">
      <w:pPr>
        <w:pStyle w:val="2"/>
        <w:spacing w:line="500" w:lineRule="exact"/>
        <w:jc w:val="both"/>
        <w:rPr>
          <w:rFonts w:ascii="宋体" w:eastAsia="宋体" w:cs="宋体"/>
          <w:sz w:val="28"/>
          <w:szCs w:val="28"/>
        </w:rPr>
      </w:pPr>
      <w:bookmarkStart w:id="1846" w:name="_Toc71582993"/>
      <w:bookmarkStart w:id="1847" w:name="_Toc190935923"/>
      <w:bookmarkEnd w:id="1845"/>
      <w:r w:rsidRPr="00123108">
        <w:rPr>
          <w:rFonts w:ascii="宋体" w:eastAsia="宋体" w:cs="宋体" w:hint="eastAsia"/>
          <w:sz w:val="28"/>
          <w:szCs w:val="28"/>
        </w:rPr>
        <w:t>附件2.17易制爆危险化学品安全评价</w:t>
      </w:r>
      <w:bookmarkEnd w:id="1846"/>
      <w:bookmarkEnd w:id="1847"/>
    </w:p>
    <w:p w:rsidR="004F34D9" w:rsidRPr="00123108" w:rsidRDefault="004F34D9">
      <w:pPr>
        <w:autoSpaceDE w:val="0"/>
        <w:autoSpaceDN w:val="0"/>
        <w:adjustRightInd w:val="0"/>
        <w:spacing w:line="500" w:lineRule="exact"/>
        <w:ind w:firstLineChars="200" w:firstLine="560"/>
        <w:rPr>
          <w:rFonts w:ascii="宋体" w:hAnsi="宋体" w:hint="eastAsia"/>
          <w:sz w:val="28"/>
          <w:szCs w:val="28"/>
        </w:rPr>
      </w:pPr>
      <w:r w:rsidRPr="00123108">
        <w:rPr>
          <w:rFonts w:ascii="宋体" w:hAnsi="宋体" w:hint="eastAsia"/>
          <w:sz w:val="28"/>
          <w:szCs w:val="28"/>
        </w:rPr>
        <w:t>本项目涉及的过氧化二异丙苯属于易制爆危险化学品。过氧化二异丙苯储存于甲类仓库中。根据</w:t>
      </w:r>
      <w:bookmarkStart w:id="1848" w:name="_Hlk3800602"/>
      <w:r w:rsidRPr="00123108">
        <w:rPr>
          <w:rFonts w:ascii="宋体" w:hAnsi="宋体"/>
          <w:sz w:val="28"/>
          <w:szCs w:val="28"/>
        </w:rPr>
        <w:t>《易制爆危险化学品储存场所治安防范要求》（GA 1511-2018）</w:t>
      </w:r>
      <w:bookmarkEnd w:id="1848"/>
      <w:r w:rsidRPr="00123108">
        <w:rPr>
          <w:rFonts w:ascii="宋体" w:hAnsi="宋体" w:hint="eastAsia"/>
          <w:sz w:val="28"/>
          <w:szCs w:val="28"/>
        </w:rPr>
        <w:t>等相关要求进行评价，见附表2.17-1.</w:t>
      </w:r>
    </w:p>
    <w:p w:rsidR="004F34D9" w:rsidRPr="00123108" w:rsidRDefault="004F34D9">
      <w:pPr>
        <w:autoSpaceDE w:val="0"/>
        <w:autoSpaceDN w:val="0"/>
        <w:adjustRightInd w:val="0"/>
        <w:spacing w:line="500" w:lineRule="exact"/>
        <w:ind w:firstLineChars="200" w:firstLine="562"/>
        <w:rPr>
          <w:rFonts w:ascii="黑体" w:eastAsia="黑体" w:hAnsi="黑体" w:hint="eastAsia"/>
          <w:b/>
          <w:sz w:val="28"/>
          <w:szCs w:val="28"/>
        </w:rPr>
      </w:pPr>
      <w:r w:rsidRPr="00123108">
        <w:rPr>
          <w:rFonts w:ascii="黑体" w:eastAsia="黑体" w:hAnsi="黑体" w:hint="eastAsia"/>
          <w:b/>
          <w:sz w:val="28"/>
          <w:szCs w:val="28"/>
        </w:rPr>
        <w:t xml:space="preserve">附表2.17-1 </w:t>
      </w:r>
      <w:r w:rsidRPr="00123108">
        <w:rPr>
          <w:rFonts w:ascii="黑体" w:eastAsia="黑体" w:hAnsi="黑体" w:cs="宋体" w:hint="eastAsia"/>
          <w:b/>
          <w:bCs/>
          <w:sz w:val="28"/>
          <w:szCs w:val="28"/>
        </w:rPr>
        <w:t>易制爆危险化学品</w:t>
      </w:r>
      <w:r w:rsidRPr="00123108">
        <w:rPr>
          <w:rFonts w:ascii="黑体" w:eastAsia="黑体" w:hAnsi="黑体"/>
          <w:b/>
          <w:sz w:val="28"/>
          <w:szCs w:val="28"/>
        </w:rPr>
        <w:t>储存场所治安防范要求</w:t>
      </w:r>
      <w:r w:rsidRPr="00123108">
        <w:rPr>
          <w:rFonts w:ascii="黑体" w:eastAsia="黑体" w:hAnsi="黑体" w:hint="eastAsia"/>
          <w:b/>
          <w:sz w:val="28"/>
          <w:szCs w:val="28"/>
        </w:rPr>
        <w:t>检查</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742"/>
        <w:gridCol w:w="4302"/>
        <w:gridCol w:w="3298"/>
        <w:gridCol w:w="1059"/>
      </w:tblGrid>
      <w:tr w:rsidR="004F34D9" w:rsidRPr="00123108">
        <w:trPr>
          <w:cantSplit/>
          <w:trHeight w:val="340"/>
          <w:tblHeader/>
          <w:jc w:val="center"/>
        </w:trPr>
        <w:tc>
          <w:tcPr>
            <w:tcW w:w="395"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序号</w:t>
            </w:r>
          </w:p>
        </w:tc>
        <w:tc>
          <w:tcPr>
            <w:tcW w:w="2288"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检查内容</w:t>
            </w:r>
          </w:p>
        </w:tc>
        <w:tc>
          <w:tcPr>
            <w:tcW w:w="1754"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实际情况说明</w:t>
            </w:r>
          </w:p>
        </w:tc>
        <w:tc>
          <w:tcPr>
            <w:tcW w:w="564"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检查结果</w:t>
            </w:r>
          </w:p>
        </w:tc>
      </w:tr>
      <w:tr w:rsidR="004F34D9" w:rsidRPr="00123108">
        <w:trPr>
          <w:cantSplit/>
          <w:trHeight w:val="340"/>
          <w:jc w:val="center"/>
        </w:trPr>
        <w:tc>
          <w:tcPr>
            <w:tcW w:w="395"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一</w:t>
            </w:r>
          </w:p>
        </w:tc>
        <w:tc>
          <w:tcPr>
            <w:tcW w:w="2288"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管理制度及台账</w:t>
            </w:r>
          </w:p>
        </w:tc>
        <w:tc>
          <w:tcPr>
            <w:tcW w:w="1754" w:type="pct"/>
            <w:shd w:val="clear" w:color="auto" w:fill="FFFFFF"/>
            <w:vAlign w:val="center"/>
          </w:tcPr>
          <w:p w:rsidR="004F34D9" w:rsidRPr="00123108" w:rsidRDefault="004F34D9">
            <w:pPr>
              <w:rPr>
                <w:rFonts w:ascii="宋体" w:hAnsi="宋体"/>
                <w:szCs w:val="21"/>
              </w:rPr>
            </w:pPr>
          </w:p>
        </w:tc>
        <w:tc>
          <w:tcPr>
            <w:tcW w:w="564" w:type="pct"/>
            <w:shd w:val="clear" w:color="auto" w:fill="FFFFFF"/>
            <w:vAlign w:val="center"/>
          </w:tcPr>
          <w:p w:rsidR="004F34D9" w:rsidRPr="00123108" w:rsidRDefault="004F34D9">
            <w:pPr>
              <w:rPr>
                <w:rFonts w:ascii="宋体" w:hAnsi="宋体"/>
                <w:szCs w:val="21"/>
              </w:rPr>
            </w:pPr>
          </w:p>
        </w:tc>
      </w:tr>
      <w:tr w:rsidR="004F34D9" w:rsidRPr="00123108">
        <w:trPr>
          <w:cantSplit/>
          <w:trHeight w:val="340"/>
          <w:jc w:val="center"/>
        </w:trPr>
        <w:tc>
          <w:tcPr>
            <w:tcW w:w="395"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lastRenderedPageBreak/>
              <w:t>1</w:t>
            </w:r>
          </w:p>
        </w:tc>
        <w:tc>
          <w:tcPr>
            <w:tcW w:w="2288" w:type="pct"/>
            <w:shd w:val="clear" w:color="auto" w:fill="FFFFFF"/>
            <w:vAlign w:val="center"/>
          </w:tcPr>
          <w:p w:rsidR="004F34D9" w:rsidRPr="00123108" w:rsidRDefault="004F34D9">
            <w:pPr>
              <w:adjustRightInd w:val="0"/>
              <w:snapToGrid w:val="0"/>
              <w:rPr>
                <w:szCs w:val="21"/>
              </w:rPr>
            </w:pPr>
            <w:r w:rsidRPr="00123108">
              <w:rPr>
                <w:rFonts w:hint="eastAsia"/>
                <w:szCs w:val="21"/>
              </w:rPr>
              <w:t>是否制定易制爆危险化学品采购、保管、领取、使用、看守巡查管理制度和人员岗位职责。</w:t>
            </w:r>
          </w:p>
        </w:tc>
        <w:tc>
          <w:tcPr>
            <w:tcW w:w="1754" w:type="pct"/>
            <w:shd w:val="clear" w:color="auto" w:fill="FFFFFF"/>
            <w:vAlign w:val="center"/>
          </w:tcPr>
          <w:p w:rsidR="004F34D9" w:rsidRPr="00123108" w:rsidRDefault="004F34D9">
            <w:pPr>
              <w:adjustRightInd w:val="0"/>
              <w:snapToGrid w:val="0"/>
              <w:rPr>
                <w:szCs w:val="21"/>
              </w:rPr>
            </w:pPr>
            <w:r w:rsidRPr="00123108">
              <w:rPr>
                <w:rFonts w:hint="eastAsia"/>
                <w:szCs w:val="21"/>
              </w:rPr>
              <w:t>已制定易制爆危险化学品相关管理制度，明确相关人员岗位职责。</w:t>
            </w:r>
          </w:p>
        </w:tc>
        <w:tc>
          <w:tcPr>
            <w:tcW w:w="564" w:type="pct"/>
            <w:shd w:val="clear" w:color="auto" w:fill="FFFFFF"/>
            <w:vAlign w:val="center"/>
          </w:tcPr>
          <w:p w:rsidR="004F34D9" w:rsidRPr="00123108" w:rsidRDefault="004F34D9">
            <w:pPr>
              <w:adjustRightInd w:val="0"/>
              <w:snapToGrid w:val="0"/>
              <w:rPr>
                <w:szCs w:val="21"/>
              </w:rPr>
            </w:pPr>
            <w:r w:rsidRPr="00123108">
              <w:rPr>
                <w:rFonts w:hint="eastAsia"/>
                <w:szCs w:val="21"/>
              </w:rPr>
              <w:t>符合</w:t>
            </w:r>
          </w:p>
        </w:tc>
      </w:tr>
      <w:tr w:rsidR="004F34D9" w:rsidRPr="00123108">
        <w:trPr>
          <w:cantSplit/>
          <w:trHeight w:val="340"/>
          <w:jc w:val="center"/>
        </w:trPr>
        <w:tc>
          <w:tcPr>
            <w:tcW w:w="395"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2</w:t>
            </w:r>
          </w:p>
        </w:tc>
        <w:tc>
          <w:tcPr>
            <w:tcW w:w="2288" w:type="pct"/>
            <w:shd w:val="clear" w:color="auto" w:fill="FFFFFF"/>
            <w:vAlign w:val="center"/>
          </w:tcPr>
          <w:p w:rsidR="004F34D9" w:rsidRPr="00123108" w:rsidRDefault="004F34D9">
            <w:pPr>
              <w:adjustRightInd w:val="0"/>
              <w:snapToGrid w:val="0"/>
              <w:rPr>
                <w:szCs w:val="21"/>
              </w:rPr>
            </w:pPr>
            <w:r w:rsidRPr="00123108">
              <w:rPr>
                <w:rFonts w:hint="eastAsia"/>
                <w:szCs w:val="21"/>
              </w:rPr>
              <w:t>易制爆危险化学品出入库登记台账：记录购买、储存、使用等各个环节易制爆危险化学品的数量、流向；</w:t>
            </w:r>
          </w:p>
        </w:tc>
        <w:tc>
          <w:tcPr>
            <w:tcW w:w="1754" w:type="pct"/>
            <w:vMerge w:val="restart"/>
            <w:shd w:val="clear" w:color="auto" w:fill="FFFFFF"/>
            <w:vAlign w:val="center"/>
          </w:tcPr>
          <w:p w:rsidR="004F34D9" w:rsidRPr="00123108" w:rsidRDefault="004F34D9">
            <w:pPr>
              <w:adjustRightInd w:val="0"/>
              <w:snapToGrid w:val="0"/>
              <w:rPr>
                <w:szCs w:val="21"/>
              </w:rPr>
            </w:pPr>
            <w:r w:rsidRPr="00123108">
              <w:rPr>
                <w:rFonts w:hint="eastAsia"/>
                <w:szCs w:val="21"/>
              </w:rPr>
              <w:t>企业过氧化二异丙苯制定有相应台账记录表单，可供使用时进行管理。</w:t>
            </w:r>
          </w:p>
        </w:tc>
        <w:tc>
          <w:tcPr>
            <w:tcW w:w="564" w:type="pct"/>
            <w:shd w:val="clear" w:color="auto" w:fill="FFFFFF"/>
            <w:vAlign w:val="center"/>
          </w:tcPr>
          <w:p w:rsidR="004F34D9" w:rsidRPr="00123108" w:rsidRDefault="004F34D9">
            <w:pPr>
              <w:adjustRightInd w:val="0"/>
              <w:snapToGrid w:val="0"/>
              <w:rPr>
                <w:szCs w:val="21"/>
              </w:rPr>
            </w:pPr>
            <w:r w:rsidRPr="00123108">
              <w:rPr>
                <w:rFonts w:hint="eastAsia"/>
                <w:szCs w:val="21"/>
              </w:rPr>
              <w:t>符合</w:t>
            </w:r>
          </w:p>
        </w:tc>
      </w:tr>
      <w:tr w:rsidR="004F34D9" w:rsidRPr="00123108">
        <w:trPr>
          <w:cantSplit/>
          <w:trHeight w:val="340"/>
          <w:jc w:val="center"/>
        </w:trPr>
        <w:tc>
          <w:tcPr>
            <w:tcW w:w="395"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3</w:t>
            </w:r>
          </w:p>
        </w:tc>
        <w:tc>
          <w:tcPr>
            <w:tcW w:w="2288" w:type="pct"/>
            <w:shd w:val="clear" w:color="auto" w:fill="FFFFFF"/>
            <w:vAlign w:val="center"/>
          </w:tcPr>
          <w:p w:rsidR="004F34D9" w:rsidRPr="00123108" w:rsidRDefault="004F34D9">
            <w:pPr>
              <w:adjustRightInd w:val="0"/>
              <w:snapToGrid w:val="0"/>
              <w:rPr>
                <w:szCs w:val="21"/>
              </w:rPr>
            </w:pPr>
            <w:r w:rsidRPr="00123108">
              <w:rPr>
                <w:rFonts w:hint="eastAsia"/>
                <w:szCs w:val="21"/>
              </w:rPr>
              <w:t>治安防范设施维护、保养、巡查记录；技术防范检查、故障记录。</w:t>
            </w:r>
          </w:p>
        </w:tc>
        <w:tc>
          <w:tcPr>
            <w:tcW w:w="1754" w:type="pct"/>
            <w:vMerge/>
            <w:shd w:val="clear" w:color="auto" w:fill="FFFFFF"/>
            <w:vAlign w:val="center"/>
          </w:tcPr>
          <w:p w:rsidR="004F34D9" w:rsidRPr="00123108" w:rsidRDefault="004F34D9">
            <w:pPr>
              <w:rPr>
                <w:rFonts w:ascii="宋体" w:hAnsi="宋体"/>
                <w:szCs w:val="21"/>
              </w:rPr>
            </w:pPr>
          </w:p>
        </w:tc>
        <w:tc>
          <w:tcPr>
            <w:tcW w:w="564" w:type="pct"/>
            <w:shd w:val="clear" w:color="auto" w:fill="FFFFFF"/>
            <w:vAlign w:val="center"/>
          </w:tcPr>
          <w:p w:rsidR="004F34D9" w:rsidRPr="00123108" w:rsidRDefault="004F34D9">
            <w:pPr>
              <w:adjustRightInd w:val="0"/>
              <w:snapToGrid w:val="0"/>
              <w:rPr>
                <w:szCs w:val="21"/>
              </w:rPr>
            </w:pPr>
            <w:r w:rsidRPr="00123108">
              <w:rPr>
                <w:rFonts w:hint="eastAsia"/>
                <w:szCs w:val="21"/>
              </w:rPr>
              <w:t>符合</w:t>
            </w:r>
          </w:p>
        </w:tc>
      </w:tr>
      <w:tr w:rsidR="004F34D9" w:rsidRPr="00123108">
        <w:trPr>
          <w:cantSplit/>
          <w:trHeight w:val="340"/>
          <w:jc w:val="center"/>
        </w:trPr>
        <w:tc>
          <w:tcPr>
            <w:tcW w:w="395"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4</w:t>
            </w:r>
          </w:p>
        </w:tc>
        <w:tc>
          <w:tcPr>
            <w:tcW w:w="2288" w:type="pct"/>
            <w:shd w:val="clear" w:color="auto" w:fill="FFFFFF"/>
            <w:vAlign w:val="center"/>
          </w:tcPr>
          <w:p w:rsidR="004F34D9" w:rsidRPr="00123108" w:rsidRDefault="004F34D9">
            <w:pPr>
              <w:adjustRightInd w:val="0"/>
              <w:snapToGrid w:val="0"/>
              <w:rPr>
                <w:szCs w:val="21"/>
              </w:rPr>
            </w:pPr>
            <w:r w:rsidRPr="00123108">
              <w:rPr>
                <w:rFonts w:hint="eastAsia"/>
                <w:szCs w:val="21"/>
              </w:rPr>
              <w:t>易制爆危险化学品存放场所安全检查、隐患整改台账。</w:t>
            </w:r>
          </w:p>
        </w:tc>
        <w:tc>
          <w:tcPr>
            <w:tcW w:w="1754" w:type="pct"/>
            <w:vMerge/>
            <w:shd w:val="clear" w:color="auto" w:fill="FFFFFF"/>
            <w:vAlign w:val="center"/>
          </w:tcPr>
          <w:p w:rsidR="004F34D9" w:rsidRPr="00123108" w:rsidRDefault="004F34D9">
            <w:pPr>
              <w:rPr>
                <w:rFonts w:ascii="宋体" w:hAnsi="宋体"/>
                <w:szCs w:val="21"/>
              </w:rPr>
            </w:pPr>
          </w:p>
        </w:tc>
        <w:tc>
          <w:tcPr>
            <w:tcW w:w="564" w:type="pct"/>
            <w:shd w:val="clear" w:color="auto" w:fill="FFFFFF"/>
            <w:vAlign w:val="center"/>
          </w:tcPr>
          <w:p w:rsidR="004F34D9" w:rsidRPr="00123108" w:rsidRDefault="004F34D9">
            <w:pPr>
              <w:adjustRightInd w:val="0"/>
              <w:snapToGrid w:val="0"/>
              <w:rPr>
                <w:szCs w:val="21"/>
              </w:rPr>
            </w:pPr>
            <w:r w:rsidRPr="00123108">
              <w:rPr>
                <w:rFonts w:hint="eastAsia"/>
                <w:szCs w:val="21"/>
              </w:rPr>
              <w:t>符合</w:t>
            </w:r>
          </w:p>
        </w:tc>
      </w:tr>
      <w:tr w:rsidR="004F34D9" w:rsidRPr="00123108">
        <w:trPr>
          <w:cantSplit/>
          <w:trHeight w:val="340"/>
          <w:jc w:val="center"/>
        </w:trPr>
        <w:tc>
          <w:tcPr>
            <w:tcW w:w="395" w:type="pct"/>
            <w:shd w:val="clear" w:color="auto" w:fill="FFFFFF"/>
            <w:vAlign w:val="center"/>
          </w:tcPr>
          <w:p w:rsidR="004F34D9" w:rsidRPr="00123108" w:rsidRDefault="004F34D9">
            <w:pPr>
              <w:rPr>
                <w:rFonts w:ascii="宋体" w:hAnsi="宋体"/>
                <w:szCs w:val="21"/>
              </w:rPr>
            </w:pPr>
            <w:r w:rsidRPr="00123108">
              <w:rPr>
                <w:rFonts w:ascii="宋体" w:hAnsi="宋体"/>
                <w:szCs w:val="21"/>
              </w:rPr>
              <w:t>5</w:t>
            </w:r>
          </w:p>
        </w:tc>
        <w:tc>
          <w:tcPr>
            <w:tcW w:w="2288" w:type="pct"/>
            <w:shd w:val="clear" w:color="auto" w:fill="FFFFFF"/>
            <w:vAlign w:val="center"/>
          </w:tcPr>
          <w:p w:rsidR="004F34D9" w:rsidRPr="00123108" w:rsidRDefault="004F34D9">
            <w:pPr>
              <w:adjustRightInd w:val="0"/>
              <w:snapToGrid w:val="0"/>
              <w:rPr>
                <w:szCs w:val="21"/>
              </w:rPr>
            </w:pPr>
            <w:r w:rsidRPr="00123108">
              <w:rPr>
                <w:rFonts w:hint="eastAsia"/>
                <w:szCs w:val="21"/>
              </w:rPr>
              <w:t>值守人员值班、交接班台账。要求：对进出存放场所人员进行检查，制止非法侵入。</w:t>
            </w:r>
          </w:p>
        </w:tc>
        <w:tc>
          <w:tcPr>
            <w:tcW w:w="1754" w:type="pct"/>
            <w:vMerge/>
            <w:shd w:val="clear" w:color="auto" w:fill="FFFFFF"/>
            <w:vAlign w:val="center"/>
          </w:tcPr>
          <w:p w:rsidR="004F34D9" w:rsidRPr="00123108" w:rsidRDefault="004F34D9">
            <w:pPr>
              <w:rPr>
                <w:rFonts w:ascii="宋体" w:hAnsi="宋体"/>
                <w:szCs w:val="21"/>
              </w:rPr>
            </w:pPr>
          </w:p>
        </w:tc>
        <w:tc>
          <w:tcPr>
            <w:tcW w:w="564" w:type="pct"/>
            <w:shd w:val="clear" w:color="auto" w:fill="FFFFFF"/>
            <w:vAlign w:val="center"/>
          </w:tcPr>
          <w:p w:rsidR="004F34D9" w:rsidRPr="00123108" w:rsidRDefault="004F34D9">
            <w:pPr>
              <w:adjustRightInd w:val="0"/>
              <w:snapToGrid w:val="0"/>
              <w:rPr>
                <w:szCs w:val="21"/>
              </w:rPr>
            </w:pPr>
            <w:r w:rsidRPr="00123108">
              <w:rPr>
                <w:rFonts w:hint="eastAsia"/>
                <w:szCs w:val="21"/>
              </w:rPr>
              <w:t>符合</w:t>
            </w:r>
          </w:p>
        </w:tc>
      </w:tr>
      <w:tr w:rsidR="004F34D9" w:rsidRPr="00123108">
        <w:trPr>
          <w:cantSplit/>
          <w:trHeight w:val="340"/>
          <w:jc w:val="center"/>
        </w:trPr>
        <w:tc>
          <w:tcPr>
            <w:tcW w:w="395"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二</w:t>
            </w:r>
          </w:p>
        </w:tc>
        <w:tc>
          <w:tcPr>
            <w:tcW w:w="2288" w:type="pct"/>
            <w:shd w:val="clear" w:color="auto" w:fill="FFFFFF"/>
            <w:vAlign w:val="center"/>
          </w:tcPr>
          <w:p w:rsidR="004F34D9" w:rsidRPr="00123108" w:rsidRDefault="004F34D9">
            <w:pPr>
              <w:adjustRightInd w:val="0"/>
              <w:snapToGrid w:val="0"/>
              <w:rPr>
                <w:szCs w:val="21"/>
              </w:rPr>
            </w:pPr>
            <w:r w:rsidRPr="00123108">
              <w:rPr>
                <w:rFonts w:hint="eastAsia"/>
                <w:szCs w:val="21"/>
              </w:rPr>
              <w:t>实体防范要求</w:t>
            </w:r>
          </w:p>
        </w:tc>
        <w:tc>
          <w:tcPr>
            <w:tcW w:w="1754" w:type="pct"/>
            <w:shd w:val="clear" w:color="auto" w:fill="FFFFFF"/>
            <w:vAlign w:val="center"/>
          </w:tcPr>
          <w:p w:rsidR="004F34D9" w:rsidRPr="00123108" w:rsidRDefault="004F34D9">
            <w:pPr>
              <w:rPr>
                <w:rFonts w:ascii="宋体" w:hAnsi="宋体"/>
                <w:szCs w:val="21"/>
              </w:rPr>
            </w:pPr>
          </w:p>
        </w:tc>
        <w:tc>
          <w:tcPr>
            <w:tcW w:w="564" w:type="pct"/>
            <w:shd w:val="clear" w:color="auto" w:fill="FFFFFF"/>
            <w:vAlign w:val="center"/>
          </w:tcPr>
          <w:p w:rsidR="004F34D9" w:rsidRPr="00123108" w:rsidRDefault="004F34D9">
            <w:pPr>
              <w:rPr>
                <w:rFonts w:ascii="宋体" w:hAnsi="宋体"/>
                <w:szCs w:val="21"/>
              </w:rPr>
            </w:pPr>
          </w:p>
        </w:tc>
      </w:tr>
      <w:tr w:rsidR="004F34D9" w:rsidRPr="00123108">
        <w:trPr>
          <w:cantSplit/>
          <w:trHeight w:val="340"/>
          <w:jc w:val="center"/>
        </w:trPr>
        <w:tc>
          <w:tcPr>
            <w:tcW w:w="395"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1</w:t>
            </w:r>
          </w:p>
        </w:tc>
        <w:tc>
          <w:tcPr>
            <w:tcW w:w="2288" w:type="pct"/>
            <w:shd w:val="clear" w:color="auto" w:fill="FFFFFF"/>
            <w:vAlign w:val="center"/>
          </w:tcPr>
          <w:p w:rsidR="004F34D9" w:rsidRPr="00123108" w:rsidRDefault="004F34D9">
            <w:pPr>
              <w:adjustRightInd w:val="0"/>
              <w:snapToGrid w:val="0"/>
              <w:rPr>
                <w:szCs w:val="21"/>
              </w:rPr>
            </w:pPr>
            <w:r w:rsidRPr="00123108">
              <w:rPr>
                <w:rFonts w:hint="eastAsia"/>
                <w:szCs w:val="21"/>
              </w:rPr>
              <w:t>易制爆危险化学品生产、储存、经营单位应当设置治安保卫机构，配备专职治安保卫人员；使用单位应当配备专（兼）职治安保卫人员。</w:t>
            </w:r>
          </w:p>
        </w:tc>
        <w:tc>
          <w:tcPr>
            <w:tcW w:w="1754" w:type="pct"/>
            <w:shd w:val="clear" w:color="auto" w:fill="FFFFFF"/>
            <w:vAlign w:val="center"/>
          </w:tcPr>
          <w:p w:rsidR="004F34D9" w:rsidRPr="00123108" w:rsidRDefault="004F34D9">
            <w:pPr>
              <w:rPr>
                <w:szCs w:val="21"/>
              </w:rPr>
            </w:pPr>
            <w:r w:rsidRPr="00123108">
              <w:rPr>
                <w:rFonts w:hint="eastAsia"/>
                <w:szCs w:val="21"/>
              </w:rPr>
              <w:t>企业已设置安全保卫机构，配有兼职安保人员。</w:t>
            </w:r>
          </w:p>
        </w:tc>
        <w:tc>
          <w:tcPr>
            <w:tcW w:w="564"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符合</w:t>
            </w:r>
          </w:p>
        </w:tc>
      </w:tr>
      <w:tr w:rsidR="004F34D9" w:rsidRPr="00123108">
        <w:trPr>
          <w:cantSplit/>
          <w:trHeight w:val="340"/>
          <w:jc w:val="center"/>
        </w:trPr>
        <w:tc>
          <w:tcPr>
            <w:tcW w:w="395" w:type="pct"/>
            <w:shd w:val="clear" w:color="auto" w:fill="FFFFFF"/>
            <w:vAlign w:val="center"/>
          </w:tcPr>
          <w:p w:rsidR="004F34D9" w:rsidRPr="00123108" w:rsidRDefault="004F34D9">
            <w:pPr>
              <w:rPr>
                <w:rFonts w:ascii="宋体" w:hAnsi="宋体"/>
                <w:szCs w:val="21"/>
              </w:rPr>
            </w:pPr>
            <w:bookmarkStart w:id="1849" w:name="_Hlk63541463"/>
            <w:r w:rsidRPr="00123108">
              <w:rPr>
                <w:rFonts w:ascii="宋体" w:hAnsi="宋体" w:hint="eastAsia"/>
                <w:szCs w:val="21"/>
              </w:rPr>
              <w:t>2</w:t>
            </w:r>
          </w:p>
        </w:tc>
        <w:tc>
          <w:tcPr>
            <w:tcW w:w="2288" w:type="pct"/>
            <w:shd w:val="clear" w:color="auto" w:fill="FFFFFF"/>
            <w:vAlign w:val="center"/>
          </w:tcPr>
          <w:p w:rsidR="004F34D9" w:rsidRPr="00123108" w:rsidRDefault="004F34D9">
            <w:pPr>
              <w:adjustRightInd w:val="0"/>
              <w:snapToGrid w:val="0"/>
              <w:rPr>
                <w:szCs w:val="21"/>
              </w:rPr>
            </w:pPr>
            <w:r w:rsidRPr="00123108">
              <w:rPr>
                <w:rFonts w:hint="eastAsia"/>
                <w:szCs w:val="21"/>
              </w:rPr>
              <w:t>易制爆危险化学品应当储存在专用仓库、专用场地或者专用储存室（以下统称专用仓库），专用仓库为本单位治安保卫重点部位，实施重点保护。</w:t>
            </w:r>
          </w:p>
        </w:tc>
        <w:tc>
          <w:tcPr>
            <w:tcW w:w="1754" w:type="pct"/>
            <w:shd w:val="clear" w:color="auto" w:fill="FFFFFF"/>
            <w:vAlign w:val="center"/>
          </w:tcPr>
          <w:p w:rsidR="004F34D9" w:rsidRPr="00123108" w:rsidRDefault="004F34D9">
            <w:pPr>
              <w:adjustRightInd w:val="0"/>
              <w:snapToGrid w:val="0"/>
              <w:rPr>
                <w:szCs w:val="21"/>
              </w:rPr>
            </w:pPr>
            <w:r w:rsidRPr="00123108">
              <w:rPr>
                <w:rFonts w:hint="eastAsia"/>
                <w:szCs w:val="21"/>
              </w:rPr>
              <w:t>本项目涉及易制爆化学品为过氧化二异丙苯，储存在专用仓库。</w:t>
            </w:r>
          </w:p>
        </w:tc>
        <w:tc>
          <w:tcPr>
            <w:tcW w:w="564"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符合</w:t>
            </w:r>
          </w:p>
        </w:tc>
      </w:tr>
      <w:tr w:rsidR="004F34D9" w:rsidRPr="00123108">
        <w:trPr>
          <w:cantSplit/>
          <w:trHeight w:val="340"/>
          <w:jc w:val="center"/>
        </w:trPr>
        <w:tc>
          <w:tcPr>
            <w:tcW w:w="395"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3</w:t>
            </w:r>
          </w:p>
        </w:tc>
        <w:tc>
          <w:tcPr>
            <w:tcW w:w="2288" w:type="pct"/>
            <w:shd w:val="clear" w:color="auto" w:fill="FFFFFF"/>
            <w:vAlign w:val="center"/>
          </w:tcPr>
          <w:p w:rsidR="004F34D9" w:rsidRPr="00123108" w:rsidRDefault="004F34D9">
            <w:pPr>
              <w:adjustRightInd w:val="0"/>
              <w:snapToGrid w:val="0"/>
              <w:rPr>
                <w:szCs w:val="21"/>
              </w:rPr>
            </w:pPr>
            <w:r w:rsidRPr="00123108">
              <w:rPr>
                <w:rFonts w:hint="eastAsia"/>
                <w:szCs w:val="21"/>
              </w:rPr>
              <w:t>易制爆危险化学品单位应当根据其涉及储存的易制爆危险化学品的种类和危险特性，在作业场所设置相应的监测、监控、通风、防晒、调温、防火、灭火、防爆、泄压、防毒、中和、防潮、防雷、防静电、防腐、防泄漏以及防护围或者隔离操作等安全设施、设备，并对安全设施、设备经常性维护保养。</w:t>
            </w:r>
          </w:p>
        </w:tc>
        <w:tc>
          <w:tcPr>
            <w:tcW w:w="1754" w:type="pct"/>
            <w:shd w:val="clear" w:color="auto" w:fill="FFFFFF"/>
            <w:vAlign w:val="center"/>
          </w:tcPr>
          <w:p w:rsidR="004F34D9" w:rsidRPr="00123108" w:rsidRDefault="004F34D9">
            <w:pPr>
              <w:adjustRightInd w:val="0"/>
              <w:snapToGrid w:val="0"/>
              <w:rPr>
                <w:szCs w:val="21"/>
              </w:rPr>
            </w:pPr>
            <w:r w:rsidRPr="00123108">
              <w:rPr>
                <w:rFonts w:hint="eastAsia"/>
                <w:szCs w:val="21"/>
              </w:rPr>
              <w:t>过氧化二异丙苯仓库已设置视频监控，采用专用甲类仓库储存，可避免阳光暴晒，设有防爆空调，设有独立的防火分区，区间内采用防爆灯具，配备有气体泄漏检测报警仪，仓库已进行防雷防静电检测，已设置轴流风机，已配备灭火器。</w:t>
            </w:r>
          </w:p>
        </w:tc>
        <w:tc>
          <w:tcPr>
            <w:tcW w:w="564"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符合</w:t>
            </w:r>
          </w:p>
        </w:tc>
      </w:tr>
      <w:tr w:rsidR="004F34D9" w:rsidRPr="00123108">
        <w:trPr>
          <w:cantSplit/>
          <w:trHeight w:val="340"/>
          <w:jc w:val="center"/>
        </w:trPr>
        <w:tc>
          <w:tcPr>
            <w:tcW w:w="395"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4</w:t>
            </w:r>
          </w:p>
        </w:tc>
        <w:tc>
          <w:tcPr>
            <w:tcW w:w="2288" w:type="pct"/>
            <w:shd w:val="clear" w:color="auto" w:fill="FFFFFF"/>
            <w:vAlign w:val="center"/>
          </w:tcPr>
          <w:p w:rsidR="004F34D9" w:rsidRPr="00123108" w:rsidRDefault="004F34D9">
            <w:pPr>
              <w:adjustRightInd w:val="0"/>
              <w:snapToGrid w:val="0"/>
              <w:rPr>
                <w:szCs w:val="21"/>
              </w:rPr>
            </w:pPr>
            <w:r w:rsidRPr="00123108">
              <w:rPr>
                <w:rFonts w:hint="eastAsia"/>
                <w:szCs w:val="21"/>
              </w:rPr>
              <w:t>易制爆危险化学品作业场所和安全设施、设备上应设置明显的安全警示标志；在作业场所应设置通信、报警装置，并保证处于适用状态。</w:t>
            </w:r>
          </w:p>
        </w:tc>
        <w:tc>
          <w:tcPr>
            <w:tcW w:w="1754" w:type="pct"/>
            <w:shd w:val="clear" w:color="auto" w:fill="FFFFFF"/>
            <w:vAlign w:val="center"/>
          </w:tcPr>
          <w:p w:rsidR="004F34D9" w:rsidRPr="00123108" w:rsidRDefault="004F34D9">
            <w:pPr>
              <w:adjustRightInd w:val="0"/>
              <w:snapToGrid w:val="0"/>
              <w:rPr>
                <w:szCs w:val="21"/>
              </w:rPr>
            </w:pPr>
            <w:r w:rsidRPr="00123108">
              <w:rPr>
                <w:rFonts w:hint="eastAsia"/>
                <w:szCs w:val="21"/>
              </w:rPr>
              <w:t>过氧化二异丙苯储存场所已设置物料安全周知卡，监控报警装置。巡检人员已配备对讲机、防爆手机用于通信、报警。</w:t>
            </w:r>
          </w:p>
        </w:tc>
        <w:tc>
          <w:tcPr>
            <w:tcW w:w="564"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符合</w:t>
            </w:r>
          </w:p>
        </w:tc>
      </w:tr>
      <w:tr w:rsidR="004F34D9" w:rsidRPr="00123108">
        <w:trPr>
          <w:cantSplit/>
          <w:trHeight w:val="340"/>
          <w:jc w:val="center"/>
        </w:trPr>
        <w:tc>
          <w:tcPr>
            <w:tcW w:w="395"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三</w:t>
            </w:r>
          </w:p>
        </w:tc>
        <w:tc>
          <w:tcPr>
            <w:tcW w:w="2288"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技术防范要求</w:t>
            </w:r>
          </w:p>
        </w:tc>
        <w:tc>
          <w:tcPr>
            <w:tcW w:w="1754" w:type="pct"/>
            <w:shd w:val="clear" w:color="auto" w:fill="FFFFFF"/>
            <w:vAlign w:val="center"/>
          </w:tcPr>
          <w:p w:rsidR="004F34D9" w:rsidRPr="00123108" w:rsidRDefault="004F34D9">
            <w:pPr>
              <w:rPr>
                <w:rFonts w:ascii="宋体" w:hAnsi="宋体"/>
                <w:szCs w:val="21"/>
              </w:rPr>
            </w:pPr>
          </w:p>
        </w:tc>
        <w:tc>
          <w:tcPr>
            <w:tcW w:w="564" w:type="pct"/>
            <w:shd w:val="clear" w:color="auto" w:fill="FFFFFF"/>
            <w:vAlign w:val="center"/>
          </w:tcPr>
          <w:p w:rsidR="004F34D9" w:rsidRPr="00123108" w:rsidRDefault="004F34D9">
            <w:pPr>
              <w:rPr>
                <w:rFonts w:ascii="宋体" w:hAnsi="宋体"/>
                <w:szCs w:val="21"/>
              </w:rPr>
            </w:pPr>
          </w:p>
        </w:tc>
      </w:tr>
      <w:tr w:rsidR="004F34D9" w:rsidRPr="00123108">
        <w:trPr>
          <w:cantSplit/>
          <w:trHeight w:val="340"/>
          <w:jc w:val="center"/>
        </w:trPr>
        <w:tc>
          <w:tcPr>
            <w:tcW w:w="395"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（1）</w:t>
            </w:r>
          </w:p>
        </w:tc>
        <w:tc>
          <w:tcPr>
            <w:tcW w:w="2288"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 xml:space="preserve">       </w:t>
            </w:r>
            <w:bookmarkStart w:id="1850" w:name="_Hlk71575601"/>
            <w:r w:rsidRPr="00123108">
              <w:rPr>
                <w:rFonts w:ascii="宋体" w:hAnsi="宋体" w:hint="eastAsia"/>
                <w:szCs w:val="21"/>
              </w:rPr>
              <w:t xml:space="preserve">   视频监控系统</w:t>
            </w:r>
            <w:bookmarkEnd w:id="1850"/>
          </w:p>
        </w:tc>
        <w:tc>
          <w:tcPr>
            <w:tcW w:w="1754" w:type="pct"/>
            <w:shd w:val="clear" w:color="auto" w:fill="FFFFFF"/>
            <w:vAlign w:val="center"/>
          </w:tcPr>
          <w:p w:rsidR="004F34D9" w:rsidRPr="00123108" w:rsidRDefault="004F34D9">
            <w:pPr>
              <w:rPr>
                <w:rFonts w:ascii="宋体" w:hAnsi="宋体"/>
                <w:szCs w:val="21"/>
              </w:rPr>
            </w:pPr>
          </w:p>
        </w:tc>
        <w:tc>
          <w:tcPr>
            <w:tcW w:w="564" w:type="pct"/>
            <w:shd w:val="clear" w:color="auto" w:fill="FFFFFF"/>
            <w:vAlign w:val="center"/>
          </w:tcPr>
          <w:p w:rsidR="004F34D9" w:rsidRPr="00123108" w:rsidRDefault="004F34D9">
            <w:pPr>
              <w:rPr>
                <w:rFonts w:ascii="宋体" w:hAnsi="宋体"/>
                <w:szCs w:val="21"/>
              </w:rPr>
            </w:pPr>
          </w:p>
        </w:tc>
      </w:tr>
      <w:tr w:rsidR="004F34D9" w:rsidRPr="00123108">
        <w:trPr>
          <w:cantSplit/>
          <w:trHeight w:val="340"/>
          <w:jc w:val="center"/>
        </w:trPr>
        <w:tc>
          <w:tcPr>
            <w:tcW w:w="395"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1</w:t>
            </w:r>
          </w:p>
        </w:tc>
        <w:tc>
          <w:tcPr>
            <w:tcW w:w="2288" w:type="pct"/>
            <w:shd w:val="clear" w:color="auto" w:fill="FFFFFF"/>
            <w:vAlign w:val="center"/>
          </w:tcPr>
          <w:p w:rsidR="004F34D9" w:rsidRPr="00123108" w:rsidRDefault="004F34D9">
            <w:pPr>
              <w:adjustRightInd w:val="0"/>
              <w:snapToGrid w:val="0"/>
              <w:rPr>
                <w:szCs w:val="21"/>
              </w:rPr>
            </w:pPr>
            <w:r w:rsidRPr="00123108">
              <w:rPr>
                <w:rFonts w:hint="eastAsia"/>
                <w:szCs w:val="21"/>
              </w:rPr>
              <w:t>视频监控系统应符合</w:t>
            </w:r>
            <w:r w:rsidRPr="00123108">
              <w:rPr>
                <w:rFonts w:hint="eastAsia"/>
                <w:szCs w:val="21"/>
              </w:rPr>
              <w:t>GB 50395</w:t>
            </w:r>
            <w:r w:rsidRPr="00123108">
              <w:rPr>
                <w:rFonts w:hint="eastAsia"/>
                <w:szCs w:val="21"/>
              </w:rPr>
              <w:t>的相关要求；监控及回放图像应能清晰辨别人员的体貌特征、活动状况。</w:t>
            </w:r>
          </w:p>
        </w:tc>
        <w:tc>
          <w:tcPr>
            <w:tcW w:w="1754" w:type="pct"/>
            <w:shd w:val="clear" w:color="auto" w:fill="FFFFFF"/>
            <w:vAlign w:val="center"/>
          </w:tcPr>
          <w:p w:rsidR="004F34D9" w:rsidRPr="00123108" w:rsidRDefault="004F34D9">
            <w:pPr>
              <w:adjustRightInd w:val="0"/>
              <w:snapToGrid w:val="0"/>
              <w:rPr>
                <w:szCs w:val="21"/>
              </w:rPr>
            </w:pPr>
            <w:r w:rsidRPr="00123108">
              <w:rPr>
                <w:rFonts w:hint="eastAsia"/>
                <w:szCs w:val="21"/>
              </w:rPr>
              <w:t>已设置视频监控设施。</w:t>
            </w:r>
          </w:p>
        </w:tc>
        <w:tc>
          <w:tcPr>
            <w:tcW w:w="564"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符合</w:t>
            </w:r>
          </w:p>
        </w:tc>
      </w:tr>
      <w:tr w:rsidR="004F34D9" w:rsidRPr="00123108">
        <w:trPr>
          <w:cantSplit/>
          <w:trHeight w:val="340"/>
          <w:jc w:val="center"/>
        </w:trPr>
        <w:tc>
          <w:tcPr>
            <w:tcW w:w="395"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2</w:t>
            </w:r>
          </w:p>
        </w:tc>
        <w:tc>
          <w:tcPr>
            <w:tcW w:w="2288" w:type="pct"/>
            <w:shd w:val="clear" w:color="auto" w:fill="FFFFFF"/>
            <w:vAlign w:val="center"/>
          </w:tcPr>
          <w:p w:rsidR="004F34D9" w:rsidRPr="00123108" w:rsidRDefault="004F34D9">
            <w:pPr>
              <w:adjustRightInd w:val="0"/>
              <w:snapToGrid w:val="0"/>
              <w:rPr>
                <w:szCs w:val="21"/>
              </w:rPr>
            </w:pPr>
            <w:r w:rsidRPr="00123108">
              <w:rPr>
                <w:rFonts w:hint="eastAsia"/>
                <w:szCs w:val="21"/>
              </w:rPr>
              <w:t>视频图像应实时记录，记录保存时间应不少于</w:t>
            </w:r>
            <w:r w:rsidRPr="00123108">
              <w:rPr>
                <w:rFonts w:hint="eastAsia"/>
                <w:szCs w:val="21"/>
              </w:rPr>
              <w:t>30</w:t>
            </w:r>
            <w:r w:rsidRPr="00123108">
              <w:rPr>
                <w:rFonts w:hint="eastAsia"/>
                <w:szCs w:val="21"/>
              </w:rPr>
              <w:t>天。</w:t>
            </w:r>
          </w:p>
        </w:tc>
        <w:tc>
          <w:tcPr>
            <w:tcW w:w="1754" w:type="pct"/>
            <w:shd w:val="clear" w:color="auto" w:fill="FFFFFF"/>
            <w:vAlign w:val="center"/>
          </w:tcPr>
          <w:p w:rsidR="004F34D9" w:rsidRPr="00123108" w:rsidRDefault="004F34D9">
            <w:pPr>
              <w:adjustRightInd w:val="0"/>
              <w:snapToGrid w:val="0"/>
              <w:rPr>
                <w:szCs w:val="21"/>
              </w:rPr>
            </w:pPr>
            <w:r w:rsidRPr="00123108">
              <w:rPr>
                <w:rFonts w:hint="eastAsia"/>
                <w:szCs w:val="21"/>
              </w:rPr>
              <w:t>视频图像保存时间满足要求，可满足</w:t>
            </w:r>
            <w:r w:rsidRPr="00123108">
              <w:rPr>
                <w:rFonts w:hint="eastAsia"/>
                <w:szCs w:val="21"/>
              </w:rPr>
              <w:t>3</w:t>
            </w:r>
            <w:r w:rsidRPr="00123108">
              <w:rPr>
                <w:szCs w:val="21"/>
              </w:rPr>
              <w:t>0</w:t>
            </w:r>
            <w:r w:rsidRPr="00123108">
              <w:rPr>
                <w:rFonts w:hint="eastAsia"/>
                <w:szCs w:val="21"/>
              </w:rPr>
              <w:t>天保存时间。</w:t>
            </w:r>
          </w:p>
        </w:tc>
        <w:tc>
          <w:tcPr>
            <w:tcW w:w="564"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符合</w:t>
            </w:r>
          </w:p>
        </w:tc>
      </w:tr>
      <w:bookmarkEnd w:id="1849"/>
      <w:tr w:rsidR="004F34D9" w:rsidRPr="00123108">
        <w:trPr>
          <w:cantSplit/>
          <w:trHeight w:val="340"/>
          <w:jc w:val="center"/>
        </w:trPr>
        <w:tc>
          <w:tcPr>
            <w:tcW w:w="395"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3</w:t>
            </w:r>
          </w:p>
        </w:tc>
        <w:tc>
          <w:tcPr>
            <w:tcW w:w="2288" w:type="pct"/>
            <w:shd w:val="clear" w:color="auto" w:fill="FFFFFF"/>
            <w:vAlign w:val="center"/>
          </w:tcPr>
          <w:p w:rsidR="004F34D9" w:rsidRPr="00123108" w:rsidRDefault="004F34D9">
            <w:pPr>
              <w:adjustRightInd w:val="0"/>
              <w:snapToGrid w:val="0"/>
              <w:rPr>
                <w:szCs w:val="21"/>
              </w:rPr>
            </w:pPr>
            <w:r w:rsidRPr="00123108">
              <w:rPr>
                <w:rFonts w:hint="eastAsia"/>
                <w:szCs w:val="21"/>
              </w:rPr>
              <w:t>视频监控系统前端探头的监控范围，应覆盖专用仓库的内部或出入口。</w:t>
            </w:r>
          </w:p>
        </w:tc>
        <w:tc>
          <w:tcPr>
            <w:tcW w:w="1754" w:type="pct"/>
            <w:shd w:val="clear" w:color="auto" w:fill="FFFFFF"/>
            <w:vAlign w:val="center"/>
          </w:tcPr>
          <w:p w:rsidR="004F34D9" w:rsidRPr="00123108" w:rsidRDefault="004F34D9">
            <w:pPr>
              <w:adjustRightInd w:val="0"/>
              <w:snapToGrid w:val="0"/>
              <w:rPr>
                <w:szCs w:val="21"/>
              </w:rPr>
            </w:pPr>
            <w:r w:rsidRPr="00123108">
              <w:rPr>
                <w:rFonts w:hint="eastAsia"/>
                <w:szCs w:val="21"/>
              </w:rPr>
              <w:t>视频监控探头已覆盖仓库出入口。</w:t>
            </w:r>
          </w:p>
        </w:tc>
        <w:tc>
          <w:tcPr>
            <w:tcW w:w="564"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符合</w:t>
            </w:r>
          </w:p>
        </w:tc>
      </w:tr>
      <w:tr w:rsidR="004F34D9" w:rsidRPr="00123108">
        <w:trPr>
          <w:cantSplit/>
          <w:trHeight w:val="340"/>
          <w:jc w:val="center"/>
        </w:trPr>
        <w:tc>
          <w:tcPr>
            <w:tcW w:w="395"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4</w:t>
            </w:r>
          </w:p>
        </w:tc>
        <w:tc>
          <w:tcPr>
            <w:tcW w:w="2288" w:type="pct"/>
            <w:shd w:val="clear" w:color="auto" w:fill="FFFFFF"/>
            <w:vAlign w:val="center"/>
          </w:tcPr>
          <w:p w:rsidR="004F34D9" w:rsidRPr="00123108" w:rsidRDefault="004F34D9">
            <w:pPr>
              <w:adjustRightInd w:val="0"/>
              <w:snapToGrid w:val="0"/>
              <w:rPr>
                <w:szCs w:val="21"/>
              </w:rPr>
            </w:pPr>
            <w:r w:rsidRPr="00123108">
              <w:rPr>
                <w:rFonts w:hint="eastAsia"/>
                <w:szCs w:val="21"/>
              </w:rPr>
              <w:t>封闭式存放场所有条件的应换装或加装视频监控系统，其中，教学、科研、医疗单位在实验室储存少量试剂类易制爆为化学品的，可仅安装视频监控系统。半封闭式、敞开式存放场所应安装视频监控系统。</w:t>
            </w:r>
          </w:p>
        </w:tc>
        <w:tc>
          <w:tcPr>
            <w:tcW w:w="1754" w:type="pct"/>
            <w:shd w:val="clear" w:color="auto" w:fill="FFFFFF"/>
            <w:vAlign w:val="center"/>
          </w:tcPr>
          <w:p w:rsidR="004F34D9" w:rsidRPr="00123108" w:rsidRDefault="004F34D9">
            <w:pPr>
              <w:adjustRightInd w:val="0"/>
              <w:snapToGrid w:val="0"/>
              <w:rPr>
                <w:szCs w:val="21"/>
              </w:rPr>
            </w:pPr>
            <w:r w:rsidRPr="00123108">
              <w:rPr>
                <w:rFonts w:hint="eastAsia"/>
                <w:szCs w:val="21"/>
              </w:rPr>
              <w:t>视频监控探头已覆盖过氧化二异丙苯仓库。化验室不涉及</w:t>
            </w:r>
          </w:p>
        </w:tc>
        <w:tc>
          <w:tcPr>
            <w:tcW w:w="564"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符合</w:t>
            </w:r>
          </w:p>
        </w:tc>
      </w:tr>
      <w:tr w:rsidR="004F34D9" w:rsidRPr="00123108">
        <w:trPr>
          <w:cantSplit/>
          <w:trHeight w:val="340"/>
          <w:jc w:val="center"/>
        </w:trPr>
        <w:tc>
          <w:tcPr>
            <w:tcW w:w="395"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（2）</w:t>
            </w:r>
          </w:p>
        </w:tc>
        <w:tc>
          <w:tcPr>
            <w:tcW w:w="2288"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 xml:space="preserve">         </w:t>
            </w:r>
            <w:bookmarkStart w:id="1851" w:name="_Hlk71575608"/>
            <w:r w:rsidRPr="00123108">
              <w:rPr>
                <w:rFonts w:ascii="宋体" w:hAnsi="宋体" w:hint="eastAsia"/>
                <w:szCs w:val="21"/>
              </w:rPr>
              <w:t xml:space="preserve"> 入侵报警系统</w:t>
            </w:r>
            <w:bookmarkEnd w:id="1851"/>
          </w:p>
        </w:tc>
        <w:tc>
          <w:tcPr>
            <w:tcW w:w="1754" w:type="pct"/>
            <w:shd w:val="clear" w:color="auto" w:fill="FFFFFF"/>
            <w:vAlign w:val="center"/>
          </w:tcPr>
          <w:p w:rsidR="004F34D9" w:rsidRPr="00123108" w:rsidRDefault="004F34D9">
            <w:pPr>
              <w:rPr>
                <w:rFonts w:ascii="宋体" w:hAnsi="宋体"/>
                <w:szCs w:val="21"/>
              </w:rPr>
            </w:pPr>
          </w:p>
        </w:tc>
        <w:tc>
          <w:tcPr>
            <w:tcW w:w="564" w:type="pct"/>
            <w:shd w:val="clear" w:color="auto" w:fill="FFFFFF"/>
            <w:vAlign w:val="center"/>
          </w:tcPr>
          <w:p w:rsidR="004F34D9" w:rsidRPr="00123108" w:rsidRDefault="004F34D9">
            <w:pPr>
              <w:rPr>
                <w:rFonts w:ascii="宋体" w:hAnsi="宋体"/>
                <w:szCs w:val="21"/>
              </w:rPr>
            </w:pPr>
          </w:p>
        </w:tc>
      </w:tr>
      <w:tr w:rsidR="004F34D9" w:rsidRPr="00123108">
        <w:trPr>
          <w:cantSplit/>
          <w:trHeight w:val="340"/>
          <w:jc w:val="center"/>
        </w:trPr>
        <w:tc>
          <w:tcPr>
            <w:tcW w:w="395"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lastRenderedPageBreak/>
              <w:t>1</w:t>
            </w:r>
          </w:p>
        </w:tc>
        <w:tc>
          <w:tcPr>
            <w:tcW w:w="2288" w:type="pct"/>
            <w:shd w:val="clear" w:color="auto" w:fill="FFFFFF"/>
            <w:vAlign w:val="center"/>
          </w:tcPr>
          <w:p w:rsidR="004F34D9" w:rsidRPr="00123108" w:rsidRDefault="004F34D9">
            <w:pPr>
              <w:adjustRightInd w:val="0"/>
              <w:snapToGrid w:val="0"/>
              <w:rPr>
                <w:szCs w:val="21"/>
              </w:rPr>
            </w:pPr>
            <w:r w:rsidRPr="00123108">
              <w:rPr>
                <w:rFonts w:hint="eastAsia"/>
                <w:szCs w:val="21"/>
              </w:rPr>
              <w:t>入侵报警系统应符合</w:t>
            </w:r>
            <w:r w:rsidRPr="00123108">
              <w:rPr>
                <w:rFonts w:hint="eastAsia"/>
                <w:szCs w:val="21"/>
              </w:rPr>
              <w:t>GB 50394</w:t>
            </w:r>
            <w:r w:rsidRPr="00123108">
              <w:rPr>
                <w:rFonts w:hint="eastAsia"/>
                <w:szCs w:val="21"/>
              </w:rPr>
              <w:t>的相关要求；入侵报警信号应接入值班室或监控室，有条件的与当地公安机关联网。</w:t>
            </w:r>
          </w:p>
        </w:tc>
        <w:tc>
          <w:tcPr>
            <w:tcW w:w="1754" w:type="pct"/>
            <w:shd w:val="clear" w:color="auto" w:fill="FFFFFF"/>
            <w:vAlign w:val="center"/>
          </w:tcPr>
          <w:p w:rsidR="004F34D9" w:rsidRPr="00123108" w:rsidRDefault="004F34D9">
            <w:pPr>
              <w:adjustRightInd w:val="0"/>
              <w:snapToGrid w:val="0"/>
              <w:rPr>
                <w:szCs w:val="21"/>
              </w:rPr>
            </w:pPr>
            <w:r w:rsidRPr="00123108">
              <w:rPr>
                <w:rFonts w:hint="eastAsia"/>
                <w:szCs w:val="21"/>
              </w:rPr>
              <w:t>已设置入侵报警系统，入侵报警信号接入门卫室。厂区围墙外围已全部安装视频监控系统。</w:t>
            </w:r>
          </w:p>
        </w:tc>
        <w:tc>
          <w:tcPr>
            <w:tcW w:w="564"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符合</w:t>
            </w:r>
          </w:p>
        </w:tc>
      </w:tr>
      <w:tr w:rsidR="004F34D9" w:rsidRPr="00123108">
        <w:trPr>
          <w:cantSplit/>
          <w:trHeight w:val="340"/>
          <w:jc w:val="center"/>
        </w:trPr>
        <w:tc>
          <w:tcPr>
            <w:tcW w:w="395"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2</w:t>
            </w:r>
          </w:p>
        </w:tc>
        <w:tc>
          <w:tcPr>
            <w:tcW w:w="2288" w:type="pct"/>
            <w:shd w:val="clear" w:color="auto" w:fill="FFFFFF"/>
            <w:vAlign w:val="center"/>
          </w:tcPr>
          <w:p w:rsidR="004F34D9" w:rsidRPr="00123108" w:rsidRDefault="004F34D9">
            <w:pPr>
              <w:adjustRightInd w:val="0"/>
              <w:snapToGrid w:val="0"/>
              <w:rPr>
                <w:szCs w:val="21"/>
              </w:rPr>
            </w:pPr>
            <w:r w:rsidRPr="00123108">
              <w:rPr>
                <w:rFonts w:hint="eastAsia"/>
                <w:szCs w:val="21"/>
              </w:rPr>
              <w:t>入侵报警装置出作业时间外应处于设防状态。</w:t>
            </w:r>
          </w:p>
        </w:tc>
        <w:tc>
          <w:tcPr>
            <w:tcW w:w="1754" w:type="pct"/>
            <w:shd w:val="clear" w:color="auto" w:fill="FFFFFF"/>
            <w:vAlign w:val="center"/>
          </w:tcPr>
          <w:p w:rsidR="004F34D9" w:rsidRPr="00123108" w:rsidRDefault="004F34D9">
            <w:pPr>
              <w:adjustRightInd w:val="0"/>
              <w:snapToGrid w:val="0"/>
              <w:rPr>
                <w:szCs w:val="21"/>
              </w:rPr>
            </w:pPr>
            <w:r w:rsidRPr="00123108">
              <w:rPr>
                <w:rFonts w:hint="eastAsia"/>
                <w:szCs w:val="21"/>
              </w:rPr>
              <w:t>处于设防状态</w:t>
            </w:r>
          </w:p>
        </w:tc>
        <w:tc>
          <w:tcPr>
            <w:tcW w:w="564"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符合</w:t>
            </w:r>
          </w:p>
        </w:tc>
      </w:tr>
      <w:tr w:rsidR="004F34D9" w:rsidRPr="00123108">
        <w:trPr>
          <w:cantSplit/>
          <w:trHeight w:val="340"/>
          <w:jc w:val="center"/>
        </w:trPr>
        <w:tc>
          <w:tcPr>
            <w:tcW w:w="395"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3</w:t>
            </w:r>
          </w:p>
        </w:tc>
        <w:tc>
          <w:tcPr>
            <w:tcW w:w="2288" w:type="pct"/>
            <w:shd w:val="clear" w:color="auto" w:fill="FFFFFF"/>
            <w:vAlign w:val="center"/>
          </w:tcPr>
          <w:p w:rsidR="004F34D9" w:rsidRPr="00123108" w:rsidRDefault="004F34D9">
            <w:pPr>
              <w:adjustRightInd w:val="0"/>
              <w:snapToGrid w:val="0"/>
              <w:rPr>
                <w:szCs w:val="21"/>
              </w:rPr>
            </w:pPr>
            <w:r w:rsidRPr="00123108">
              <w:rPr>
                <w:rFonts w:hint="eastAsia"/>
                <w:szCs w:val="21"/>
              </w:rPr>
              <w:t>入侵报警装置应具有防破坏功能，可对设备运行状态进行检测，能显示和记录报警发生的位置、区域、地点及警情数据。</w:t>
            </w:r>
          </w:p>
        </w:tc>
        <w:tc>
          <w:tcPr>
            <w:tcW w:w="1754" w:type="pct"/>
            <w:shd w:val="clear" w:color="auto" w:fill="FFFFFF"/>
            <w:vAlign w:val="center"/>
          </w:tcPr>
          <w:p w:rsidR="004F34D9" w:rsidRPr="00123108" w:rsidRDefault="004F34D9">
            <w:pPr>
              <w:adjustRightInd w:val="0"/>
              <w:snapToGrid w:val="0"/>
              <w:rPr>
                <w:szCs w:val="21"/>
              </w:rPr>
            </w:pPr>
            <w:r w:rsidRPr="00123108">
              <w:rPr>
                <w:rFonts w:hint="eastAsia"/>
                <w:szCs w:val="21"/>
              </w:rPr>
              <w:t>入侵报警系统采用红外报警，人员接近即可进行报警并跳转监控画面。</w:t>
            </w:r>
          </w:p>
        </w:tc>
        <w:tc>
          <w:tcPr>
            <w:tcW w:w="564"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符合</w:t>
            </w:r>
          </w:p>
        </w:tc>
      </w:tr>
      <w:tr w:rsidR="004F34D9" w:rsidRPr="00123108">
        <w:trPr>
          <w:cantSplit/>
          <w:trHeight w:val="340"/>
          <w:jc w:val="center"/>
        </w:trPr>
        <w:tc>
          <w:tcPr>
            <w:tcW w:w="395"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4</w:t>
            </w:r>
          </w:p>
        </w:tc>
        <w:tc>
          <w:tcPr>
            <w:tcW w:w="2288" w:type="pct"/>
            <w:shd w:val="clear" w:color="auto" w:fill="FFFFFF"/>
            <w:vAlign w:val="center"/>
          </w:tcPr>
          <w:p w:rsidR="004F34D9" w:rsidRPr="00123108" w:rsidRDefault="004F34D9">
            <w:pPr>
              <w:adjustRightInd w:val="0"/>
              <w:snapToGrid w:val="0"/>
              <w:rPr>
                <w:szCs w:val="21"/>
              </w:rPr>
            </w:pPr>
            <w:r w:rsidRPr="00123108">
              <w:rPr>
                <w:rFonts w:hint="eastAsia"/>
                <w:szCs w:val="21"/>
              </w:rPr>
              <w:t>声光报警装置安装在防盗报警控制器外，报警声级不小于</w:t>
            </w:r>
            <w:r w:rsidRPr="00123108">
              <w:rPr>
                <w:rFonts w:hint="eastAsia"/>
                <w:szCs w:val="21"/>
              </w:rPr>
              <w:t>100dB</w:t>
            </w:r>
            <w:r w:rsidRPr="00123108">
              <w:rPr>
                <w:rFonts w:hint="eastAsia"/>
                <w:szCs w:val="21"/>
              </w:rPr>
              <w:t>。</w:t>
            </w:r>
          </w:p>
        </w:tc>
        <w:tc>
          <w:tcPr>
            <w:tcW w:w="1754" w:type="pct"/>
            <w:shd w:val="clear" w:color="auto" w:fill="FFFFFF"/>
            <w:vAlign w:val="center"/>
          </w:tcPr>
          <w:p w:rsidR="004F34D9" w:rsidRPr="00123108" w:rsidRDefault="004F34D9">
            <w:pPr>
              <w:adjustRightInd w:val="0"/>
              <w:snapToGrid w:val="0"/>
              <w:rPr>
                <w:szCs w:val="21"/>
              </w:rPr>
            </w:pPr>
            <w:r w:rsidRPr="00123108">
              <w:rPr>
                <w:rFonts w:hint="eastAsia"/>
                <w:szCs w:val="21"/>
              </w:rPr>
              <w:t>声光报警装置在守卫，声音不小于</w:t>
            </w:r>
            <w:r w:rsidRPr="00123108">
              <w:rPr>
                <w:rFonts w:hint="eastAsia"/>
                <w:szCs w:val="21"/>
              </w:rPr>
              <w:t>100dB</w:t>
            </w:r>
          </w:p>
        </w:tc>
        <w:tc>
          <w:tcPr>
            <w:tcW w:w="564" w:type="pct"/>
            <w:shd w:val="clear" w:color="auto" w:fill="FFFFFF"/>
            <w:vAlign w:val="center"/>
          </w:tcPr>
          <w:p w:rsidR="004F34D9" w:rsidRPr="00123108" w:rsidRDefault="004F34D9">
            <w:pPr>
              <w:rPr>
                <w:rFonts w:ascii="宋体" w:hAnsi="宋体"/>
                <w:szCs w:val="21"/>
              </w:rPr>
            </w:pPr>
            <w:r w:rsidRPr="00123108">
              <w:rPr>
                <w:rFonts w:ascii="宋体" w:hAnsi="宋体"/>
                <w:szCs w:val="21"/>
              </w:rPr>
              <w:t>符合</w:t>
            </w:r>
          </w:p>
        </w:tc>
      </w:tr>
      <w:tr w:rsidR="004F34D9" w:rsidRPr="00123108">
        <w:trPr>
          <w:cantSplit/>
          <w:trHeight w:val="340"/>
          <w:jc w:val="center"/>
        </w:trPr>
        <w:tc>
          <w:tcPr>
            <w:tcW w:w="395" w:type="pct"/>
            <w:shd w:val="clear" w:color="auto" w:fill="FFFFFF"/>
            <w:vAlign w:val="center"/>
          </w:tcPr>
          <w:p w:rsidR="004F34D9" w:rsidRPr="00123108" w:rsidRDefault="004F34D9">
            <w:pPr>
              <w:rPr>
                <w:rFonts w:ascii="宋体" w:hAnsi="宋体"/>
                <w:szCs w:val="21"/>
              </w:rPr>
            </w:pPr>
            <w:r w:rsidRPr="00123108">
              <w:rPr>
                <w:rFonts w:ascii="宋体" w:hAnsi="宋体"/>
                <w:szCs w:val="21"/>
              </w:rPr>
              <w:t>5</w:t>
            </w:r>
          </w:p>
        </w:tc>
        <w:tc>
          <w:tcPr>
            <w:tcW w:w="2288" w:type="pct"/>
            <w:shd w:val="clear" w:color="auto" w:fill="FFFFFF"/>
            <w:vAlign w:val="center"/>
          </w:tcPr>
          <w:p w:rsidR="004F34D9" w:rsidRPr="00123108" w:rsidRDefault="004F34D9">
            <w:pPr>
              <w:adjustRightInd w:val="0"/>
              <w:snapToGrid w:val="0"/>
              <w:rPr>
                <w:szCs w:val="21"/>
              </w:rPr>
            </w:pPr>
            <w:r w:rsidRPr="00123108">
              <w:rPr>
                <w:rFonts w:hint="eastAsia"/>
                <w:szCs w:val="21"/>
              </w:rPr>
              <w:t>封闭式存放场所应安装入侵；半封闭式存报警装置放场所所有条件的加装周界等入侵报警系统。</w:t>
            </w:r>
          </w:p>
        </w:tc>
        <w:tc>
          <w:tcPr>
            <w:tcW w:w="1754" w:type="pct"/>
            <w:shd w:val="clear" w:color="auto" w:fill="FFFFFF"/>
            <w:vAlign w:val="center"/>
          </w:tcPr>
          <w:p w:rsidR="004F34D9" w:rsidRPr="00123108" w:rsidRDefault="004F34D9">
            <w:pPr>
              <w:adjustRightInd w:val="0"/>
              <w:snapToGrid w:val="0"/>
              <w:rPr>
                <w:szCs w:val="21"/>
              </w:rPr>
            </w:pPr>
            <w:r w:rsidRPr="00123108">
              <w:rPr>
                <w:rFonts w:hint="eastAsia"/>
                <w:szCs w:val="21"/>
              </w:rPr>
              <w:t>仓库为封闭式，安装入侵报警装置</w:t>
            </w:r>
          </w:p>
        </w:tc>
        <w:tc>
          <w:tcPr>
            <w:tcW w:w="564" w:type="pct"/>
            <w:shd w:val="clear" w:color="auto" w:fill="FFFFFF"/>
            <w:vAlign w:val="center"/>
          </w:tcPr>
          <w:p w:rsidR="004F34D9" w:rsidRPr="00123108" w:rsidRDefault="004F34D9">
            <w:pPr>
              <w:rPr>
                <w:rFonts w:ascii="宋体" w:hAnsi="宋体"/>
                <w:szCs w:val="21"/>
              </w:rPr>
            </w:pPr>
            <w:r w:rsidRPr="00123108">
              <w:rPr>
                <w:rFonts w:ascii="宋体" w:hAnsi="宋体" w:hint="eastAsia"/>
                <w:szCs w:val="21"/>
              </w:rPr>
              <w:t>符合</w:t>
            </w:r>
          </w:p>
        </w:tc>
      </w:tr>
    </w:tbl>
    <w:p w:rsidR="004F34D9" w:rsidRPr="00123108" w:rsidRDefault="004F34D9">
      <w:pPr>
        <w:autoSpaceDE w:val="0"/>
        <w:autoSpaceDN w:val="0"/>
        <w:adjustRightInd w:val="0"/>
        <w:spacing w:line="500" w:lineRule="exact"/>
        <w:ind w:firstLineChars="200" w:firstLine="560"/>
        <w:rPr>
          <w:rFonts w:ascii="宋体" w:hAnsi="宋体" w:hint="eastAsia"/>
          <w:sz w:val="28"/>
          <w:szCs w:val="28"/>
        </w:rPr>
      </w:pPr>
      <w:r w:rsidRPr="00123108">
        <w:rPr>
          <w:rFonts w:ascii="宋体" w:hAnsi="宋体" w:hint="eastAsia"/>
          <w:sz w:val="28"/>
          <w:szCs w:val="28"/>
        </w:rPr>
        <w:t>小结：根据</w:t>
      </w:r>
      <w:r w:rsidRPr="00123108">
        <w:rPr>
          <w:rFonts w:ascii="宋体" w:hAnsi="宋体"/>
          <w:sz w:val="28"/>
          <w:szCs w:val="28"/>
        </w:rPr>
        <w:t>《易制爆危险化学品储存场所治安防范要求》（GA 1511-2018）</w:t>
      </w:r>
      <w:r w:rsidRPr="00123108">
        <w:rPr>
          <w:rFonts w:ascii="宋体" w:hAnsi="宋体" w:hint="eastAsia"/>
          <w:sz w:val="28"/>
          <w:szCs w:val="28"/>
        </w:rPr>
        <w:t>要求，对企业涉及的易制爆危险化学品过氧化二异丙苯储存场所进行检查，符合要求。</w:t>
      </w:r>
    </w:p>
    <w:p w:rsidR="004F34D9" w:rsidRPr="00123108" w:rsidRDefault="004F34D9" w:rsidP="00E36E64">
      <w:pPr>
        <w:pStyle w:val="2"/>
        <w:spacing w:line="500" w:lineRule="exact"/>
        <w:jc w:val="both"/>
        <w:rPr>
          <w:rFonts w:ascii="宋体" w:eastAsia="宋体" w:cs="宋体" w:hint="eastAsia"/>
          <w:sz w:val="28"/>
          <w:szCs w:val="28"/>
        </w:rPr>
      </w:pPr>
      <w:bookmarkStart w:id="1852" w:name="_Toc190935924"/>
      <w:r w:rsidRPr="00123108">
        <w:rPr>
          <w:rFonts w:ascii="宋体" w:eastAsia="宋体" w:cs="宋体" w:hint="eastAsia"/>
          <w:sz w:val="28"/>
          <w:szCs w:val="28"/>
        </w:rPr>
        <w:t>附件2.18本次安全评价与上次安全评价之间的变化分析</w:t>
      </w:r>
      <w:bookmarkEnd w:id="1852"/>
    </w:p>
    <w:p w:rsidR="004F34D9" w:rsidRPr="00123108" w:rsidRDefault="004F34D9">
      <w:pPr>
        <w:snapToGrid w:val="0"/>
        <w:spacing w:line="500" w:lineRule="exact"/>
        <w:ind w:firstLineChars="200" w:firstLine="560"/>
        <w:rPr>
          <w:rFonts w:ascii="宋体" w:hAnsi="宋体" w:cs="宋体"/>
          <w:b/>
          <w:bCs/>
          <w:sz w:val="28"/>
          <w:szCs w:val="28"/>
        </w:rPr>
      </w:pPr>
      <w:r w:rsidRPr="00123108">
        <w:rPr>
          <w:rFonts w:ascii="宋体" w:hAnsi="宋体" w:hint="eastAsia"/>
          <w:sz w:val="28"/>
          <w:szCs w:val="28"/>
        </w:rPr>
        <w:t>本次安全评价与上次安全评价之间的变化情况见报告2.13章节。本评价周期内，企业无新、改、扩建项目，无生产工艺及主要设备变更。</w:t>
      </w:r>
    </w:p>
    <w:p w:rsidR="004F34D9" w:rsidRPr="00123108" w:rsidRDefault="004F34D9" w:rsidP="00E36E64">
      <w:pPr>
        <w:pStyle w:val="2"/>
        <w:spacing w:line="500" w:lineRule="exact"/>
        <w:jc w:val="both"/>
        <w:rPr>
          <w:rFonts w:ascii="宋体" w:eastAsia="宋体" w:cs="宋体" w:hint="eastAsia"/>
          <w:sz w:val="28"/>
          <w:szCs w:val="28"/>
        </w:rPr>
      </w:pPr>
      <w:bookmarkStart w:id="1853" w:name="_Toc190935925"/>
      <w:r w:rsidRPr="00123108">
        <w:rPr>
          <w:rFonts w:ascii="宋体" w:eastAsia="宋体" w:cs="宋体" w:hint="eastAsia"/>
          <w:sz w:val="28"/>
          <w:szCs w:val="28"/>
        </w:rPr>
        <w:t>附件2.19本次安全评价与上次安全评价之间的变化分析</w:t>
      </w:r>
      <w:bookmarkEnd w:id="1853"/>
    </w:p>
    <w:p w:rsidR="004F34D9" w:rsidRPr="00123108" w:rsidRDefault="004F34D9">
      <w:pPr>
        <w:spacing w:line="500" w:lineRule="exact"/>
        <w:ind w:firstLineChars="200" w:firstLine="560"/>
        <w:rPr>
          <w:rFonts w:ascii="宋体" w:hAnsi="宋体"/>
          <w:sz w:val="28"/>
          <w:szCs w:val="28"/>
        </w:rPr>
      </w:pPr>
      <w:r w:rsidRPr="00123108">
        <w:rPr>
          <w:rFonts w:ascii="宋体" w:hAnsi="宋体" w:hint="eastAsia"/>
          <w:sz w:val="28"/>
          <w:szCs w:val="28"/>
        </w:rPr>
        <w:t>上一周期《宁波新桥化工有限公司年产12万吨可发性聚苯乙烯项目安全现状评价报告》由</w:t>
      </w:r>
      <w:r w:rsidRPr="00123108">
        <w:rPr>
          <w:rFonts w:ascii="宋体" w:hAnsi="宋体"/>
          <w:sz w:val="28"/>
          <w:szCs w:val="28"/>
        </w:rPr>
        <w:t>北京中安质环技术评价中心有限公司</w:t>
      </w:r>
      <w:r w:rsidRPr="00123108">
        <w:rPr>
          <w:rFonts w:ascii="宋体" w:hAnsi="宋体" w:hint="eastAsia"/>
          <w:sz w:val="28"/>
          <w:szCs w:val="28"/>
        </w:rPr>
        <w:t>于2021年4月编制，根据安全现状评价报告提出的整改意见，企业已完成整改，见附表2.19-1.</w:t>
      </w:r>
    </w:p>
    <w:p w:rsidR="004F34D9" w:rsidRPr="00123108" w:rsidRDefault="004F34D9">
      <w:pPr>
        <w:autoSpaceDE w:val="0"/>
        <w:autoSpaceDN w:val="0"/>
        <w:adjustRightInd w:val="0"/>
        <w:spacing w:line="360" w:lineRule="auto"/>
        <w:ind w:firstLineChars="200" w:firstLine="562"/>
        <w:rPr>
          <w:rFonts w:ascii="黑体" w:eastAsia="黑体" w:hAnsi="黑体" w:cs="宋体" w:hint="eastAsia"/>
          <w:b/>
          <w:kern w:val="0"/>
          <w:sz w:val="28"/>
          <w:szCs w:val="28"/>
        </w:rPr>
      </w:pPr>
      <w:r w:rsidRPr="00123108">
        <w:rPr>
          <w:rFonts w:ascii="黑体" w:eastAsia="黑体" w:hAnsi="黑体" w:hint="eastAsia"/>
          <w:b/>
          <w:sz w:val="28"/>
          <w:szCs w:val="28"/>
        </w:rPr>
        <w:t>附表2.19-1上一周期安全评价报告</w:t>
      </w:r>
      <w:r w:rsidRPr="00123108">
        <w:rPr>
          <w:rFonts w:ascii="黑体" w:eastAsia="黑体" w:hAnsi="黑体" w:cs="宋体" w:hint="eastAsia"/>
          <w:b/>
          <w:kern w:val="0"/>
          <w:sz w:val="28"/>
          <w:szCs w:val="28"/>
        </w:rPr>
        <w:t>整改意见及落实情况说明</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4031"/>
        <w:gridCol w:w="4569"/>
      </w:tblGrid>
      <w:tr w:rsidR="004F34D9" w:rsidRPr="00123108">
        <w:trPr>
          <w:cantSplit/>
          <w:trHeight w:val="340"/>
          <w:tblHeader/>
          <w:jc w:val="center"/>
        </w:trPr>
        <w:tc>
          <w:tcPr>
            <w:tcW w:w="426" w:type="pct"/>
            <w:vAlign w:val="center"/>
          </w:tcPr>
          <w:p w:rsidR="004F34D9" w:rsidRPr="00123108" w:rsidRDefault="004F34D9">
            <w:pPr>
              <w:autoSpaceDE w:val="0"/>
              <w:autoSpaceDN w:val="0"/>
              <w:adjustRightInd w:val="0"/>
              <w:snapToGrid w:val="0"/>
              <w:jc w:val="center"/>
              <w:rPr>
                <w:rFonts w:ascii="宋体" w:hAnsi="宋体"/>
                <w:bCs/>
                <w:szCs w:val="21"/>
              </w:rPr>
            </w:pPr>
            <w:r w:rsidRPr="00123108">
              <w:rPr>
                <w:rFonts w:ascii="宋体" w:hAnsi="宋体" w:hint="eastAsia"/>
                <w:bCs/>
                <w:szCs w:val="21"/>
              </w:rPr>
              <w:t>序号</w:t>
            </w:r>
          </w:p>
        </w:tc>
        <w:tc>
          <w:tcPr>
            <w:tcW w:w="2144" w:type="pct"/>
          </w:tcPr>
          <w:p w:rsidR="004F34D9" w:rsidRPr="00123108" w:rsidRDefault="004F34D9">
            <w:pPr>
              <w:jc w:val="center"/>
              <w:rPr>
                <w:rFonts w:ascii="宋体" w:hAnsi="宋体"/>
                <w:b/>
                <w:szCs w:val="21"/>
              </w:rPr>
            </w:pPr>
            <w:r w:rsidRPr="00123108">
              <w:rPr>
                <w:rFonts w:ascii="宋体" w:hAnsi="宋体" w:hint="eastAsia"/>
                <w:b/>
                <w:szCs w:val="21"/>
              </w:rPr>
              <w:t>存在问题</w:t>
            </w:r>
          </w:p>
        </w:tc>
        <w:tc>
          <w:tcPr>
            <w:tcW w:w="2430" w:type="pct"/>
            <w:vAlign w:val="center"/>
          </w:tcPr>
          <w:p w:rsidR="004F34D9" w:rsidRPr="00123108" w:rsidRDefault="004F34D9">
            <w:pPr>
              <w:jc w:val="center"/>
              <w:rPr>
                <w:rFonts w:ascii="宋体" w:hAnsi="宋体"/>
                <w:szCs w:val="21"/>
              </w:rPr>
            </w:pPr>
            <w:r w:rsidRPr="00123108">
              <w:rPr>
                <w:rFonts w:ascii="宋体" w:hAnsi="宋体" w:hint="eastAsia"/>
                <w:szCs w:val="21"/>
              </w:rPr>
              <w:t>整改情况说明</w:t>
            </w:r>
          </w:p>
        </w:tc>
      </w:tr>
      <w:tr w:rsidR="004F34D9" w:rsidRPr="00123108">
        <w:trPr>
          <w:cantSplit/>
          <w:trHeight w:val="340"/>
          <w:jc w:val="center"/>
        </w:trPr>
        <w:tc>
          <w:tcPr>
            <w:tcW w:w="426" w:type="pct"/>
            <w:vAlign w:val="center"/>
          </w:tcPr>
          <w:p w:rsidR="004F34D9" w:rsidRPr="00123108" w:rsidRDefault="004F34D9">
            <w:pPr>
              <w:numPr>
                <w:ilvl w:val="0"/>
                <w:numId w:val="71"/>
              </w:numPr>
              <w:autoSpaceDE w:val="0"/>
              <w:autoSpaceDN w:val="0"/>
              <w:adjustRightInd w:val="0"/>
              <w:snapToGrid w:val="0"/>
              <w:jc w:val="center"/>
              <w:rPr>
                <w:rFonts w:ascii="宋体" w:hAnsi="宋体"/>
                <w:bCs/>
                <w:szCs w:val="21"/>
              </w:rPr>
            </w:pPr>
            <w:bookmarkStart w:id="1854" w:name="_Hlk504468708"/>
          </w:p>
        </w:tc>
        <w:tc>
          <w:tcPr>
            <w:tcW w:w="2144" w:type="pct"/>
            <w:vAlign w:val="center"/>
          </w:tcPr>
          <w:p w:rsidR="004F34D9" w:rsidRPr="00123108" w:rsidRDefault="004F34D9">
            <w:pPr>
              <w:adjustRightInd w:val="0"/>
              <w:snapToGrid w:val="0"/>
              <w:rPr>
                <w:szCs w:val="21"/>
              </w:rPr>
            </w:pPr>
            <w:r w:rsidRPr="00123108">
              <w:rPr>
                <w:rFonts w:hint="eastAsia"/>
                <w:szCs w:val="21"/>
              </w:rPr>
              <w:t>本企业装置控制室、机柜间与生产车间在同一幢建筑物内。</w:t>
            </w:r>
          </w:p>
        </w:tc>
        <w:tc>
          <w:tcPr>
            <w:tcW w:w="2430" w:type="pct"/>
          </w:tcPr>
          <w:p w:rsidR="004F34D9" w:rsidRPr="00123108" w:rsidRDefault="004F34D9">
            <w:pPr>
              <w:adjustRightInd w:val="0"/>
              <w:snapToGrid w:val="0"/>
              <w:rPr>
                <w:szCs w:val="21"/>
              </w:rPr>
            </w:pPr>
            <w:r w:rsidRPr="00123108">
              <w:rPr>
                <w:rFonts w:hint="eastAsia"/>
                <w:szCs w:val="21"/>
              </w:rPr>
              <w:t>已将控制室、机柜间搬迁至办公楼一楼，远离生产区域。</w:t>
            </w:r>
          </w:p>
        </w:tc>
      </w:tr>
      <w:tr w:rsidR="004F34D9" w:rsidRPr="00123108">
        <w:trPr>
          <w:cantSplit/>
          <w:trHeight w:val="340"/>
          <w:jc w:val="center"/>
        </w:trPr>
        <w:tc>
          <w:tcPr>
            <w:tcW w:w="426" w:type="pct"/>
            <w:vAlign w:val="center"/>
          </w:tcPr>
          <w:p w:rsidR="004F34D9" w:rsidRPr="00123108" w:rsidRDefault="004F34D9">
            <w:pPr>
              <w:numPr>
                <w:ilvl w:val="0"/>
                <w:numId w:val="71"/>
              </w:numPr>
              <w:autoSpaceDE w:val="0"/>
              <w:autoSpaceDN w:val="0"/>
              <w:adjustRightInd w:val="0"/>
              <w:snapToGrid w:val="0"/>
              <w:jc w:val="center"/>
              <w:rPr>
                <w:rFonts w:ascii="宋体" w:hAnsi="宋体"/>
                <w:bCs/>
                <w:szCs w:val="21"/>
              </w:rPr>
            </w:pPr>
          </w:p>
        </w:tc>
        <w:tc>
          <w:tcPr>
            <w:tcW w:w="2144" w:type="pct"/>
            <w:vAlign w:val="center"/>
          </w:tcPr>
          <w:p w:rsidR="004F34D9" w:rsidRPr="00123108" w:rsidRDefault="004F34D9">
            <w:pPr>
              <w:adjustRightInd w:val="0"/>
              <w:snapToGrid w:val="0"/>
              <w:rPr>
                <w:szCs w:val="21"/>
              </w:rPr>
            </w:pPr>
            <w:r w:rsidRPr="00123108">
              <w:rPr>
                <w:rFonts w:hint="eastAsia"/>
                <w:szCs w:val="21"/>
              </w:rPr>
              <w:t>B</w:t>
            </w:r>
            <w:r w:rsidRPr="00123108">
              <w:rPr>
                <w:rFonts w:hint="eastAsia"/>
                <w:szCs w:val="21"/>
              </w:rPr>
              <w:t>反应部（甲类）与西侧焚烧炉之间实际间距约为</w:t>
            </w:r>
            <w:r w:rsidRPr="00123108">
              <w:rPr>
                <w:rFonts w:hint="eastAsia"/>
                <w:szCs w:val="21"/>
              </w:rPr>
              <w:t>20m</w:t>
            </w:r>
            <w:r w:rsidRPr="00123108">
              <w:rPr>
                <w:rFonts w:hint="eastAsia"/>
                <w:szCs w:val="21"/>
              </w:rPr>
              <w:t>，不符合甲类厂房与明火或散发火花地点的防火间距不应小于</w:t>
            </w:r>
            <w:r w:rsidRPr="00123108">
              <w:rPr>
                <w:rFonts w:hint="eastAsia"/>
                <w:szCs w:val="21"/>
              </w:rPr>
              <w:t>30m</w:t>
            </w:r>
            <w:r w:rsidRPr="00123108">
              <w:rPr>
                <w:rFonts w:hint="eastAsia"/>
                <w:szCs w:val="21"/>
              </w:rPr>
              <w:t>的要求。</w:t>
            </w:r>
          </w:p>
        </w:tc>
        <w:tc>
          <w:tcPr>
            <w:tcW w:w="2430" w:type="pct"/>
          </w:tcPr>
          <w:p w:rsidR="004F34D9" w:rsidRPr="00123108" w:rsidRDefault="004F34D9">
            <w:pPr>
              <w:adjustRightInd w:val="0"/>
              <w:snapToGrid w:val="0"/>
              <w:rPr>
                <w:szCs w:val="21"/>
              </w:rPr>
            </w:pPr>
            <w:r w:rsidRPr="00123108">
              <w:rPr>
                <w:rFonts w:hint="eastAsia"/>
                <w:szCs w:val="21"/>
              </w:rPr>
              <w:t>已根据赛鼎化学工程公司出具总平面布置图，将焚烧炉移位至厂区北侧。调整后的</w:t>
            </w:r>
            <w:r w:rsidRPr="00123108">
              <w:rPr>
                <w:rFonts w:hint="eastAsia"/>
                <w:szCs w:val="21"/>
              </w:rPr>
              <w:t>RTO</w:t>
            </w:r>
            <w:r w:rsidRPr="00123108">
              <w:rPr>
                <w:rFonts w:hint="eastAsia"/>
                <w:szCs w:val="21"/>
              </w:rPr>
              <w:t>东侧为污水处理场，南侧为消防水池、北侧为斯迈克</w:t>
            </w:r>
            <w:r w:rsidRPr="00123108">
              <w:rPr>
                <w:rFonts w:hint="eastAsia"/>
                <w:szCs w:val="21"/>
              </w:rPr>
              <w:t>RTO</w:t>
            </w:r>
            <w:r w:rsidRPr="00123108">
              <w:rPr>
                <w:rFonts w:hint="eastAsia"/>
                <w:szCs w:val="21"/>
              </w:rPr>
              <w:t>及锅炉房，与周边设施防火间距符合要求。</w:t>
            </w:r>
          </w:p>
        </w:tc>
      </w:tr>
      <w:tr w:rsidR="004F34D9" w:rsidRPr="00123108">
        <w:trPr>
          <w:cantSplit/>
          <w:trHeight w:val="340"/>
          <w:jc w:val="center"/>
        </w:trPr>
        <w:tc>
          <w:tcPr>
            <w:tcW w:w="426" w:type="pct"/>
            <w:vAlign w:val="center"/>
          </w:tcPr>
          <w:p w:rsidR="004F34D9" w:rsidRPr="00123108" w:rsidRDefault="004F34D9">
            <w:pPr>
              <w:numPr>
                <w:ilvl w:val="0"/>
                <w:numId w:val="71"/>
              </w:numPr>
              <w:autoSpaceDE w:val="0"/>
              <w:autoSpaceDN w:val="0"/>
              <w:adjustRightInd w:val="0"/>
              <w:snapToGrid w:val="0"/>
              <w:jc w:val="center"/>
              <w:rPr>
                <w:rFonts w:ascii="宋体" w:hAnsi="宋体"/>
                <w:szCs w:val="21"/>
              </w:rPr>
            </w:pPr>
          </w:p>
        </w:tc>
        <w:tc>
          <w:tcPr>
            <w:tcW w:w="2144" w:type="pct"/>
            <w:vAlign w:val="center"/>
          </w:tcPr>
          <w:p w:rsidR="004F34D9" w:rsidRPr="00123108" w:rsidRDefault="004F34D9">
            <w:pPr>
              <w:adjustRightInd w:val="0"/>
              <w:snapToGrid w:val="0"/>
              <w:rPr>
                <w:szCs w:val="21"/>
              </w:rPr>
            </w:pPr>
            <w:r w:rsidRPr="00123108">
              <w:rPr>
                <w:rFonts w:hint="eastAsia"/>
                <w:szCs w:val="21"/>
              </w:rPr>
              <w:t>苯乙烯储罐南侧自行车棚实际为小型汽车停车场，实际距离为</w:t>
            </w:r>
            <w:r w:rsidRPr="00123108">
              <w:rPr>
                <w:rFonts w:hint="eastAsia"/>
                <w:szCs w:val="21"/>
              </w:rPr>
              <w:t>21m</w:t>
            </w:r>
            <w:r w:rsidRPr="00123108">
              <w:rPr>
                <w:rFonts w:hint="eastAsia"/>
                <w:szCs w:val="21"/>
              </w:rPr>
              <w:t>，不符合</w:t>
            </w:r>
            <w:r w:rsidRPr="00123108">
              <w:rPr>
                <w:rFonts w:hint="eastAsia"/>
                <w:szCs w:val="21"/>
              </w:rPr>
              <w:t>GB50067-2014</w:t>
            </w:r>
            <w:r w:rsidRPr="00123108">
              <w:rPr>
                <w:rFonts w:hint="eastAsia"/>
                <w:szCs w:val="21"/>
              </w:rPr>
              <w:t>《汽车库、修车库、停车场设计防火规范》</w:t>
            </w:r>
            <w:r w:rsidRPr="00123108">
              <w:rPr>
                <w:rFonts w:hint="eastAsia"/>
                <w:szCs w:val="21"/>
              </w:rPr>
              <w:t>4.2.5</w:t>
            </w:r>
            <w:r w:rsidRPr="00123108">
              <w:rPr>
                <w:rFonts w:hint="eastAsia"/>
                <w:szCs w:val="21"/>
              </w:rPr>
              <w:t>条易燃液体储罐至停车场不小于</w:t>
            </w:r>
            <w:r w:rsidRPr="00123108">
              <w:rPr>
                <w:rFonts w:hint="eastAsia"/>
                <w:szCs w:val="21"/>
              </w:rPr>
              <w:t>25m</w:t>
            </w:r>
            <w:r w:rsidRPr="00123108">
              <w:rPr>
                <w:rFonts w:hint="eastAsia"/>
                <w:szCs w:val="21"/>
              </w:rPr>
              <w:t>防火间距要求，车辆未佩戴阻火器等设施；</w:t>
            </w:r>
          </w:p>
        </w:tc>
        <w:tc>
          <w:tcPr>
            <w:tcW w:w="2430" w:type="pct"/>
          </w:tcPr>
          <w:p w:rsidR="004F34D9" w:rsidRPr="00123108" w:rsidRDefault="004F34D9">
            <w:pPr>
              <w:adjustRightInd w:val="0"/>
              <w:snapToGrid w:val="0"/>
              <w:rPr>
                <w:szCs w:val="21"/>
              </w:rPr>
            </w:pPr>
            <w:r w:rsidRPr="00123108">
              <w:rPr>
                <w:rFonts w:hint="eastAsia"/>
                <w:szCs w:val="21"/>
              </w:rPr>
              <w:t>已在生产区、办公室之间设置硬隔离，取消苯乙烯储罐南侧汽车停车场，统一将小型汽车停车场设置在办公区。</w:t>
            </w:r>
          </w:p>
        </w:tc>
      </w:tr>
      <w:tr w:rsidR="004F34D9" w:rsidRPr="00123108">
        <w:trPr>
          <w:cantSplit/>
          <w:trHeight w:val="340"/>
          <w:jc w:val="center"/>
        </w:trPr>
        <w:tc>
          <w:tcPr>
            <w:tcW w:w="426" w:type="pct"/>
            <w:vAlign w:val="center"/>
          </w:tcPr>
          <w:p w:rsidR="004F34D9" w:rsidRPr="00123108" w:rsidRDefault="004F34D9">
            <w:pPr>
              <w:numPr>
                <w:ilvl w:val="0"/>
                <w:numId w:val="71"/>
              </w:numPr>
              <w:autoSpaceDE w:val="0"/>
              <w:autoSpaceDN w:val="0"/>
              <w:adjustRightInd w:val="0"/>
              <w:snapToGrid w:val="0"/>
              <w:jc w:val="center"/>
              <w:rPr>
                <w:rFonts w:ascii="宋体" w:hAnsi="宋体"/>
                <w:szCs w:val="21"/>
              </w:rPr>
            </w:pPr>
          </w:p>
        </w:tc>
        <w:tc>
          <w:tcPr>
            <w:tcW w:w="2144" w:type="pct"/>
            <w:vAlign w:val="center"/>
          </w:tcPr>
          <w:p w:rsidR="004F34D9" w:rsidRPr="00123108" w:rsidRDefault="004F34D9">
            <w:pPr>
              <w:adjustRightInd w:val="0"/>
              <w:snapToGrid w:val="0"/>
              <w:rPr>
                <w:szCs w:val="21"/>
              </w:rPr>
            </w:pPr>
            <w:r w:rsidRPr="00123108">
              <w:rPr>
                <w:rFonts w:hint="eastAsia"/>
                <w:szCs w:val="21"/>
              </w:rPr>
              <w:t>五号仓库（乙类）未按要求设置防火分区；五号仓库（乙类）面积约为</w:t>
            </w:r>
            <w:r w:rsidRPr="00123108">
              <w:rPr>
                <w:rFonts w:hint="eastAsia"/>
                <w:szCs w:val="21"/>
              </w:rPr>
              <w:t>2</w:t>
            </w:r>
            <w:r w:rsidRPr="00123108">
              <w:rPr>
                <w:szCs w:val="21"/>
              </w:rPr>
              <w:t>400</w:t>
            </w:r>
            <w:r w:rsidRPr="00123108">
              <w:rPr>
                <w:rFonts w:hint="eastAsia"/>
                <w:szCs w:val="21"/>
              </w:rPr>
              <w:t>m</w:t>
            </w:r>
            <w:r w:rsidRPr="00123108">
              <w:rPr>
                <w:szCs w:val="21"/>
                <w:vertAlign w:val="superscript"/>
              </w:rPr>
              <w:t>2</w:t>
            </w:r>
            <w:r w:rsidRPr="00123108">
              <w:rPr>
                <w:rFonts w:hint="eastAsia"/>
                <w:szCs w:val="21"/>
              </w:rPr>
              <w:t>，设有消防喷淋设施，只设有一个防火分区。不符合《建筑设计防火规范》（</w:t>
            </w:r>
            <w:r w:rsidRPr="00123108">
              <w:rPr>
                <w:rFonts w:hint="eastAsia"/>
                <w:szCs w:val="21"/>
              </w:rPr>
              <w:t>GB50016-2014</w:t>
            </w:r>
            <w:r w:rsidRPr="00123108">
              <w:rPr>
                <w:rFonts w:hint="eastAsia"/>
                <w:szCs w:val="21"/>
              </w:rPr>
              <w:t>）（</w:t>
            </w:r>
            <w:r w:rsidRPr="00123108">
              <w:rPr>
                <w:rFonts w:hint="eastAsia"/>
                <w:szCs w:val="21"/>
              </w:rPr>
              <w:t>2018</w:t>
            </w:r>
            <w:r w:rsidRPr="00123108">
              <w:rPr>
                <w:rFonts w:hint="eastAsia"/>
                <w:szCs w:val="21"/>
              </w:rPr>
              <w:t>版）第</w:t>
            </w:r>
            <w:r w:rsidRPr="00123108">
              <w:rPr>
                <w:rFonts w:hint="eastAsia"/>
                <w:szCs w:val="21"/>
              </w:rPr>
              <w:t>3.</w:t>
            </w:r>
            <w:r w:rsidRPr="00123108">
              <w:rPr>
                <w:szCs w:val="21"/>
              </w:rPr>
              <w:t>3.2</w:t>
            </w:r>
            <w:r w:rsidRPr="00123108">
              <w:rPr>
                <w:rFonts w:hint="eastAsia"/>
                <w:szCs w:val="21"/>
              </w:rPr>
              <w:t>条要求。</w:t>
            </w:r>
          </w:p>
        </w:tc>
        <w:tc>
          <w:tcPr>
            <w:tcW w:w="2430" w:type="pct"/>
          </w:tcPr>
          <w:p w:rsidR="004F34D9" w:rsidRPr="00123108" w:rsidRDefault="004F34D9">
            <w:pPr>
              <w:adjustRightInd w:val="0"/>
              <w:snapToGrid w:val="0"/>
              <w:spacing w:line="360" w:lineRule="auto"/>
              <w:rPr>
                <w:szCs w:val="21"/>
              </w:rPr>
            </w:pPr>
            <w:r w:rsidRPr="00123108">
              <w:rPr>
                <w:rFonts w:hint="eastAsia"/>
                <w:szCs w:val="21"/>
              </w:rPr>
              <w:t>五号仓库按防火分区最大面积设置防火墙。</w:t>
            </w:r>
          </w:p>
        </w:tc>
      </w:tr>
      <w:tr w:rsidR="004F34D9" w:rsidRPr="00123108">
        <w:trPr>
          <w:cantSplit/>
          <w:trHeight w:val="340"/>
          <w:jc w:val="center"/>
        </w:trPr>
        <w:tc>
          <w:tcPr>
            <w:tcW w:w="426" w:type="pct"/>
            <w:vAlign w:val="center"/>
          </w:tcPr>
          <w:p w:rsidR="004F34D9" w:rsidRPr="00123108" w:rsidRDefault="004F34D9">
            <w:pPr>
              <w:numPr>
                <w:ilvl w:val="0"/>
                <w:numId w:val="71"/>
              </w:numPr>
              <w:autoSpaceDE w:val="0"/>
              <w:autoSpaceDN w:val="0"/>
              <w:adjustRightInd w:val="0"/>
              <w:snapToGrid w:val="0"/>
              <w:jc w:val="center"/>
              <w:rPr>
                <w:rFonts w:ascii="宋体" w:hAnsi="宋体"/>
                <w:szCs w:val="21"/>
              </w:rPr>
            </w:pPr>
          </w:p>
        </w:tc>
        <w:tc>
          <w:tcPr>
            <w:tcW w:w="2144" w:type="pct"/>
            <w:vAlign w:val="center"/>
          </w:tcPr>
          <w:p w:rsidR="004F34D9" w:rsidRPr="00123108" w:rsidRDefault="004F34D9">
            <w:pPr>
              <w:adjustRightInd w:val="0"/>
              <w:snapToGrid w:val="0"/>
              <w:rPr>
                <w:szCs w:val="21"/>
              </w:rPr>
            </w:pPr>
            <w:r w:rsidRPr="00123108">
              <w:rPr>
                <w:rFonts w:hint="eastAsia"/>
                <w:szCs w:val="21"/>
              </w:rPr>
              <w:t>五号仓库（乙类）中间防火墙未到顶。</w:t>
            </w:r>
          </w:p>
        </w:tc>
        <w:tc>
          <w:tcPr>
            <w:tcW w:w="2430" w:type="pct"/>
          </w:tcPr>
          <w:p w:rsidR="004F34D9" w:rsidRPr="00123108" w:rsidRDefault="004F34D9">
            <w:pPr>
              <w:adjustRightInd w:val="0"/>
              <w:snapToGrid w:val="0"/>
              <w:spacing w:line="360" w:lineRule="auto"/>
              <w:rPr>
                <w:szCs w:val="21"/>
              </w:rPr>
            </w:pPr>
            <w:r w:rsidRPr="00123108">
              <w:rPr>
                <w:rFonts w:hint="eastAsia"/>
                <w:szCs w:val="21"/>
              </w:rPr>
              <w:t>五号仓库防火墙已设置到顶。</w:t>
            </w:r>
          </w:p>
        </w:tc>
      </w:tr>
      <w:tr w:rsidR="004F34D9" w:rsidRPr="00123108">
        <w:trPr>
          <w:cantSplit/>
          <w:trHeight w:val="340"/>
          <w:jc w:val="center"/>
        </w:trPr>
        <w:tc>
          <w:tcPr>
            <w:tcW w:w="426" w:type="pct"/>
            <w:vAlign w:val="center"/>
          </w:tcPr>
          <w:p w:rsidR="004F34D9" w:rsidRPr="00123108" w:rsidRDefault="004F34D9">
            <w:pPr>
              <w:numPr>
                <w:ilvl w:val="0"/>
                <w:numId w:val="71"/>
              </w:numPr>
              <w:autoSpaceDE w:val="0"/>
              <w:autoSpaceDN w:val="0"/>
              <w:adjustRightInd w:val="0"/>
              <w:snapToGrid w:val="0"/>
              <w:jc w:val="center"/>
              <w:rPr>
                <w:rFonts w:ascii="宋体" w:hAnsi="宋体"/>
                <w:szCs w:val="21"/>
              </w:rPr>
            </w:pPr>
          </w:p>
        </w:tc>
        <w:tc>
          <w:tcPr>
            <w:tcW w:w="2144" w:type="pct"/>
            <w:vAlign w:val="center"/>
          </w:tcPr>
          <w:p w:rsidR="004F34D9" w:rsidRPr="00123108" w:rsidRDefault="004F34D9">
            <w:pPr>
              <w:adjustRightInd w:val="0"/>
              <w:snapToGrid w:val="0"/>
              <w:rPr>
                <w:szCs w:val="21"/>
              </w:rPr>
            </w:pPr>
            <w:r w:rsidRPr="00123108">
              <w:rPr>
                <w:rFonts w:hint="eastAsia"/>
                <w:szCs w:val="21"/>
              </w:rPr>
              <w:t>三号仓库（丁类）内部设有产品（乙类）检测的设备。</w:t>
            </w:r>
          </w:p>
        </w:tc>
        <w:tc>
          <w:tcPr>
            <w:tcW w:w="2430" w:type="pct"/>
          </w:tcPr>
          <w:p w:rsidR="004F34D9" w:rsidRPr="00123108" w:rsidRDefault="004F34D9">
            <w:pPr>
              <w:adjustRightInd w:val="0"/>
              <w:snapToGrid w:val="0"/>
              <w:rPr>
                <w:szCs w:val="21"/>
              </w:rPr>
            </w:pPr>
            <w:r w:rsidRPr="00123108">
              <w:rPr>
                <w:rFonts w:hint="eastAsia"/>
                <w:szCs w:val="21"/>
              </w:rPr>
              <w:t>产品（乙类）检测设备最大量为</w:t>
            </w:r>
            <w:r w:rsidRPr="00123108">
              <w:rPr>
                <w:rFonts w:hint="eastAsia"/>
                <w:szCs w:val="21"/>
              </w:rPr>
              <w:t>3kg</w:t>
            </w:r>
            <w:r w:rsidRPr="00123108">
              <w:rPr>
                <w:rFonts w:hint="eastAsia"/>
                <w:szCs w:val="21"/>
              </w:rPr>
              <w:t>，其中含可燃气体（戊烷）部分含量约为</w:t>
            </w:r>
            <w:r w:rsidRPr="00123108">
              <w:rPr>
                <w:rFonts w:hint="eastAsia"/>
                <w:szCs w:val="21"/>
              </w:rPr>
              <w:t>4%-</w:t>
            </w:r>
            <w:r w:rsidRPr="00123108">
              <w:rPr>
                <w:szCs w:val="21"/>
              </w:rPr>
              <w:t>7</w:t>
            </w:r>
            <w:r w:rsidRPr="00123108">
              <w:rPr>
                <w:rFonts w:hint="eastAsia"/>
                <w:szCs w:val="21"/>
              </w:rPr>
              <w:t>%</w:t>
            </w:r>
            <w:r w:rsidRPr="00123108">
              <w:rPr>
                <w:rFonts w:hint="eastAsia"/>
                <w:szCs w:val="21"/>
              </w:rPr>
              <w:t>，，戊烷爆炸下限［</w:t>
            </w:r>
            <w:r w:rsidRPr="00123108">
              <w:rPr>
                <w:szCs w:val="21"/>
              </w:rPr>
              <w:t>%(V/V)</w:t>
            </w:r>
            <w:r w:rsidRPr="00123108">
              <w:rPr>
                <w:szCs w:val="21"/>
              </w:rPr>
              <w:t>］</w:t>
            </w:r>
            <w:r w:rsidRPr="00123108">
              <w:rPr>
                <w:rFonts w:hint="eastAsia"/>
                <w:szCs w:val="21"/>
              </w:rPr>
              <w:t>为</w:t>
            </w:r>
            <w:r w:rsidRPr="00123108">
              <w:rPr>
                <w:rFonts w:hint="eastAsia"/>
                <w:szCs w:val="21"/>
              </w:rPr>
              <w:t>1</w:t>
            </w:r>
            <w:r w:rsidRPr="00123108">
              <w:rPr>
                <w:szCs w:val="21"/>
              </w:rPr>
              <w:t>.7</w:t>
            </w:r>
            <w:r w:rsidRPr="00123108">
              <w:rPr>
                <w:rFonts w:hint="eastAsia"/>
                <w:szCs w:val="21"/>
              </w:rPr>
              <w:t>，根据计算，整个检测产品戊烷全部释放，该区域可燃气体浓度不会超过该区域戊烷爆炸下限的</w:t>
            </w:r>
            <w:r w:rsidRPr="00123108">
              <w:rPr>
                <w:rFonts w:hint="eastAsia"/>
                <w:szCs w:val="21"/>
              </w:rPr>
              <w:t>1</w:t>
            </w:r>
            <w:r w:rsidRPr="00123108">
              <w:rPr>
                <w:szCs w:val="21"/>
              </w:rPr>
              <w:t>0</w:t>
            </w:r>
            <w:r w:rsidRPr="00123108">
              <w:rPr>
                <w:rFonts w:hint="eastAsia"/>
                <w:szCs w:val="21"/>
              </w:rPr>
              <w:t>%</w:t>
            </w:r>
            <w:r w:rsidRPr="00123108">
              <w:rPr>
                <w:rFonts w:hint="eastAsia"/>
                <w:szCs w:val="21"/>
              </w:rPr>
              <w:t>。目前已采取措施设置防火墙与周边区域进行分隔。</w:t>
            </w:r>
          </w:p>
        </w:tc>
      </w:tr>
      <w:tr w:rsidR="004F34D9" w:rsidRPr="00123108">
        <w:trPr>
          <w:cantSplit/>
          <w:trHeight w:val="340"/>
          <w:jc w:val="center"/>
        </w:trPr>
        <w:tc>
          <w:tcPr>
            <w:tcW w:w="426" w:type="pct"/>
            <w:vAlign w:val="center"/>
          </w:tcPr>
          <w:p w:rsidR="004F34D9" w:rsidRPr="00123108" w:rsidRDefault="004F34D9">
            <w:pPr>
              <w:numPr>
                <w:ilvl w:val="0"/>
                <w:numId w:val="71"/>
              </w:numPr>
              <w:autoSpaceDE w:val="0"/>
              <w:autoSpaceDN w:val="0"/>
              <w:adjustRightInd w:val="0"/>
              <w:snapToGrid w:val="0"/>
              <w:jc w:val="center"/>
              <w:rPr>
                <w:rFonts w:ascii="宋体" w:hAnsi="宋体"/>
                <w:szCs w:val="21"/>
              </w:rPr>
            </w:pPr>
          </w:p>
        </w:tc>
        <w:tc>
          <w:tcPr>
            <w:tcW w:w="2144" w:type="pct"/>
            <w:vAlign w:val="center"/>
          </w:tcPr>
          <w:p w:rsidR="004F34D9" w:rsidRPr="00123108" w:rsidRDefault="004F34D9">
            <w:pPr>
              <w:adjustRightInd w:val="0"/>
              <w:snapToGrid w:val="0"/>
              <w:rPr>
                <w:szCs w:val="21"/>
              </w:rPr>
            </w:pPr>
            <w:r w:rsidRPr="00123108">
              <w:rPr>
                <w:rFonts w:hint="eastAsia"/>
                <w:szCs w:val="21"/>
              </w:rPr>
              <w:t>一名电工人员证书已到期未及时复审。</w:t>
            </w:r>
          </w:p>
        </w:tc>
        <w:tc>
          <w:tcPr>
            <w:tcW w:w="2430" w:type="pct"/>
            <w:vAlign w:val="center"/>
          </w:tcPr>
          <w:p w:rsidR="004F34D9" w:rsidRPr="00123108" w:rsidRDefault="004F34D9">
            <w:pPr>
              <w:adjustRightInd w:val="0"/>
              <w:snapToGrid w:val="0"/>
              <w:spacing w:line="360" w:lineRule="auto"/>
              <w:rPr>
                <w:szCs w:val="21"/>
              </w:rPr>
            </w:pPr>
            <w:r w:rsidRPr="00123108">
              <w:rPr>
                <w:rFonts w:hint="eastAsia"/>
                <w:szCs w:val="21"/>
              </w:rPr>
              <w:t>已复审。</w:t>
            </w:r>
          </w:p>
        </w:tc>
      </w:tr>
      <w:tr w:rsidR="004F34D9" w:rsidRPr="00123108">
        <w:trPr>
          <w:cantSplit/>
          <w:trHeight w:val="340"/>
          <w:jc w:val="center"/>
        </w:trPr>
        <w:tc>
          <w:tcPr>
            <w:tcW w:w="426" w:type="pct"/>
            <w:vAlign w:val="center"/>
          </w:tcPr>
          <w:p w:rsidR="004F34D9" w:rsidRPr="00123108" w:rsidRDefault="004F34D9">
            <w:pPr>
              <w:numPr>
                <w:ilvl w:val="0"/>
                <w:numId w:val="71"/>
              </w:numPr>
              <w:autoSpaceDE w:val="0"/>
              <w:autoSpaceDN w:val="0"/>
              <w:adjustRightInd w:val="0"/>
              <w:snapToGrid w:val="0"/>
              <w:jc w:val="center"/>
              <w:rPr>
                <w:rFonts w:ascii="宋体" w:hAnsi="宋体"/>
                <w:szCs w:val="21"/>
              </w:rPr>
            </w:pPr>
          </w:p>
        </w:tc>
        <w:tc>
          <w:tcPr>
            <w:tcW w:w="2144" w:type="pct"/>
            <w:vAlign w:val="center"/>
          </w:tcPr>
          <w:p w:rsidR="004F34D9" w:rsidRPr="00123108" w:rsidRDefault="004F34D9">
            <w:pPr>
              <w:adjustRightInd w:val="0"/>
              <w:snapToGrid w:val="0"/>
              <w:rPr>
                <w:szCs w:val="21"/>
              </w:rPr>
            </w:pPr>
            <w:r w:rsidRPr="00123108">
              <w:rPr>
                <w:szCs w:val="21"/>
              </w:rPr>
              <w:t>戊烷安全周知卡信息不全，需更换。</w:t>
            </w:r>
          </w:p>
        </w:tc>
        <w:tc>
          <w:tcPr>
            <w:tcW w:w="2430" w:type="pct"/>
          </w:tcPr>
          <w:p w:rsidR="004F34D9" w:rsidRPr="00123108" w:rsidRDefault="004F34D9">
            <w:pPr>
              <w:adjustRightInd w:val="0"/>
              <w:snapToGrid w:val="0"/>
              <w:spacing w:line="360" w:lineRule="auto"/>
              <w:rPr>
                <w:szCs w:val="21"/>
              </w:rPr>
            </w:pPr>
            <w:r w:rsidRPr="00123108">
              <w:rPr>
                <w:rFonts w:hint="eastAsia"/>
                <w:szCs w:val="21"/>
              </w:rPr>
              <w:t>已完善戊烷安全周知卡。</w:t>
            </w:r>
          </w:p>
        </w:tc>
      </w:tr>
      <w:tr w:rsidR="004F34D9" w:rsidRPr="00123108">
        <w:trPr>
          <w:cantSplit/>
          <w:trHeight w:val="340"/>
          <w:jc w:val="center"/>
        </w:trPr>
        <w:tc>
          <w:tcPr>
            <w:tcW w:w="426" w:type="pct"/>
            <w:vAlign w:val="center"/>
          </w:tcPr>
          <w:p w:rsidR="004F34D9" w:rsidRPr="00123108" w:rsidRDefault="004F34D9">
            <w:pPr>
              <w:numPr>
                <w:ilvl w:val="0"/>
                <w:numId w:val="71"/>
              </w:numPr>
              <w:autoSpaceDE w:val="0"/>
              <w:autoSpaceDN w:val="0"/>
              <w:adjustRightInd w:val="0"/>
              <w:snapToGrid w:val="0"/>
              <w:jc w:val="center"/>
              <w:rPr>
                <w:rFonts w:ascii="宋体" w:hAnsi="宋体"/>
                <w:szCs w:val="21"/>
              </w:rPr>
            </w:pPr>
          </w:p>
        </w:tc>
        <w:tc>
          <w:tcPr>
            <w:tcW w:w="2144" w:type="pct"/>
            <w:vAlign w:val="center"/>
          </w:tcPr>
          <w:p w:rsidR="004F34D9" w:rsidRPr="00123108" w:rsidRDefault="004F34D9">
            <w:pPr>
              <w:adjustRightInd w:val="0"/>
              <w:snapToGrid w:val="0"/>
              <w:rPr>
                <w:szCs w:val="21"/>
              </w:rPr>
            </w:pPr>
            <w:r w:rsidRPr="00123108">
              <w:rPr>
                <w:szCs w:val="21"/>
              </w:rPr>
              <w:t>甲类仓库</w:t>
            </w:r>
            <w:r w:rsidRPr="00123108">
              <w:rPr>
                <w:rFonts w:hint="eastAsia"/>
                <w:szCs w:val="21"/>
              </w:rPr>
              <w:t>保温</w:t>
            </w:r>
            <w:r w:rsidRPr="00123108">
              <w:rPr>
                <w:szCs w:val="21"/>
              </w:rPr>
              <w:t>门不符合要求，需更换。</w:t>
            </w:r>
          </w:p>
        </w:tc>
        <w:tc>
          <w:tcPr>
            <w:tcW w:w="2430" w:type="pct"/>
          </w:tcPr>
          <w:p w:rsidR="004F34D9" w:rsidRPr="00123108" w:rsidRDefault="004F34D9">
            <w:pPr>
              <w:adjustRightInd w:val="0"/>
              <w:snapToGrid w:val="0"/>
              <w:spacing w:line="360" w:lineRule="auto"/>
              <w:rPr>
                <w:szCs w:val="21"/>
              </w:rPr>
            </w:pPr>
            <w:r w:rsidRPr="00123108">
              <w:rPr>
                <w:szCs w:val="21"/>
              </w:rPr>
              <w:t>甲类仓库</w:t>
            </w:r>
            <w:r w:rsidRPr="00123108">
              <w:rPr>
                <w:rFonts w:hint="eastAsia"/>
                <w:szCs w:val="21"/>
              </w:rPr>
              <w:t>已改成防火门。</w:t>
            </w:r>
          </w:p>
        </w:tc>
      </w:tr>
      <w:tr w:rsidR="004F34D9" w:rsidRPr="00123108">
        <w:trPr>
          <w:cantSplit/>
          <w:trHeight w:val="340"/>
          <w:jc w:val="center"/>
        </w:trPr>
        <w:tc>
          <w:tcPr>
            <w:tcW w:w="426" w:type="pct"/>
            <w:vAlign w:val="center"/>
          </w:tcPr>
          <w:p w:rsidR="004F34D9" w:rsidRPr="00123108" w:rsidRDefault="004F34D9">
            <w:pPr>
              <w:numPr>
                <w:ilvl w:val="0"/>
                <w:numId w:val="71"/>
              </w:numPr>
              <w:autoSpaceDE w:val="0"/>
              <w:autoSpaceDN w:val="0"/>
              <w:adjustRightInd w:val="0"/>
              <w:snapToGrid w:val="0"/>
              <w:jc w:val="center"/>
              <w:rPr>
                <w:rFonts w:ascii="宋体" w:hAnsi="宋体"/>
                <w:szCs w:val="21"/>
              </w:rPr>
            </w:pPr>
          </w:p>
        </w:tc>
        <w:tc>
          <w:tcPr>
            <w:tcW w:w="2144" w:type="pct"/>
            <w:vAlign w:val="center"/>
          </w:tcPr>
          <w:p w:rsidR="004F34D9" w:rsidRPr="00123108" w:rsidRDefault="004F34D9">
            <w:pPr>
              <w:adjustRightInd w:val="0"/>
              <w:snapToGrid w:val="0"/>
              <w:rPr>
                <w:szCs w:val="21"/>
              </w:rPr>
            </w:pPr>
            <w:r w:rsidRPr="00123108">
              <w:rPr>
                <w:szCs w:val="21"/>
              </w:rPr>
              <w:t>甲类仓库物料安全周知卡不全</w:t>
            </w:r>
            <w:r w:rsidRPr="00123108">
              <w:rPr>
                <w:rFonts w:hint="eastAsia"/>
                <w:szCs w:val="21"/>
              </w:rPr>
              <w:t>，需补充。</w:t>
            </w:r>
          </w:p>
        </w:tc>
        <w:tc>
          <w:tcPr>
            <w:tcW w:w="2430" w:type="pct"/>
          </w:tcPr>
          <w:p w:rsidR="004F34D9" w:rsidRPr="00123108" w:rsidRDefault="004F34D9">
            <w:pPr>
              <w:adjustRightInd w:val="0"/>
              <w:snapToGrid w:val="0"/>
              <w:spacing w:line="360" w:lineRule="auto"/>
              <w:rPr>
                <w:szCs w:val="21"/>
              </w:rPr>
            </w:pPr>
            <w:r w:rsidRPr="00123108">
              <w:rPr>
                <w:rFonts w:hint="eastAsia"/>
                <w:szCs w:val="21"/>
              </w:rPr>
              <w:t>甲类仓库已根据要求设置物料安全周知卡。</w:t>
            </w:r>
          </w:p>
        </w:tc>
      </w:tr>
      <w:tr w:rsidR="004F34D9" w:rsidRPr="00123108">
        <w:trPr>
          <w:cantSplit/>
          <w:trHeight w:val="340"/>
          <w:jc w:val="center"/>
        </w:trPr>
        <w:tc>
          <w:tcPr>
            <w:tcW w:w="426" w:type="pct"/>
            <w:vAlign w:val="center"/>
          </w:tcPr>
          <w:p w:rsidR="004F34D9" w:rsidRPr="00123108" w:rsidRDefault="004F34D9">
            <w:pPr>
              <w:numPr>
                <w:ilvl w:val="0"/>
                <w:numId w:val="71"/>
              </w:numPr>
              <w:autoSpaceDE w:val="0"/>
              <w:autoSpaceDN w:val="0"/>
              <w:adjustRightInd w:val="0"/>
              <w:snapToGrid w:val="0"/>
              <w:jc w:val="center"/>
              <w:rPr>
                <w:rFonts w:ascii="宋体" w:hAnsi="宋体"/>
                <w:szCs w:val="21"/>
              </w:rPr>
            </w:pPr>
          </w:p>
        </w:tc>
        <w:tc>
          <w:tcPr>
            <w:tcW w:w="2144" w:type="pct"/>
            <w:vAlign w:val="center"/>
          </w:tcPr>
          <w:p w:rsidR="004F34D9" w:rsidRPr="00123108" w:rsidRDefault="004F34D9">
            <w:pPr>
              <w:adjustRightInd w:val="0"/>
              <w:snapToGrid w:val="0"/>
              <w:rPr>
                <w:szCs w:val="21"/>
              </w:rPr>
            </w:pPr>
            <w:r w:rsidRPr="00123108">
              <w:rPr>
                <w:szCs w:val="21"/>
              </w:rPr>
              <w:t>危废库尚未改造完成。现有危废库未拆除。</w:t>
            </w:r>
          </w:p>
        </w:tc>
        <w:tc>
          <w:tcPr>
            <w:tcW w:w="2430" w:type="pct"/>
          </w:tcPr>
          <w:p w:rsidR="004F34D9" w:rsidRPr="00123108" w:rsidRDefault="004F34D9">
            <w:pPr>
              <w:adjustRightInd w:val="0"/>
              <w:snapToGrid w:val="0"/>
              <w:rPr>
                <w:szCs w:val="21"/>
              </w:rPr>
            </w:pPr>
            <w:r w:rsidRPr="00123108">
              <w:rPr>
                <w:rFonts w:hint="eastAsia"/>
                <w:szCs w:val="21"/>
              </w:rPr>
              <w:t>危废库已根据设计单位意见布置在甲类仓库并设置独立的防火分区及独立出口。</w:t>
            </w:r>
          </w:p>
        </w:tc>
      </w:tr>
      <w:tr w:rsidR="004F34D9" w:rsidRPr="00123108">
        <w:trPr>
          <w:cantSplit/>
          <w:trHeight w:val="340"/>
          <w:jc w:val="center"/>
        </w:trPr>
        <w:tc>
          <w:tcPr>
            <w:tcW w:w="426" w:type="pct"/>
            <w:vAlign w:val="center"/>
          </w:tcPr>
          <w:p w:rsidR="004F34D9" w:rsidRPr="00123108" w:rsidRDefault="004F34D9">
            <w:pPr>
              <w:numPr>
                <w:ilvl w:val="0"/>
                <w:numId w:val="71"/>
              </w:numPr>
              <w:autoSpaceDE w:val="0"/>
              <w:autoSpaceDN w:val="0"/>
              <w:adjustRightInd w:val="0"/>
              <w:snapToGrid w:val="0"/>
              <w:jc w:val="center"/>
              <w:rPr>
                <w:rFonts w:ascii="宋体" w:hAnsi="宋体"/>
                <w:szCs w:val="21"/>
              </w:rPr>
            </w:pPr>
          </w:p>
        </w:tc>
        <w:tc>
          <w:tcPr>
            <w:tcW w:w="2144" w:type="pct"/>
            <w:vAlign w:val="center"/>
          </w:tcPr>
          <w:p w:rsidR="004F34D9" w:rsidRPr="00123108" w:rsidRDefault="004F34D9">
            <w:pPr>
              <w:jc w:val="left"/>
              <w:rPr>
                <w:rFonts w:ascii="宋体" w:hAnsi="宋体" w:cs="宋体"/>
                <w:kern w:val="0"/>
                <w:szCs w:val="21"/>
              </w:rPr>
            </w:pPr>
            <w:r w:rsidRPr="00123108">
              <w:rPr>
                <w:rFonts w:ascii="宋体" w:hAnsi="宋体" w:cs="宋体"/>
                <w:kern w:val="0"/>
                <w:szCs w:val="21"/>
              </w:rPr>
              <w:t>甲类库屋顶电机不防爆。</w:t>
            </w:r>
          </w:p>
        </w:tc>
        <w:tc>
          <w:tcPr>
            <w:tcW w:w="2430" w:type="pct"/>
          </w:tcPr>
          <w:p w:rsidR="004F34D9" w:rsidRPr="00123108" w:rsidRDefault="004F34D9">
            <w:pPr>
              <w:snapToGrid w:val="0"/>
              <w:spacing w:line="360" w:lineRule="auto"/>
              <w:jc w:val="left"/>
              <w:rPr>
                <w:rFonts w:ascii="宋体" w:hAnsi="宋体"/>
                <w:szCs w:val="21"/>
              </w:rPr>
            </w:pPr>
            <w:r w:rsidRPr="00123108">
              <w:rPr>
                <w:rFonts w:ascii="宋体" w:hAnsi="宋体" w:cs="宋体"/>
                <w:kern w:val="0"/>
                <w:szCs w:val="21"/>
              </w:rPr>
              <w:t>甲类库屋顶电机</w:t>
            </w:r>
            <w:r w:rsidRPr="00123108">
              <w:rPr>
                <w:rFonts w:ascii="宋体" w:hAnsi="宋体" w:cs="宋体" w:hint="eastAsia"/>
                <w:kern w:val="0"/>
                <w:szCs w:val="21"/>
              </w:rPr>
              <w:t>已改为</w:t>
            </w:r>
            <w:r w:rsidRPr="00123108">
              <w:rPr>
                <w:rFonts w:ascii="宋体" w:hAnsi="宋体" w:cs="宋体"/>
                <w:kern w:val="0"/>
                <w:szCs w:val="21"/>
              </w:rPr>
              <w:t>防爆</w:t>
            </w:r>
            <w:r w:rsidRPr="00123108">
              <w:rPr>
                <w:rFonts w:ascii="宋体" w:hAnsi="宋体" w:cs="宋体" w:hint="eastAsia"/>
                <w:kern w:val="0"/>
                <w:szCs w:val="21"/>
              </w:rPr>
              <w:t>型。</w:t>
            </w:r>
          </w:p>
        </w:tc>
      </w:tr>
      <w:tr w:rsidR="004F34D9" w:rsidRPr="00123108">
        <w:trPr>
          <w:cantSplit/>
          <w:trHeight w:val="340"/>
          <w:jc w:val="center"/>
        </w:trPr>
        <w:tc>
          <w:tcPr>
            <w:tcW w:w="426" w:type="pct"/>
            <w:vAlign w:val="center"/>
          </w:tcPr>
          <w:p w:rsidR="004F34D9" w:rsidRPr="00123108" w:rsidRDefault="004F34D9">
            <w:pPr>
              <w:numPr>
                <w:ilvl w:val="0"/>
                <w:numId w:val="71"/>
              </w:numPr>
              <w:autoSpaceDE w:val="0"/>
              <w:autoSpaceDN w:val="0"/>
              <w:adjustRightInd w:val="0"/>
              <w:snapToGrid w:val="0"/>
              <w:jc w:val="center"/>
              <w:rPr>
                <w:rFonts w:ascii="宋体" w:hAnsi="宋体"/>
                <w:szCs w:val="21"/>
              </w:rPr>
            </w:pPr>
          </w:p>
        </w:tc>
        <w:tc>
          <w:tcPr>
            <w:tcW w:w="2144" w:type="pct"/>
            <w:vAlign w:val="center"/>
          </w:tcPr>
          <w:p w:rsidR="004F34D9" w:rsidRPr="00123108" w:rsidRDefault="004F34D9">
            <w:pPr>
              <w:jc w:val="left"/>
              <w:rPr>
                <w:rFonts w:ascii="宋体" w:hAnsi="宋体" w:cs="宋体"/>
                <w:kern w:val="0"/>
                <w:szCs w:val="21"/>
              </w:rPr>
            </w:pPr>
            <w:r w:rsidRPr="00123108">
              <w:rPr>
                <w:rFonts w:ascii="宋体" w:hAnsi="宋体" w:cs="宋体"/>
                <w:kern w:val="0"/>
                <w:szCs w:val="21"/>
              </w:rPr>
              <w:t>反应A部车间外部分非防爆电机位于防爆区域。</w:t>
            </w:r>
          </w:p>
        </w:tc>
        <w:tc>
          <w:tcPr>
            <w:tcW w:w="2430" w:type="pct"/>
          </w:tcPr>
          <w:p w:rsidR="004F34D9" w:rsidRPr="00123108" w:rsidRDefault="004F34D9">
            <w:pPr>
              <w:snapToGrid w:val="0"/>
              <w:spacing w:line="360" w:lineRule="auto"/>
              <w:jc w:val="left"/>
              <w:rPr>
                <w:rFonts w:ascii="宋体" w:hAnsi="宋体"/>
                <w:szCs w:val="21"/>
              </w:rPr>
            </w:pPr>
            <w:r w:rsidRPr="00123108">
              <w:rPr>
                <w:rFonts w:ascii="宋体" w:hAnsi="宋体" w:hint="eastAsia"/>
                <w:szCs w:val="21"/>
              </w:rPr>
              <w:t>已更换为防爆电机。</w:t>
            </w:r>
          </w:p>
        </w:tc>
      </w:tr>
      <w:tr w:rsidR="004F34D9" w:rsidRPr="00123108">
        <w:trPr>
          <w:cantSplit/>
          <w:trHeight w:val="340"/>
          <w:jc w:val="center"/>
        </w:trPr>
        <w:tc>
          <w:tcPr>
            <w:tcW w:w="426" w:type="pct"/>
            <w:vAlign w:val="center"/>
          </w:tcPr>
          <w:p w:rsidR="004F34D9" w:rsidRPr="00123108" w:rsidRDefault="004F34D9">
            <w:pPr>
              <w:numPr>
                <w:ilvl w:val="0"/>
                <w:numId w:val="71"/>
              </w:numPr>
              <w:autoSpaceDE w:val="0"/>
              <w:autoSpaceDN w:val="0"/>
              <w:adjustRightInd w:val="0"/>
              <w:snapToGrid w:val="0"/>
              <w:jc w:val="center"/>
              <w:rPr>
                <w:rFonts w:ascii="宋体" w:hAnsi="宋体"/>
                <w:szCs w:val="21"/>
              </w:rPr>
            </w:pPr>
          </w:p>
        </w:tc>
        <w:tc>
          <w:tcPr>
            <w:tcW w:w="2144" w:type="pct"/>
            <w:vAlign w:val="center"/>
          </w:tcPr>
          <w:p w:rsidR="004F34D9" w:rsidRPr="00123108" w:rsidRDefault="004F34D9">
            <w:pPr>
              <w:jc w:val="left"/>
              <w:rPr>
                <w:rFonts w:ascii="宋体" w:hAnsi="宋体" w:cs="宋体"/>
                <w:kern w:val="0"/>
                <w:szCs w:val="21"/>
              </w:rPr>
            </w:pPr>
            <w:r w:rsidRPr="00123108">
              <w:rPr>
                <w:rFonts w:ascii="宋体" w:hAnsi="宋体" w:cs="宋体"/>
                <w:kern w:val="0"/>
                <w:szCs w:val="21"/>
              </w:rPr>
              <w:t>乙类仓库中间防火卷帘</w:t>
            </w:r>
            <w:r w:rsidRPr="00123108">
              <w:rPr>
                <w:rFonts w:ascii="宋体" w:hAnsi="宋体" w:cs="宋体" w:hint="eastAsia"/>
                <w:kern w:val="0"/>
                <w:szCs w:val="21"/>
              </w:rPr>
              <w:t>不符合要求</w:t>
            </w:r>
            <w:r w:rsidRPr="00123108">
              <w:rPr>
                <w:rFonts w:ascii="宋体" w:hAnsi="宋体" w:cs="宋体"/>
                <w:kern w:val="0"/>
                <w:szCs w:val="21"/>
              </w:rPr>
              <w:t>。</w:t>
            </w:r>
          </w:p>
        </w:tc>
        <w:tc>
          <w:tcPr>
            <w:tcW w:w="2430" w:type="pct"/>
          </w:tcPr>
          <w:p w:rsidR="004F34D9" w:rsidRPr="00123108" w:rsidRDefault="004F34D9">
            <w:pPr>
              <w:snapToGrid w:val="0"/>
              <w:spacing w:line="360" w:lineRule="auto"/>
              <w:jc w:val="left"/>
              <w:rPr>
                <w:rFonts w:ascii="宋体" w:hAnsi="宋体"/>
                <w:szCs w:val="21"/>
              </w:rPr>
            </w:pPr>
            <w:r w:rsidRPr="00123108">
              <w:rPr>
                <w:rFonts w:ascii="宋体" w:hAnsi="宋体" w:cs="宋体"/>
                <w:kern w:val="0"/>
                <w:szCs w:val="21"/>
              </w:rPr>
              <w:t>防火卷帘</w:t>
            </w:r>
            <w:r w:rsidRPr="00123108">
              <w:rPr>
                <w:rFonts w:ascii="宋体" w:hAnsi="宋体" w:hint="eastAsia"/>
                <w:szCs w:val="21"/>
              </w:rPr>
              <w:t>已进行更换。</w:t>
            </w:r>
          </w:p>
        </w:tc>
      </w:tr>
      <w:tr w:rsidR="004F34D9" w:rsidRPr="00123108">
        <w:trPr>
          <w:cantSplit/>
          <w:trHeight w:val="340"/>
          <w:jc w:val="center"/>
        </w:trPr>
        <w:tc>
          <w:tcPr>
            <w:tcW w:w="426" w:type="pct"/>
            <w:vAlign w:val="center"/>
          </w:tcPr>
          <w:p w:rsidR="004F34D9" w:rsidRPr="00123108" w:rsidRDefault="004F34D9">
            <w:pPr>
              <w:numPr>
                <w:ilvl w:val="0"/>
                <w:numId w:val="71"/>
              </w:numPr>
              <w:autoSpaceDE w:val="0"/>
              <w:autoSpaceDN w:val="0"/>
              <w:adjustRightInd w:val="0"/>
              <w:snapToGrid w:val="0"/>
              <w:jc w:val="center"/>
              <w:rPr>
                <w:rFonts w:ascii="宋体" w:hAnsi="宋体"/>
                <w:szCs w:val="21"/>
              </w:rPr>
            </w:pPr>
          </w:p>
        </w:tc>
        <w:tc>
          <w:tcPr>
            <w:tcW w:w="2144" w:type="pct"/>
            <w:vAlign w:val="center"/>
          </w:tcPr>
          <w:p w:rsidR="004F34D9" w:rsidRPr="00123108" w:rsidRDefault="004F34D9">
            <w:pPr>
              <w:jc w:val="left"/>
              <w:rPr>
                <w:rFonts w:ascii="宋体" w:hAnsi="宋体" w:cs="宋体"/>
                <w:kern w:val="0"/>
                <w:szCs w:val="21"/>
              </w:rPr>
            </w:pPr>
            <w:r w:rsidRPr="00123108">
              <w:rPr>
                <w:rFonts w:ascii="宋体" w:hAnsi="宋体" w:cs="宋体"/>
                <w:kern w:val="0"/>
                <w:szCs w:val="21"/>
              </w:rPr>
              <w:t>电缆桥架跨越道路未设置限高标识。</w:t>
            </w:r>
          </w:p>
        </w:tc>
        <w:tc>
          <w:tcPr>
            <w:tcW w:w="2430" w:type="pct"/>
          </w:tcPr>
          <w:p w:rsidR="004F34D9" w:rsidRPr="00123108" w:rsidRDefault="004F34D9">
            <w:pPr>
              <w:snapToGrid w:val="0"/>
              <w:spacing w:line="360" w:lineRule="auto"/>
              <w:jc w:val="left"/>
              <w:rPr>
                <w:rFonts w:ascii="宋体" w:hAnsi="宋体"/>
                <w:szCs w:val="21"/>
              </w:rPr>
            </w:pPr>
            <w:r w:rsidRPr="00123108">
              <w:rPr>
                <w:rFonts w:ascii="宋体" w:hAnsi="宋体" w:hint="eastAsia"/>
                <w:szCs w:val="21"/>
              </w:rPr>
              <w:t>已增设限高标识。</w:t>
            </w:r>
          </w:p>
        </w:tc>
      </w:tr>
      <w:tr w:rsidR="004F34D9" w:rsidRPr="00123108">
        <w:trPr>
          <w:cantSplit/>
          <w:trHeight w:val="340"/>
          <w:jc w:val="center"/>
        </w:trPr>
        <w:tc>
          <w:tcPr>
            <w:tcW w:w="426" w:type="pct"/>
            <w:vAlign w:val="center"/>
          </w:tcPr>
          <w:p w:rsidR="004F34D9" w:rsidRPr="00123108" w:rsidRDefault="004F34D9">
            <w:pPr>
              <w:numPr>
                <w:ilvl w:val="0"/>
                <w:numId w:val="71"/>
              </w:numPr>
              <w:autoSpaceDE w:val="0"/>
              <w:autoSpaceDN w:val="0"/>
              <w:adjustRightInd w:val="0"/>
              <w:snapToGrid w:val="0"/>
              <w:jc w:val="center"/>
              <w:rPr>
                <w:rFonts w:ascii="宋体" w:hAnsi="宋体"/>
                <w:szCs w:val="21"/>
              </w:rPr>
            </w:pPr>
          </w:p>
        </w:tc>
        <w:tc>
          <w:tcPr>
            <w:tcW w:w="2144" w:type="pct"/>
            <w:vAlign w:val="center"/>
          </w:tcPr>
          <w:p w:rsidR="004F34D9" w:rsidRPr="00123108" w:rsidRDefault="004F34D9">
            <w:pPr>
              <w:jc w:val="left"/>
              <w:rPr>
                <w:rFonts w:ascii="宋体" w:hAnsi="宋体" w:cs="宋体"/>
                <w:kern w:val="0"/>
                <w:szCs w:val="21"/>
              </w:rPr>
            </w:pPr>
            <w:r w:rsidRPr="00123108">
              <w:rPr>
                <w:rFonts w:ascii="宋体" w:hAnsi="宋体" w:cs="宋体"/>
                <w:kern w:val="0"/>
                <w:szCs w:val="21"/>
              </w:rPr>
              <w:t>电缆桥架连接处未进行防静电跨接。</w:t>
            </w:r>
          </w:p>
        </w:tc>
        <w:tc>
          <w:tcPr>
            <w:tcW w:w="2430" w:type="pct"/>
          </w:tcPr>
          <w:p w:rsidR="004F34D9" w:rsidRPr="00123108" w:rsidRDefault="004F34D9">
            <w:pPr>
              <w:snapToGrid w:val="0"/>
              <w:spacing w:line="360" w:lineRule="auto"/>
              <w:jc w:val="left"/>
              <w:rPr>
                <w:rFonts w:ascii="宋体" w:hAnsi="宋体"/>
                <w:szCs w:val="21"/>
              </w:rPr>
            </w:pPr>
            <w:r w:rsidRPr="00123108">
              <w:rPr>
                <w:rFonts w:ascii="宋体" w:hAnsi="宋体" w:hint="eastAsia"/>
                <w:szCs w:val="21"/>
              </w:rPr>
              <w:t>电缆桥架连接处已增设防静电跨接。</w:t>
            </w:r>
          </w:p>
        </w:tc>
      </w:tr>
      <w:tr w:rsidR="004F34D9" w:rsidRPr="00123108">
        <w:trPr>
          <w:cantSplit/>
          <w:trHeight w:val="340"/>
          <w:jc w:val="center"/>
        </w:trPr>
        <w:tc>
          <w:tcPr>
            <w:tcW w:w="426" w:type="pct"/>
            <w:vAlign w:val="center"/>
          </w:tcPr>
          <w:p w:rsidR="004F34D9" w:rsidRPr="00123108" w:rsidRDefault="004F34D9">
            <w:pPr>
              <w:numPr>
                <w:ilvl w:val="0"/>
                <w:numId w:val="71"/>
              </w:numPr>
              <w:autoSpaceDE w:val="0"/>
              <w:autoSpaceDN w:val="0"/>
              <w:adjustRightInd w:val="0"/>
              <w:snapToGrid w:val="0"/>
              <w:jc w:val="center"/>
              <w:rPr>
                <w:rFonts w:ascii="宋体" w:hAnsi="宋体"/>
                <w:szCs w:val="21"/>
              </w:rPr>
            </w:pPr>
          </w:p>
        </w:tc>
        <w:tc>
          <w:tcPr>
            <w:tcW w:w="2144" w:type="pct"/>
            <w:vAlign w:val="center"/>
          </w:tcPr>
          <w:p w:rsidR="004F34D9" w:rsidRPr="00123108" w:rsidRDefault="004F34D9">
            <w:pPr>
              <w:jc w:val="left"/>
              <w:rPr>
                <w:rFonts w:ascii="宋体" w:hAnsi="宋体" w:cs="宋体"/>
                <w:kern w:val="0"/>
                <w:szCs w:val="21"/>
              </w:rPr>
            </w:pPr>
            <w:r w:rsidRPr="00123108">
              <w:rPr>
                <w:rFonts w:ascii="宋体" w:hAnsi="宋体" w:cs="宋体"/>
                <w:kern w:val="0"/>
                <w:szCs w:val="21"/>
              </w:rPr>
              <w:t>生产厂区与办公区未进行有效隔离。</w:t>
            </w:r>
          </w:p>
        </w:tc>
        <w:tc>
          <w:tcPr>
            <w:tcW w:w="2430" w:type="pct"/>
          </w:tcPr>
          <w:p w:rsidR="004F34D9" w:rsidRPr="00123108" w:rsidRDefault="004F34D9">
            <w:pPr>
              <w:snapToGrid w:val="0"/>
              <w:spacing w:line="360" w:lineRule="auto"/>
              <w:jc w:val="left"/>
              <w:rPr>
                <w:rFonts w:ascii="宋体" w:hAnsi="宋体"/>
                <w:szCs w:val="21"/>
              </w:rPr>
            </w:pPr>
            <w:r w:rsidRPr="00123108">
              <w:rPr>
                <w:rFonts w:ascii="宋体" w:hAnsi="宋体" w:hint="eastAsia"/>
                <w:szCs w:val="21"/>
              </w:rPr>
              <w:t>已设置硬隔离措施。</w:t>
            </w:r>
          </w:p>
        </w:tc>
      </w:tr>
      <w:tr w:rsidR="004F34D9" w:rsidRPr="00123108">
        <w:trPr>
          <w:cantSplit/>
          <w:trHeight w:val="340"/>
          <w:jc w:val="center"/>
        </w:trPr>
        <w:tc>
          <w:tcPr>
            <w:tcW w:w="426" w:type="pct"/>
            <w:vAlign w:val="center"/>
          </w:tcPr>
          <w:p w:rsidR="004F34D9" w:rsidRPr="00123108" w:rsidRDefault="004F34D9">
            <w:pPr>
              <w:numPr>
                <w:ilvl w:val="0"/>
                <w:numId w:val="71"/>
              </w:numPr>
              <w:autoSpaceDE w:val="0"/>
              <w:autoSpaceDN w:val="0"/>
              <w:adjustRightInd w:val="0"/>
              <w:snapToGrid w:val="0"/>
              <w:jc w:val="center"/>
              <w:rPr>
                <w:rFonts w:ascii="宋体" w:hAnsi="宋体"/>
                <w:szCs w:val="21"/>
              </w:rPr>
            </w:pPr>
          </w:p>
        </w:tc>
        <w:tc>
          <w:tcPr>
            <w:tcW w:w="2144" w:type="pct"/>
            <w:vAlign w:val="center"/>
          </w:tcPr>
          <w:p w:rsidR="004F34D9" w:rsidRPr="00123108" w:rsidRDefault="004F34D9">
            <w:pPr>
              <w:adjustRightInd w:val="0"/>
              <w:snapToGrid w:val="0"/>
              <w:rPr>
                <w:szCs w:val="21"/>
              </w:rPr>
            </w:pPr>
            <w:r w:rsidRPr="00123108">
              <w:rPr>
                <w:rFonts w:hint="eastAsia"/>
                <w:szCs w:val="21"/>
              </w:rPr>
              <w:t>生产车间配电间与车间贴临，未采取正压通风措施。</w:t>
            </w:r>
          </w:p>
        </w:tc>
        <w:tc>
          <w:tcPr>
            <w:tcW w:w="2430" w:type="pct"/>
          </w:tcPr>
          <w:p w:rsidR="004F34D9" w:rsidRPr="00123108" w:rsidRDefault="004F34D9">
            <w:pPr>
              <w:adjustRightInd w:val="0"/>
              <w:snapToGrid w:val="0"/>
              <w:rPr>
                <w:szCs w:val="21"/>
              </w:rPr>
            </w:pPr>
            <w:r w:rsidRPr="00123108">
              <w:rPr>
                <w:rFonts w:hint="eastAsia"/>
                <w:szCs w:val="21"/>
              </w:rPr>
              <w:t>配电间已增设正压通风措施（一用一备两台正压风机，设置变频器和压力变送器，自动控制，保持室内微正压）</w:t>
            </w:r>
          </w:p>
        </w:tc>
      </w:tr>
      <w:bookmarkEnd w:id="1854"/>
    </w:tbl>
    <w:p w:rsidR="004F34D9" w:rsidRPr="00123108" w:rsidRDefault="004F34D9">
      <w:pPr>
        <w:autoSpaceDE w:val="0"/>
        <w:autoSpaceDN w:val="0"/>
        <w:adjustRightInd w:val="0"/>
        <w:spacing w:line="360" w:lineRule="auto"/>
        <w:ind w:firstLineChars="200" w:firstLine="562"/>
        <w:rPr>
          <w:rFonts w:ascii="黑体" w:eastAsia="黑体" w:hAnsi="黑体" w:hint="eastAsia"/>
          <w:b/>
          <w:sz w:val="28"/>
          <w:szCs w:val="28"/>
        </w:rPr>
      </w:pPr>
    </w:p>
    <w:p w:rsidR="004F34D9" w:rsidRPr="00123108" w:rsidRDefault="004F34D9">
      <w:pPr>
        <w:spacing w:line="360" w:lineRule="auto"/>
        <w:rPr>
          <w:rFonts w:ascii="宋体" w:hAnsi="宋体"/>
          <w:sz w:val="28"/>
          <w:szCs w:val="28"/>
        </w:rPr>
      </w:pPr>
    </w:p>
    <w:p w:rsidR="004F34D9" w:rsidRPr="00123108" w:rsidRDefault="004F34D9">
      <w:pPr>
        <w:spacing w:line="360" w:lineRule="auto"/>
        <w:ind w:firstLineChars="200" w:firstLine="560"/>
        <w:rPr>
          <w:rFonts w:ascii="宋体" w:hAnsi="宋体" w:hint="eastAsia"/>
          <w:sz w:val="28"/>
          <w:szCs w:val="28"/>
        </w:rPr>
      </w:pPr>
    </w:p>
    <w:p w:rsidR="004F34D9" w:rsidRPr="00123108" w:rsidRDefault="004F34D9">
      <w:pPr>
        <w:spacing w:line="360" w:lineRule="auto"/>
        <w:ind w:firstLineChars="200" w:firstLine="560"/>
        <w:rPr>
          <w:rFonts w:ascii="宋体" w:hAnsi="宋体" w:hint="eastAsia"/>
          <w:sz w:val="28"/>
          <w:szCs w:val="28"/>
        </w:rPr>
        <w:sectPr w:rsidR="004F34D9" w:rsidRPr="00123108">
          <w:pgSz w:w="11906" w:h="16838"/>
          <w:pgMar w:top="1417" w:right="1134" w:bottom="1134" w:left="1587" w:header="851" w:footer="992" w:gutter="0"/>
          <w:paperSrc w:first="7" w:other="7"/>
          <w:cols w:space="720"/>
          <w:docGrid w:type="lines" w:linePitch="381"/>
        </w:sectPr>
      </w:pPr>
    </w:p>
    <w:p w:rsidR="004F34D9" w:rsidRPr="00123108" w:rsidRDefault="004F34D9" w:rsidP="00D06780">
      <w:pPr>
        <w:pStyle w:val="1"/>
        <w:spacing w:beforeLines="0" w:before="0" w:afterLines="0" w:after="0" w:line="500" w:lineRule="exact"/>
        <w:rPr>
          <w:rFonts w:ascii="宋体" w:eastAsia="宋体" w:cs="宋体" w:hint="eastAsia"/>
          <w:spacing w:val="-4"/>
        </w:rPr>
      </w:pPr>
      <w:bookmarkStart w:id="1855" w:name="_Toc393724242"/>
      <w:bookmarkStart w:id="1856" w:name="_Toc8238"/>
      <w:bookmarkStart w:id="1857" w:name="_Toc99180367"/>
      <w:bookmarkStart w:id="1858" w:name="_Toc99772760"/>
      <w:bookmarkStart w:id="1859" w:name="_Toc14143"/>
      <w:bookmarkStart w:id="1860" w:name="_Toc1839"/>
      <w:bookmarkStart w:id="1861" w:name="_Toc177788999"/>
      <w:bookmarkStart w:id="1862" w:name="_Toc19769"/>
      <w:bookmarkStart w:id="1863" w:name="_Toc28710"/>
      <w:bookmarkStart w:id="1864" w:name="_Toc95035442"/>
      <w:bookmarkStart w:id="1865" w:name="_Toc177789653"/>
      <w:bookmarkStart w:id="1866" w:name="_Toc207778926"/>
      <w:bookmarkStart w:id="1867" w:name="_Toc266354402"/>
      <w:bookmarkStart w:id="1868" w:name="_Toc13921"/>
      <w:bookmarkStart w:id="1869" w:name="_Toc99775581"/>
      <w:bookmarkStart w:id="1870" w:name="_Toc99772664"/>
      <w:bookmarkStart w:id="1871" w:name="_Toc99180280"/>
      <w:bookmarkStart w:id="1872" w:name="_Toc3809160"/>
      <w:bookmarkStart w:id="1873" w:name="_Toc190935926"/>
      <w:bookmarkEnd w:id="1838"/>
      <w:bookmarkEnd w:id="1839"/>
      <w:r w:rsidRPr="00123108">
        <w:rPr>
          <w:rFonts w:ascii="宋体" w:eastAsia="宋体" w:cs="宋体" w:hint="eastAsia"/>
          <w:spacing w:val="-4"/>
        </w:rPr>
        <w:lastRenderedPageBreak/>
        <w:t>附件3  评价方法简介</w:t>
      </w:r>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p>
    <w:p w:rsidR="004F34D9" w:rsidRPr="00123108" w:rsidRDefault="004F34D9" w:rsidP="00D06780">
      <w:pPr>
        <w:pStyle w:val="2"/>
        <w:spacing w:line="500" w:lineRule="exact"/>
        <w:jc w:val="both"/>
        <w:rPr>
          <w:rFonts w:ascii="宋体" w:eastAsia="宋体" w:cs="宋体" w:hint="eastAsia"/>
          <w:sz w:val="28"/>
          <w:szCs w:val="28"/>
        </w:rPr>
      </w:pPr>
      <w:bookmarkStart w:id="1874" w:name="_Toc88229578"/>
      <w:bookmarkStart w:id="1875" w:name="_Toc54348552"/>
      <w:bookmarkStart w:id="1876" w:name="_Toc16313"/>
      <w:bookmarkStart w:id="1877" w:name="_Toc91562397"/>
      <w:bookmarkStart w:id="1878" w:name="_Toc12341"/>
      <w:bookmarkStart w:id="1879" w:name="_Toc91669940"/>
      <w:bookmarkStart w:id="1880" w:name="_Toc99180368"/>
      <w:bookmarkStart w:id="1881" w:name="_Toc3809161"/>
      <w:bookmarkStart w:id="1882" w:name="_Toc91669846"/>
      <w:bookmarkStart w:id="1883" w:name="_Toc91670034"/>
      <w:bookmarkStart w:id="1884" w:name="_Toc266354403"/>
      <w:bookmarkStart w:id="1885" w:name="_Toc91667505"/>
      <w:bookmarkStart w:id="1886" w:name="_Toc99772761"/>
      <w:bookmarkStart w:id="1887" w:name="_Toc99772665"/>
      <w:bookmarkStart w:id="1888" w:name="_Toc19825"/>
      <w:bookmarkStart w:id="1889" w:name="_Toc91496354"/>
      <w:bookmarkStart w:id="1890" w:name="_Toc95035443"/>
      <w:bookmarkStart w:id="1891" w:name="_Toc207778927"/>
      <w:bookmarkStart w:id="1892" w:name="_Toc16795"/>
      <w:bookmarkStart w:id="1893" w:name="_Toc4071"/>
      <w:bookmarkStart w:id="1894" w:name="_Toc94347991"/>
      <w:bookmarkStart w:id="1895" w:name="_Toc393724243"/>
      <w:bookmarkStart w:id="1896" w:name="_Toc177789654"/>
      <w:bookmarkStart w:id="1897" w:name="_Toc91437824"/>
      <w:bookmarkStart w:id="1898" w:name="_Toc21859"/>
      <w:bookmarkStart w:id="1899" w:name="_Toc91670128"/>
      <w:bookmarkStart w:id="1900" w:name="_Toc99775582"/>
      <w:bookmarkStart w:id="1901" w:name="_Toc177789000"/>
      <w:bookmarkStart w:id="1902" w:name="_Toc99180281"/>
      <w:bookmarkStart w:id="1903" w:name="_Toc91667225"/>
      <w:bookmarkStart w:id="1904" w:name="_Toc190935927"/>
      <w:r w:rsidRPr="00123108">
        <w:rPr>
          <w:rFonts w:ascii="宋体" w:eastAsia="宋体" w:cs="宋体" w:hint="eastAsia"/>
          <w:sz w:val="28"/>
          <w:szCs w:val="28"/>
        </w:rPr>
        <w:t>附件3.1  评价方法</w:t>
      </w:r>
      <w:bookmarkEnd w:id="1874"/>
      <w:bookmarkEnd w:id="1875"/>
      <w:r w:rsidRPr="00123108">
        <w:rPr>
          <w:rFonts w:ascii="宋体" w:eastAsia="宋体" w:cs="宋体" w:hint="eastAsia"/>
          <w:sz w:val="28"/>
          <w:szCs w:val="28"/>
        </w:rPr>
        <w:t>的确定</w:t>
      </w:r>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rsidR="004F34D9" w:rsidRPr="00123108" w:rsidRDefault="004F34D9" w:rsidP="00D06780">
      <w:pPr>
        <w:adjustRightInd w:val="0"/>
        <w:snapToGrid w:val="0"/>
        <w:spacing w:line="500" w:lineRule="exact"/>
        <w:ind w:firstLineChars="200" w:firstLine="560"/>
        <w:rPr>
          <w:rFonts w:ascii="宋体" w:hAnsi="宋体" w:cs="宋体" w:hint="eastAsia"/>
          <w:sz w:val="28"/>
        </w:rPr>
      </w:pPr>
      <w:r w:rsidRPr="00123108">
        <w:rPr>
          <w:rFonts w:ascii="宋体" w:hAnsi="宋体" w:cs="宋体" w:hint="eastAsia"/>
          <w:sz w:val="28"/>
        </w:rPr>
        <w:t>评价方法是对系统的危险、危害性及其程度后果进行分析评价的工具。目前已开发出数十种不同特点、适用范围和应用条件的评价方法，按其特性可分为定性评价、定量评价和综合评价。</w:t>
      </w:r>
    </w:p>
    <w:p w:rsidR="004F34D9" w:rsidRPr="00123108" w:rsidRDefault="004F34D9" w:rsidP="00D06780">
      <w:pPr>
        <w:adjustRightInd w:val="0"/>
        <w:snapToGrid w:val="0"/>
        <w:spacing w:line="500" w:lineRule="exact"/>
        <w:ind w:firstLineChars="200" w:firstLine="560"/>
        <w:rPr>
          <w:rFonts w:ascii="宋体" w:hAnsi="宋体" w:cs="宋体" w:hint="eastAsia"/>
          <w:sz w:val="28"/>
        </w:rPr>
      </w:pPr>
      <w:r w:rsidRPr="00123108">
        <w:rPr>
          <w:rFonts w:ascii="宋体" w:hAnsi="宋体" w:cs="宋体" w:hint="eastAsia"/>
          <w:sz w:val="28"/>
        </w:rPr>
        <w:t>根据本项目工艺特点及其原辅材料和产品的特性、配套工程组成情况，结合国内外评价方法，本次评价采用的方法是安全检查表法、</w:t>
      </w:r>
      <w:r w:rsidRPr="00123108">
        <w:rPr>
          <w:rFonts w:ascii="宋体" w:hAnsi="宋体" w:cs="宋体" w:hint="eastAsia"/>
          <w:sz w:val="28"/>
          <w:szCs w:val="28"/>
        </w:rPr>
        <w:t>综合评价法、事故后果模拟分析</w:t>
      </w:r>
      <w:r w:rsidRPr="00123108">
        <w:rPr>
          <w:rFonts w:ascii="宋体" w:hAnsi="宋体" w:cs="宋体" w:hint="eastAsia"/>
          <w:sz w:val="28"/>
        </w:rPr>
        <w:t>、道化学火灾、爆炸危险指数评价法等。</w:t>
      </w:r>
    </w:p>
    <w:p w:rsidR="004F34D9" w:rsidRPr="00123108" w:rsidRDefault="004F34D9" w:rsidP="00D06780">
      <w:pPr>
        <w:pStyle w:val="2"/>
        <w:spacing w:line="500" w:lineRule="exact"/>
        <w:jc w:val="both"/>
        <w:rPr>
          <w:rFonts w:ascii="宋体" w:eastAsia="宋体" w:cs="宋体" w:hint="eastAsia"/>
          <w:sz w:val="28"/>
          <w:szCs w:val="28"/>
        </w:rPr>
      </w:pPr>
      <w:bookmarkStart w:id="1905" w:name="_Toc94347992"/>
      <w:bookmarkStart w:id="1906" w:name="_Toc207778928"/>
      <w:bookmarkStart w:id="1907" w:name="_Toc27526"/>
      <w:bookmarkStart w:id="1908" w:name="_Toc3809162"/>
      <w:bookmarkStart w:id="1909" w:name="_Toc266354404"/>
      <w:bookmarkStart w:id="1910" w:name="_Toc99775583"/>
      <w:bookmarkStart w:id="1911" w:name="_Toc91670129"/>
      <w:bookmarkStart w:id="1912" w:name="_Toc91437825"/>
      <w:bookmarkStart w:id="1913" w:name="_Toc99772762"/>
      <w:bookmarkStart w:id="1914" w:name="_Toc99180282"/>
      <w:bookmarkStart w:id="1915" w:name="_Toc393724244"/>
      <w:bookmarkStart w:id="1916" w:name="_Toc95035444"/>
      <w:bookmarkStart w:id="1917" w:name="_Toc91670035"/>
      <w:bookmarkStart w:id="1918" w:name="_Toc9578"/>
      <w:bookmarkStart w:id="1919" w:name="_Toc177789001"/>
      <w:bookmarkStart w:id="1920" w:name="_Toc16640"/>
      <w:bookmarkStart w:id="1921" w:name="_Toc99180369"/>
      <w:bookmarkStart w:id="1922" w:name="_Toc9850"/>
      <w:bookmarkStart w:id="1923" w:name="_Toc24557"/>
      <w:bookmarkStart w:id="1924" w:name="_Toc177789655"/>
      <w:bookmarkStart w:id="1925" w:name="_Toc91669847"/>
      <w:bookmarkStart w:id="1926" w:name="_Toc14942"/>
      <w:bookmarkStart w:id="1927" w:name="_Toc91562398"/>
      <w:bookmarkStart w:id="1928" w:name="_Toc91669941"/>
      <w:bookmarkStart w:id="1929" w:name="_Toc91667226"/>
      <w:bookmarkStart w:id="1930" w:name="_Toc91496355"/>
      <w:bookmarkStart w:id="1931" w:name="_Toc99772666"/>
      <w:bookmarkStart w:id="1932" w:name="_Toc91667506"/>
      <w:bookmarkStart w:id="1933" w:name="_Toc190935928"/>
      <w:r w:rsidRPr="00123108">
        <w:rPr>
          <w:rFonts w:ascii="宋体" w:eastAsia="宋体" w:cs="宋体" w:hint="eastAsia"/>
          <w:sz w:val="28"/>
          <w:szCs w:val="28"/>
        </w:rPr>
        <w:t>附件3.2  评价方法简介</w:t>
      </w:r>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p>
    <w:p w:rsidR="004F34D9" w:rsidRPr="00123108" w:rsidRDefault="004F34D9" w:rsidP="00D06780">
      <w:pPr>
        <w:pStyle w:val="3"/>
        <w:spacing w:line="500" w:lineRule="exact"/>
        <w:rPr>
          <w:rFonts w:ascii="宋体" w:eastAsia="宋体" w:hAnsi="宋体" w:cs="宋体" w:hint="eastAsia"/>
          <w:sz w:val="28"/>
          <w:szCs w:val="28"/>
        </w:rPr>
      </w:pPr>
      <w:bookmarkStart w:id="1934" w:name="_Toc99180370"/>
      <w:bookmarkStart w:id="1935" w:name="_Toc207778929"/>
      <w:bookmarkStart w:id="1936" w:name="_Toc177789656"/>
      <w:bookmarkStart w:id="1937" w:name="_Toc3809163"/>
      <w:bookmarkStart w:id="1938" w:name="_Toc352"/>
      <w:bookmarkStart w:id="1939" w:name="_Toc17774"/>
      <w:bookmarkStart w:id="1940" w:name="_Toc99180283"/>
      <w:bookmarkStart w:id="1941" w:name="_Toc99772667"/>
      <w:bookmarkStart w:id="1942" w:name="_Toc266354405"/>
      <w:bookmarkStart w:id="1943" w:name="_Toc94347993"/>
      <w:bookmarkStart w:id="1944" w:name="_Toc177789002"/>
      <w:bookmarkStart w:id="1945" w:name="_Toc95035445"/>
      <w:bookmarkStart w:id="1946" w:name="_Toc99775584"/>
      <w:bookmarkStart w:id="1947" w:name="_Toc393724245"/>
      <w:bookmarkStart w:id="1948" w:name="_Toc18398"/>
      <w:bookmarkStart w:id="1949" w:name="_Toc32734"/>
      <w:bookmarkStart w:id="1950" w:name="_Toc30571"/>
      <w:bookmarkStart w:id="1951" w:name="_Toc29854"/>
      <w:bookmarkStart w:id="1952" w:name="_Toc99772763"/>
      <w:bookmarkStart w:id="1953" w:name="_Toc190935929"/>
      <w:r w:rsidRPr="00123108">
        <w:rPr>
          <w:rFonts w:ascii="宋体" w:eastAsia="宋体" w:hAnsi="宋体" w:cs="宋体" w:hint="eastAsia"/>
          <w:sz w:val="28"/>
          <w:szCs w:val="28"/>
        </w:rPr>
        <w:t>附件3.2.1  安全检查表法</w:t>
      </w:r>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p>
    <w:p w:rsidR="004F34D9" w:rsidRPr="00123108" w:rsidRDefault="004F34D9" w:rsidP="00D06780">
      <w:pPr>
        <w:adjustRightInd w:val="0"/>
        <w:snapToGrid w:val="0"/>
        <w:spacing w:line="500" w:lineRule="exact"/>
        <w:ind w:firstLineChars="200" w:firstLine="560"/>
        <w:rPr>
          <w:rFonts w:ascii="宋体" w:hAnsi="宋体" w:cs="宋体" w:hint="eastAsia"/>
          <w:sz w:val="28"/>
        </w:rPr>
      </w:pPr>
      <w:r w:rsidRPr="00123108">
        <w:rPr>
          <w:rFonts w:ascii="宋体" w:hAnsi="宋体" w:cs="宋体" w:hint="eastAsia"/>
          <w:sz w:val="28"/>
        </w:rPr>
        <w:t>安全检查表分析（Safety checklist Analysis）是系统安全工程一种广泛应用的最简便的危险性评价方法。它是将一系列项目包括工艺过程、设备、储运、操作、管理等各个方面进行分析评价以确定系统状态的方法。通过列出检查单元和部位、检查项目、检查要求，确定各项有关标准、规范和规定，进行对照分析而得出一系列基于缺陷或差异的结论。对安全检查表提出问题回答：“是”、“否”，“不适用”或“需要更多的信息”。定性的分析结果随不同的分析对象而变化，但都将做出与标准或规范是否一致的结论。</w:t>
      </w:r>
    </w:p>
    <w:p w:rsidR="004F34D9" w:rsidRPr="00123108" w:rsidRDefault="004F34D9" w:rsidP="00D06780">
      <w:pPr>
        <w:adjustRightInd w:val="0"/>
        <w:snapToGrid w:val="0"/>
        <w:spacing w:line="500" w:lineRule="exact"/>
        <w:ind w:firstLineChars="200" w:firstLine="560"/>
        <w:rPr>
          <w:rFonts w:ascii="宋体" w:hAnsi="宋体" w:cs="宋体" w:hint="eastAsia"/>
          <w:sz w:val="28"/>
        </w:rPr>
      </w:pPr>
      <w:r w:rsidRPr="00123108">
        <w:rPr>
          <w:rFonts w:ascii="宋体" w:hAnsi="宋体" w:cs="宋体" w:hint="eastAsia"/>
          <w:sz w:val="28"/>
        </w:rPr>
        <w:t>安全检查表分析包括三个步骤：</w:t>
      </w:r>
    </w:p>
    <w:p w:rsidR="004F34D9" w:rsidRPr="00123108" w:rsidRDefault="004F34D9" w:rsidP="00D06780">
      <w:pPr>
        <w:adjustRightInd w:val="0"/>
        <w:snapToGrid w:val="0"/>
        <w:spacing w:line="500" w:lineRule="exact"/>
        <w:ind w:firstLineChars="200" w:firstLine="560"/>
        <w:rPr>
          <w:rFonts w:ascii="宋体" w:hAnsi="宋体" w:cs="宋体" w:hint="eastAsia"/>
          <w:sz w:val="28"/>
        </w:rPr>
      </w:pPr>
      <w:r w:rsidRPr="00123108">
        <w:rPr>
          <w:rFonts w:ascii="宋体" w:hAnsi="宋体" w:cs="宋体" w:hint="eastAsia"/>
          <w:sz w:val="28"/>
        </w:rPr>
        <w:t>（1）选择或拟定合适的安全检查表。</w:t>
      </w:r>
    </w:p>
    <w:p w:rsidR="004F34D9" w:rsidRPr="00123108" w:rsidRDefault="004F34D9" w:rsidP="00D06780">
      <w:pPr>
        <w:adjustRightInd w:val="0"/>
        <w:snapToGrid w:val="0"/>
        <w:spacing w:line="500" w:lineRule="exact"/>
        <w:ind w:firstLineChars="200" w:firstLine="560"/>
        <w:rPr>
          <w:rFonts w:ascii="宋体" w:hAnsi="宋体" w:cs="宋体" w:hint="eastAsia"/>
          <w:sz w:val="28"/>
        </w:rPr>
      </w:pPr>
      <w:r w:rsidRPr="00123108">
        <w:rPr>
          <w:rFonts w:ascii="宋体" w:hAnsi="宋体" w:cs="宋体" w:hint="eastAsia"/>
          <w:sz w:val="28"/>
        </w:rPr>
        <w:t>（2）完成分析。</w:t>
      </w:r>
    </w:p>
    <w:p w:rsidR="004F34D9" w:rsidRPr="00123108" w:rsidRDefault="004F34D9" w:rsidP="00D06780">
      <w:pPr>
        <w:adjustRightInd w:val="0"/>
        <w:snapToGrid w:val="0"/>
        <w:spacing w:line="500" w:lineRule="exact"/>
        <w:ind w:firstLineChars="200" w:firstLine="560"/>
        <w:rPr>
          <w:rFonts w:ascii="宋体" w:hAnsi="宋体" w:cs="宋体" w:hint="eastAsia"/>
          <w:sz w:val="28"/>
        </w:rPr>
      </w:pPr>
      <w:r w:rsidRPr="00123108">
        <w:rPr>
          <w:rFonts w:ascii="宋体" w:hAnsi="宋体" w:cs="宋体" w:hint="eastAsia"/>
          <w:sz w:val="28"/>
        </w:rPr>
        <w:t>（3）编制分析结果文件。</w:t>
      </w:r>
    </w:p>
    <w:p w:rsidR="004F34D9" w:rsidRPr="00123108" w:rsidRDefault="004F34D9" w:rsidP="00D06780">
      <w:pPr>
        <w:pStyle w:val="3"/>
        <w:spacing w:line="500" w:lineRule="exact"/>
        <w:rPr>
          <w:rFonts w:ascii="宋体" w:eastAsia="宋体" w:hAnsi="宋体" w:cs="宋体" w:hint="eastAsia"/>
          <w:sz w:val="28"/>
          <w:szCs w:val="28"/>
        </w:rPr>
      </w:pPr>
      <w:bookmarkStart w:id="1954" w:name="_Toc12666"/>
      <w:bookmarkStart w:id="1955" w:name="_Toc22528"/>
      <w:bookmarkStart w:id="1956" w:name="_Toc310249803"/>
      <w:bookmarkStart w:id="1957" w:name="_Toc23635"/>
      <w:bookmarkStart w:id="1958" w:name="_Toc3809164"/>
      <w:bookmarkStart w:id="1959" w:name="_Toc393724246"/>
      <w:bookmarkStart w:id="1960" w:name="_Toc17170"/>
      <w:bookmarkStart w:id="1961" w:name="_Toc24620"/>
      <w:bookmarkStart w:id="1962" w:name="_Toc365"/>
      <w:bookmarkStart w:id="1963" w:name="_Toc190935930"/>
      <w:r w:rsidRPr="00123108">
        <w:rPr>
          <w:rFonts w:ascii="宋体" w:eastAsia="宋体" w:hAnsi="宋体" w:cs="宋体" w:hint="eastAsia"/>
          <w:sz w:val="28"/>
          <w:szCs w:val="28"/>
        </w:rPr>
        <w:t>附件3.2.2  综合评价法</w:t>
      </w:r>
      <w:bookmarkEnd w:id="1954"/>
      <w:bookmarkEnd w:id="1955"/>
      <w:bookmarkEnd w:id="1956"/>
      <w:bookmarkEnd w:id="1957"/>
      <w:bookmarkEnd w:id="1958"/>
      <w:bookmarkEnd w:id="1959"/>
      <w:bookmarkEnd w:id="1960"/>
      <w:bookmarkEnd w:id="1961"/>
      <w:bookmarkEnd w:id="1962"/>
      <w:bookmarkEnd w:id="1963"/>
    </w:p>
    <w:p w:rsidR="004F34D9" w:rsidRPr="00123108" w:rsidRDefault="004F34D9" w:rsidP="00D06780">
      <w:pPr>
        <w:adjustRightInd w:val="0"/>
        <w:snapToGrid w:val="0"/>
        <w:spacing w:line="500" w:lineRule="exact"/>
        <w:ind w:firstLineChars="200" w:firstLine="560"/>
        <w:rPr>
          <w:rFonts w:ascii="宋体" w:hAnsi="宋体" w:cs="宋体" w:hint="eastAsia"/>
          <w:sz w:val="28"/>
        </w:rPr>
      </w:pPr>
      <w:r w:rsidRPr="00123108">
        <w:rPr>
          <w:rFonts w:ascii="宋体" w:hAnsi="宋体" w:cs="宋体" w:hint="eastAsia"/>
          <w:sz w:val="28"/>
        </w:rPr>
        <w:t>综合评价法是根据国家和行业主管部门颁发的安全生产法律、法规、标准、规范等，结合评价专家的工作经验和安全卫生理论知识，对建设企业的安全卫生状况进行综合性评价的方法。该方法要求评价人员具备较为丰富的实际工作经验和理论知识，并对国家安全生产法律、法规及行业标准、规范有着较为广泛和深入的了解，适合对建设企业的综合安全性进行评价。</w:t>
      </w:r>
    </w:p>
    <w:p w:rsidR="004F34D9" w:rsidRPr="00123108" w:rsidRDefault="004F34D9" w:rsidP="00D06780">
      <w:pPr>
        <w:pStyle w:val="3"/>
        <w:spacing w:line="500" w:lineRule="exact"/>
        <w:rPr>
          <w:rFonts w:ascii="宋体" w:eastAsia="宋体" w:hAnsi="宋体" w:cs="宋体" w:hint="eastAsia"/>
          <w:sz w:val="28"/>
          <w:szCs w:val="28"/>
        </w:rPr>
      </w:pPr>
      <w:bookmarkStart w:id="1964" w:name="_Toc15298"/>
      <w:bookmarkStart w:id="1965" w:name="_Toc3809167"/>
      <w:bookmarkStart w:id="1966" w:name="_Toc19497"/>
      <w:bookmarkStart w:id="1967" w:name="_Toc18846"/>
      <w:bookmarkStart w:id="1968" w:name="_Toc310249805"/>
      <w:bookmarkStart w:id="1969" w:name="_Toc347235885"/>
      <w:bookmarkStart w:id="1970" w:name="_Toc7093"/>
      <w:bookmarkStart w:id="1971" w:name="_Toc13155"/>
      <w:bookmarkStart w:id="1972" w:name="_Toc21054"/>
      <w:bookmarkStart w:id="1973" w:name="_Toc190935931"/>
      <w:r w:rsidRPr="00123108">
        <w:rPr>
          <w:rFonts w:ascii="宋体" w:eastAsia="宋体" w:hAnsi="宋体" w:cs="宋体" w:hint="eastAsia"/>
          <w:sz w:val="28"/>
          <w:szCs w:val="28"/>
        </w:rPr>
        <w:lastRenderedPageBreak/>
        <w:t>附件3.2.3  事故后果模拟分析</w:t>
      </w:r>
      <w:bookmarkEnd w:id="1964"/>
      <w:bookmarkEnd w:id="1965"/>
      <w:bookmarkEnd w:id="1966"/>
      <w:bookmarkEnd w:id="1967"/>
      <w:bookmarkEnd w:id="1968"/>
      <w:bookmarkEnd w:id="1969"/>
      <w:bookmarkEnd w:id="1970"/>
      <w:bookmarkEnd w:id="1971"/>
      <w:bookmarkEnd w:id="1972"/>
      <w:bookmarkEnd w:id="1973"/>
    </w:p>
    <w:p w:rsidR="004F34D9" w:rsidRPr="00123108" w:rsidRDefault="004F34D9" w:rsidP="00D06780">
      <w:pPr>
        <w:autoSpaceDE w:val="0"/>
        <w:autoSpaceDN w:val="0"/>
        <w:adjustRightInd w:val="0"/>
        <w:spacing w:line="500" w:lineRule="exact"/>
        <w:ind w:firstLineChars="221" w:firstLine="619"/>
        <w:rPr>
          <w:rFonts w:ascii="宋体" w:hAnsi="宋体" w:cs="宋体" w:hint="eastAsia"/>
          <w:sz w:val="28"/>
          <w:szCs w:val="28"/>
          <w:lang w:val="zh-CN"/>
        </w:rPr>
      </w:pPr>
      <w:r w:rsidRPr="00123108">
        <w:rPr>
          <w:rFonts w:ascii="宋体" w:hAnsi="宋体" w:cs="宋体" w:hint="eastAsia"/>
          <w:sz w:val="28"/>
          <w:szCs w:val="28"/>
          <w:lang w:val="zh-CN"/>
        </w:rPr>
        <w:t>采用有关事故分析软件对重大事故后果进行定量的计算和演示。</w:t>
      </w:r>
    </w:p>
    <w:p w:rsidR="004F34D9" w:rsidRPr="00123108" w:rsidRDefault="004F34D9" w:rsidP="00D06780">
      <w:pPr>
        <w:autoSpaceDE w:val="0"/>
        <w:autoSpaceDN w:val="0"/>
        <w:adjustRightInd w:val="0"/>
        <w:spacing w:line="500" w:lineRule="exact"/>
        <w:ind w:firstLineChars="222" w:firstLine="622"/>
        <w:rPr>
          <w:rFonts w:ascii="宋体" w:hAnsi="宋体" w:cs="宋体" w:hint="eastAsia"/>
          <w:sz w:val="28"/>
          <w:szCs w:val="28"/>
          <w:lang w:val="zh-CN"/>
        </w:rPr>
      </w:pPr>
      <w:r w:rsidRPr="00123108">
        <w:rPr>
          <w:rFonts w:ascii="宋体" w:hAnsi="宋体" w:cs="宋体" w:hint="eastAsia"/>
          <w:sz w:val="28"/>
          <w:szCs w:val="28"/>
          <w:lang w:val="zh-CN"/>
        </w:rPr>
        <w:t>火灾、爆炸、中毒是常见的重大事故，可能造成严重的人员伤亡和巨大的财产损失，影响社会安定。重大事故原因及灾害后果分析评价主要是根据不同的事故类型、不同的数学模型，定量地描述了一个可能发生的重大事故，对工厂、厂内职工、厂外居民，对环境造成危害的严重程度，例如泄漏、火灾、爆炸、中毒造成的死亡区、重伤区、轻伤区、安全区划分，破坏状况及财产损失情况等。该分析评价的结论将为企业或管理部门提供关于事故后果的信息，提供关于应采取何种防护措施的信息，如防火系统、报警系统或减压系统等信息，以达到减轻事故影响的目的，同时也以满足政府主管部门对重大危险源进行宏观分级监控和管理的需要。</w:t>
      </w:r>
    </w:p>
    <w:p w:rsidR="004F34D9" w:rsidRPr="00123108" w:rsidRDefault="004F34D9" w:rsidP="00D06780">
      <w:pPr>
        <w:autoSpaceDE w:val="0"/>
        <w:autoSpaceDN w:val="0"/>
        <w:adjustRightInd w:val="0"/>
        <w:spacing w:line="500" w:lineRule="exact"/>
        <w:ind w:firstLineChars="222" w:firstLine="622"/>
        <w:rPr>
          <w:rFonts w:ascii="宋体" w:hAnsi="宋体" w:cs="宋体" w:hint="eastAsia"/>
          <w:sz w:val="28"/>
          <w:szCs w:val="28"/>
          <w:lang w:val="zh-CN"/>
        </w:rPr>
      </w:pPr>
      <w:r w:rsidRPr="00123108">
        <w:rPr>
          <w:rFonts w:ascii="宋体" w:hAnsi="宋体" w:cs="宋体" w:hint="eastAsia"/>
          <w:sz w:val="28"/>
          <w:szCs w:val="28"/>
          <w:lang w:val="zh-CN"/>
        </w:rPr>
        <w:t>重大事故原因及灾害后果分析评价主要依据重大危险源可能导致的事故后果进行评价，主要考虑三种灾害形式：爆炸危险、火灾危险、毒物泄漏扩散危险。通过爆炸伤害模型、火灾伤害模型、毒物泄漏扩散模型的计算，以预测事故发生的死亡和受伤半径为主要评价指标，以死亡或受伤半径的大小进行重大危险源的分级。该方法应用时有如下原则与假设条件：</w:t>
      </w:r>
    </w:p>
    <w:p w:rsidR="004F34D9" w:rsidRPr="00123108" w:rsidRDefault="004F34D9" w:rsidP="00D06780">
      <w:pPr>
        <w:autoSpaceDE w:val="0"/>
        <w:autoSpaceDN w:val="0"/>
        <w:adjustRightInd w:val="0"/>
        <w:spacing w:line="500" w:lineRule="exact"/>
        <w:ind w:firstLineChars="222" w:firstLine="622"/>
        <w:rPr>
          <w:rFonts w:ascii="宋体" w:hAnsi="宋体" w:cs="宋体" w:hint="eastAsia"/>
          <w:sz w:val="28"/>
          <w:szCs w:val="28"/>
          <w:lang w:val="zh-CN"/>
        </w:rPr>
      </w:pPr>
      <w:r w:rsidRPr="00123108">
        <w:rPr>
          <w:rFonts w:ascii="宋体" w:hAnsi="宋体" w:cs="宋体" w:hint="eastAsia"/>
          <w:sz w:val="28"/>
          <w:szCs w:val="28"/>
          <w:lang w:val="zh-CN"/>
        </w:rPr>
        <w:t>原则：</w:t>
      </w:r>
    </w:p>
    <w:p w:rsidR="004F34D9" w:rsidRPr="00123108" w:rsidRDefault="004F34D9" w:rsidP="00D06780">
      <w:pPr>
        <w:autoSpaceDE w:val="0"/>
        <w:autoSpaceDN w:val="0"/>
        <w:adjustRightInd w:val="0"/>
        <w:spacing w:line="500" w:lineRule="exact"/>
        <w:ind w:firstLineChars="222" w:firstLine="622"/>
        <w:rPr>
          <w:rFonts w:ascii="宋体" w:hAnsi="宋体" w:cs="宋体" w:hint="eastAsia"/>
          <w:sz w:val="28"/>
          <w:szCs w:val="28"/>
          <w:lang w:val="zh-CN"/>
        </w:rPr>
      </w:pPr>
      <w:r w:rsidRPr="00123108">
        <w:rPr>
          <w:rFonts w:ascii="宋体" w:hAnsi="宋体" w:cs="宋体" w:hint="eastAsia"/>
          <w:sz w:val="28"/>
          <w:szCs w:val="28"/>
          <w:lang w:val="zh-CN"/>
        </w:rPr>
        <w:t>①最大危险原则。如果危险源具有多种危险物质或多种事故形态，按后果最严重的危险物质或事故形态考虑；如果一种危险物质具有多种事故形态，且它们的事故后果相差悬殊，则按后果最严重的事故形态考虑。</w:t>
      </w:r>
    </w:p>
    <w:p w:rsidR="004F34D9" w:rsidRPr="00123108" w:rsidRDefault="004F34D9" w:rsidP="00D06780">
      <w:pPr>
        <w:autoSpaceDE w:val="0"/>
        <w:autoSpaceDN w:val="0"/>
        <w:adjustRightInd w:val="0"/>
        <w:spacing w:line="500" w:lineRule="exact"/>
        <w:ind w:firstLineChars="222" w:firstLine="622"/>
        <w:rPr>
          <w:rFonts w:ascii="宋体" w:hAnsi="宋体" w:cs="宋体" w:hint="eastAsia"/>
          <w:sz w:val="28"/>
          <w:szCs w:val="28"/>
          <w:lang w:val="zh-CN"/>
        </w:rPr>
      </w:pPr>
      <w:r w:rsidRPr="00123108">
        <w:rPr>
          <w:rFonts w:ascii="宋体" w:hAnsi="宋体" w:cs="宋体" w:hint="eastAsia"/>
          <w:sz w:val="28"/>
          <w:szCs w:val="28"/>
          <w:lang w:val="zh-CN"/>
        </w:rPr>
        <w:t>②概率求和原则。如果一种危险物质具有多种事故形态，且它们的事故后果相差不太悬殊，则按统计平均原理估计总的事故后果。</w:t>
      </w:r>
    </w:p>
    <w:p w:rsidR="004F34D9" w:rsidRPr="00123108" w:rsidRDefault="004F34D9" w:rsidP="00D06780">
      <w:pPr>
        <w:autoSpaceDE w:val="0"/>
        <w:autoSpaceDN w:val="0"/>
        <w:adjustRightInd w:val="0"/>
        <w:spacing w:line="500" w:lineRule="exact"/>
        <w:ind w:firstLineChars="222" w:firstLine="622"/>
        <w:rPr>
          <w:rFonts w:ascii="宋体" w:hAnsi="宋体" w:cs="宋体" w:hint="eastAsia"/>
          <w:sz w:val="28"/>
          <w:szCs w:val="28"/>
          <w:lang w:val="zh-CN"/>
        </w:rPr>
      </w:pPr>
      <w:r w:rsidRPr="00123108">
        <w:rPr>
          <w:rFonts w:ascii="宋体" w:hAnsi="宋体" w:cs="宋体" w:hint="eastAsia"/>
          <w:sz w:val="28"/>
          <w:szCs w:val="28"/>
          <w:lang w:val="zh-CN"/>
        </w:rPr>
        <w:t>假设条件：</w:t>
      </w:r>
    </w:p>
    <w:p w:rsidR="004F34D9" w:rsidRPr="00123108" w:rsidRDefault="004F34D9" w:rsidP="00D06780">
      <w:pPr>
        <w:autoSpaceDE w:val="0"/>
        <w:autoSpaceDN w:val="0"/>
        <w:adjustRightInd w:val="0"/>
        <w:spacing w:line="500" w:lineRule="exact"/>
        <w:ind w:firstLineChars="222" w:firstLine="622"/>
        <w:rPr>
          <w:rFonts w:ascii="宋体" w:hAnsi="宋体" w:cs="宋体" w:hint="eastAsia"/>
          <w:sz w:val="28"/>
          <w:szCs w:val="28"/>
          <w:lang w:val="zh-CN"/>
        </w:rPr>
      </w:pPr>
      <w:r w:rsidRPr="00123108">
        <w:rPr>
          <w:rFonts w:ascii="宋体" w:hAnsi="宋体" w:cs="宋体" w:hint="eastAsia"/>
          <w:sz w:val="28"/>
          <w:szCs w:val="28"/>
          <w:lang w:val="zh-CN"/>
        </w:rPr>
        <w:t>①在估算事故后果时假设事故的伤害效用是各向相同性的，且无障碍物；</w:t>
      </w:r>
    </w:p>
    <w:p w:rsidR="004F34D9" w:rsidRPr="00123108" w:rsidRDefault="004F34D9" w:rsidP="00D06780">
      <w:pPr>
        <w:autoSpaceDE w:val="0"/>
        <w:autoSpaceDN w:val="0"/>
        <w:adjustRightInd w:val="0"/>
        <w:spacing w:line="500" w:lineRule="exact"/>
        <w:ind w:firstLineChars="221" w:firstLine="619"/>
        <w:rPr>
          <w:rFonts w:ascii="宋体" w:hAnsi="宋体" w:cs="宋体" w:hint="eastAsia"/>
          <w:sz w:val="28"/>
          <w:szCs w:val="28"/>
          <w:lang w:val="zh-CN"/>
        </w:rPr>
      </w:pPr>
      <w:r w:rsidRPr="00123108">
        <w:rPr>
          <w:rFonts w:ascii="宋体" w:hAnsi="宋体" w:cs="宋体" w:hint="eastAsia"/>
          <w:sz w:val="28"/>
          <w:szCs w:val="28"/>
          <w:lang w:val="zh-CN"/>
        </w:rPr>
        <w:t>②伤害区域是以单元的中心为圆心、以伤害半径为半径的圆形区域。</w:t>
      </w:r>
    </w:p>
    <w:p w:rsidR="004F34D9" w:rsidRPr="00123108" w:rsidRDefault="004F34D9" w:rsidP="00D06780">
      <w:pPr>
        <w:pStyle w:val="1"/>
        <w:keepLines/>
        <w:spacing w:beforeLines="0" w:before="0" w:afterLines="0" w:after="0" w:line="500" w:lineRule="exact"/>
        <w:rPr>
          <w:rFonts w:ascii="宋体" w:eastAsia="宋体" w:cs="宋体" w:hint="eastAsia"/>
          <w:bCs/>
          <w:kern w:val="44"/>
          <w:szCs w:val="44"/>
        </w:rPr>
        <w:sectPr w:rsidR="004F34D9" w:rsidRPr="00123108">
          <w:headerReference w:type="even" r:id="rId28"/>
          <w:footerReference w:type="even" r:id="rId29"/>
          <w:headerReference w:type="first" r:id="rId30"/>
          <w:footerReference w:type="first" r:id="rId31"/>
          <w:pgSz w:w="11906" w:h="16838"/>
          <w:pgMar w:top="1418" w:right="1134" w:bottom="1134" w:left="1588" w:header="851" w:footer="992" w:gutter="0"/>
          <w:cols w:space="720"/>
          <w:docGrid w:type="lines" w:linePitch="381"/>
        </w:sectPr>
      </w:pPr>
    </w:p>
    <w:p w:rsidR="004F34D9" w:rsidRPr="00123108" w:rsidRDefault="004F34D9" w:rsidP="00D06780">
      <w:pPr>
        <w:pStyle w:val="1"/>
        <w:spacing w:beforeLines="0" w:before="0" w:afterLines="0" w:after="0" w:line="500" w:lineRule="exact"/>
        <w:rPr>
          <w:rFonts w:ascii="宋体" w:eastAsia="宋体" w:cs="宋体" w:hint="eastAsia"/>
          <w:lang w:val="zh-CN"/>
        </w:rPr>
      </w:pPr>
      <w:bookmarkStart w:id="1974" w:name="_Toc190935932"/>
      <w:r w:rsidRPr="00123108">
        <w:rPr>
          <w:rFonts w:ascii="宋体" w:eastAsia="宋体" w:cs="宋体" w:hint="eastAsia"/>
          <w:lang w:val="zh-CN"/>
        </w:rPr>
        <w:lastRenderedPageBreak/>
        <w:t>附件</w:t>
      </w:r>
      <w:r w:rsidRPr="00123108">
        <w:rPr>
          <w:rFonts w:ascii="宋体" w:eastAsia="宋体" w:cs="宋体" w:hint="eastAsia"/>
        </w:rPr>
        <w:t>4</w:t>
      </w:r>
      <w:r w:rsidRPr="00123108">
        <w:rPr>
          <w:rFonts w:ascii="宋体" w:eastAsia="宋体" w:cs="宋体" w:hint="eastAsia"/>
          <w:lang w:val="zh-CN"/>
        </w:rPr>
        <w:t xml:space="preserve">  </w:t>
      </w:r>
      <w:r w:rsidRPr="00123108">
        <w:rPr>
          <w:rFonts w:ascii="宋体" w:eastAsia="宋体" w:cs="宋体" w:hint="eastAsia"/>
          <w:bCs/>
          <w:kern w:val="44"/>
          <w:szCs w:val="44"/>
        </w:rPr>
        <w:t>平面布置图等</w:t>
      </w:r>
      <w:r w:rsidRPr="00123108">
        <w:rPr>
          <w:rFonts w:ascii="宋体" w:eastAsia="宋体" w:cs="宋体" w:hint="eastAsia"/>
          <w:bCs/>
          <w:kern w:val="44"/>
          <w:szCs w:val="44"/>
          <w:lang w:val="zh-CN"/>
        </w:rPr>
        <w:t>附图</w:t>
      </w:r>
      <w:r w:rsidRPr="00123108">
        <w:rPr>
          <w:rFonts w:ascii="宋体" w:eastAsia="宋体" w:cs="宋体" w:hint="eastAsia"/>
          <w:bCs/>
          <w:kern w:val="44"/>
          <w:szCs w:val="44"/>
        </w:rPr>
        <w:t>及安全评价过程制作的图表</w:t>
      </w:r>
      <w:bookmarkEnd w:id="1974"/>
    </w:p>
    <w:p w:rsidR="004F34D9" w:rsidRPr="00123108" w:rsidRDefault="004F34D9" w:rsidP="00D06780">
      <w:pPr>
        <w:pStyle w:val="2"/>
        <w:spacing w:line="500" w:lineRule="exact"/>
        <w:jc w:val="both"/>
        <w:rPr>
          <w:rFonts w:ascii="宋体" w:eastAsia="宋体" w:cs="宋体" w:hint="eastAsia"/>
          <w:sz w:val="28"/>
          <w:szCs w:val="28"/>
        </w:rPr>
      </w:pPr>
      <w:bookmarkStart w:id="1975" w:name="_Toc190935933"/>
      <w:r w:rsidRPr="00123108">
        <w:rPr>
          <w:rFonts w:ascii="宋体" w:eastAsia="宋体" w:cs="宋体" w:hint="eastAsia"/>
          <w:sz w:val="28"/>
          <w:szCs w:val="28"/>
        </w:rPr>
        <w:t>附件4.1物料的理化及危险特性表</w:t>
      </w:r>
      <w:bookmarkEnd w:id="1975"/>
    </w:p>
    <w:p w:rsidR="004F34D9" w:rsidRPr="00123108" w:rsidRDefault="004F34D9" w:rsidP="00D06780">
      <w:pPr>
        <w:pStyle w:val="2fd"/>
        <w:spacing w:line="500" w:lineRule="exact"/>
        <w:ind w:firstLineChars="0" w:firstLine="0"/>
        <w:jc w:val="center"/>
        <w:rPr>
          <w:rFonts w:ascii="黑体" w:eastAsia="黑体" w:hAnsi="黑体" w:hint="eastAsia"/>
          <w:b/>
          <w:sz w:val="28"/>
          <w:szCs w:val="28"/>
        </w:rPr>
      </w:pPr>
      <w:bookmarkStart w:id="1976" w:name="_Toc117472903"/>
      <w:r w:rsidRPr="00123108">
        <w:rPr>
          <w:rFonts w:ascii="黑体" w:eastAsia="黑体" w:hAnsi="黑体" w:hint="eastAsia"/>
          <w:b/>
          <w:sz w:val="28"/>
          <w:szCs w:val="28"/>
        </w:rPr>
        <w:t>附表4.1-1 氮气的理化及危险特性</w:t>
      </w:r>
      <w:bookmarkEnd w:id="1976"/>
    </w:p>
    <w:tbl>
      <w:tblPr>
        <w:tblW w:w="9174" w:type="dxa"/>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
        <w:gridCol w:w="262"/>
        <w:gridCol w:w="105"/>
        <w:gridCol w:w="2940"/>
        <w:gridCol w:w="2907"/>
        <w:gridCol w:w="2492"/>
      </w:tblGrid>
      <w:tr w:rsidR="004F34D9" w:rsidRPr="00123108">
        <w:trPr>
          <w:cantSplit/>
          <w:trHeight w:val="20"/>
          <w:jc w:val="center"/>
        </w:trPr>
        <w:tc>
          <w:tcPr>
            <w:tcW w:w="468" w:type="dxa"/>
            <w:vMerge w:val="restart"/>
            <w:tcBorders>
              <w:top w:val="single" w:sz="4" w:space="0" w:color="auto"/>
              <w:left w:val="single" w:sz="4" w:space="0" w:color="auto"/>
              <w:right w:val="single" w:sz="4" w:space="0" w:color="auto"/>
            </w:tcBorders>
            <w:vAlign w:val="center"/>
          </w:tcPr>
          <w:p w:rsidR="004F34D9" w:rsidRPr="00123108" w:rsidRDefault="004F34D9">
            <w:pPr>
              <w:spacing w:line="318" w:lineRule="exact"/>
              <w:jc w:val="center"/>
              <w:rPr>
                <w:rFonts w:ascii="宋体" w:hAnsi="宋体" w:hint="eastAsia"/>
              </w:rPr>
            </w:pPr>
            <w:r w:rsidRPr="00123108">
              <w:rPr>
                <w:rFonts w:ascii="宋体" w:hAnsi="宋体" w:hint="eastAsia"/>
              </w:rPr>
              <w:t>标</w:t>
            </w:r>
          </w:p>
          <w:p w:rsidR="004F34D9" w:rsidRPr="00123108" w:rsidRDefault="004F34D9">
            <w:pPr>
              <w:spacing w:line="318" w:lineRule="exact"/>
              <w:jc w:val="center"/>
              <w:rPr>
                <w:rFonts w:ascii="宋体" w:hAnsi="宋体"/>
              </w:rPr>
            </w:pPr>
            <w:r w:rsidRPr="00123108">
              <w:rPr>
                <w:rFonts w:ascii="宋体" w:hAnsi="宋体" w:hint="eastAsia"/>
              </w:rPr>
              <w:t>识</w:t>
            </w:r>
          </w:p>
        </w:tc>
        <w:tc>
          <w:tcPr>
            <w:tcW w:w="3307"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rPr>
            </w:pPr>
            <w:r w:rsidRPr="00123108">
              <w:rPr>
                <w:rFonts w:ascii="宋体" w:hAnsi="宋体" w:hint="eastAsia"/>
              </w:rPr>
              <w:t>中文名：氮；氮气</w:t>
            </w:r>
            <w:r w:rsidRPr="00123108">
              <w:rPr>
                <w:rFonts w:ascii="宋体" w:hAnsi="宋体"/>
              </w:rPr>
              <w:t xml:space="preserve">  </w:t>
            </w:r>
          </w:p>
        </w:tc>
        <w:tc>
          <w:tcPr>
            <w:tcW w:w="5399"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rPr>
            </w:pPr>
            <w:r w:rsidRPr="00123108">
              <w:rPr>
                <w:rFonts w:ascii="宋体" w:hAnsi="宋体" w:hint="eastAsia"/>
              </w:rPr>
              <w:t>英文名：</w:t>
            </w:r>
            <w:r w:rsidRPr="00123108">
              <w:rPr>
                <w:rFonts w:ascii="宋体" w:hAnsi="宋体"/>
              </w:rPr>
              <w:t xml:space="preserve"> </w:t>
            </w:r>
            <w:r w:rsidRPr="00123108">
              <w:rPr>
                <w:rFonts w:ascii="宋体" w:hAnsi="宋体" w:hint="eastAsia"/>
              </w:rPr>
              <w:t>nitrogen</w:t>
            </w:r>
          </w:p>
        </w:tc>
      </w:tr>
      <w:tr w:rsidR="004F34D9" w:rsidRPr="00123108">
        <w:trPr>
          <w:cantSplit/>
          <w:trHeight w:val="20"/>
          <w:jc w:val="center"/>
        </w:trPr>
        <w:tc>
          <w:tcPr>
            <w:tcW w:w="468" w:type="dxa"/>
            <w:vMerge/>
            <w:tcBorders>
              <w:left w:val="single" w:sz="4" w:space="0" w:color="auto"/>
              <w:right w:val="single" w:sz="4" w:space="0" w:color="auto"/>
            </w:tcBorders>
            <w:vAlign w:val="center"/>
          </w:tcPr>
          <w:p w:rsidR="004F34D9" w:rsidRPr="00123108" w:rsidRDefault="004F34D9">
            <w:pPr>
              <w:spacing w:line="318" w:lineRule="exact"/>
              <w:jc w:val="center"/>
              <w:rPr>
                <w:rFonts w:ascii="宋体" w:hAnsi="宋体"/>
              </w:rPr>
            </w:pPr>
          </w:p>
        </w:tc>
        <w:tc>
          <w:tcPr>
            <w:tcW w:w="3307" w:type="dxa"/>
            <w:gridSpan w:val="3"/>
            <w:tcBorders>
              <w:top w:val="nil"/>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spacing w:val="-20"/>
              </w:rPr>
            </w:pPr>
            <w:r w:rsidRPr="00123108">
              <w:rPr>
                <w:rFonts w:ascii="宋体" w:hAnsi="宋体" w:hint="eastAsia"/>
              </w:rPr>
              <w:t>分子式： N</w:t>
            </w:r>
            <w:r w:rsidRPr="00123108">
              <w:rPr>
                <w:rFonts w:ascii="宋体" w:hAnsi="宋体" w:hint="eastAsia"/>
                <w:vertAlign w:val="subscript"/>
              </w:rPr>
              <w:t>2</w:t>
            </w:r>
          </w:p>
        </w:tc>
        <w:tc>
          <w:tcPr>
            <w:tcW w:w="2907" w:type="dxa"/>
            <w:tcBorders>
              <w:top w:val="nil"/>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rPr>
            </w:pPr>
            <w:r w:rsidRPr="00123108">
              <w:rPr>
                <w:rFonts w:ascii="宋体" w:hAnsi="宋体" w:hint="eastAsia"/>
              </w:rPr>
              <w:t>分子量：28.01</w:t>
            </w:r>
          </w:p>
        </w:tc>
        <w:tc>
          <w:tcPr>
            <w:tcW w:w="2492" w:type="dxa"/>
            <w:tcBorders>
              <w:top w:val="nil"/>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spacing w:val="-20"/>
              </w:rPr>
            </w:pPr>
            <w:r w:rsidRPr="00123108">
              <w:rPr>
                <w:rFonts w:ascii="宋体" w:hAnsi="宋体" w:hint="eastAsia"/>
              </w:rPr>
              <w:t>UN编号： 1066</w:t>
            </w:r>
          </w:p>
        </w:tc>
      </w:tr>
      <w:tr w:rsidR="004F34D9" w:rsidRPr="00123108">
        <w:trPr>
          <w:cantSplit/>
          <w:trHeight w:val="20"/>
          <w:jc w:val="center"/>
        </w:trPr>
        <w:tc>
          <w:tcPr>
            <w:tcW w:w="468" w:type="dxa"/>
            <w:vMerge/>
            <w:tcBorders>
              <w:left w:val="single" w:sz="4" w:space="0" w:color="auto"/>
              <w:right w:val="single" w:sz="4" w:space="0" w:color="auto"/>
            </w:tcBorders>
            <w:vAlign w:val="center"/>
          </w:tcPr>
          <w:p w:rsidR="004F34D9" w:rsidRPr="00123108" w:rsidRDefault="004F34D9">
            <w:pPr>
              <w:spacing w:line="318" w:lineRule="exact"/>
              <w:jc w:val="center"/>
              <w:rPr>
                <w:rFonts w:ascii="宋体" w:hAnsi="宋体"/>
              </w:rPr>
            </w:pPr>
          </w:p>
        </w:tc>
        <w:tc>
          <w:tcPr>
            <w:tcW w:w="3307"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rPr>
            </w:pPr>
            <w:r w:rsidRPr="00123108">
              <w:rPr>
                <w:rFonts w:ascii="宋体" w:hAnsi="宋体" w:hint="eastAsia"/>
              </w:rPr>
              <w:t>危险性类别：第2.</w:t>
            </w:r>
            <w:r w:rsidRPr="00123108">
              <w:rPr>
                <w:rFonts w:ascii="宋体" w:hAnsi="宋体"/>
              </w:rPr>
              <w:t>2</w:t>
            </w:r>
            <w:r w:rsidRPr="00123108">
              <w:rPr>
                <w:rFonts w:ascii="宋体" w:hAnsi="宋体" w:hint="eastAsia"/>
              </w:rPr>
              <w:t>类</w:t>
            </w:r>
            <w:r w:rsidRPr="00123108">
              <w:rPr>
                <w:rFonts w:ascii="宋体" w:hAnsi="宋体"/>
              </w:rPr>
              <w:t xml:space="preserve"> </w:t>
            </w:r>
            <w:r w:rsidRPr="00123108">
              <w:rPr>
                <w:rFonts w:ascii="宋体" w:hAnsi="宋体" w:hint="eastAsia"/>
              </w:rPr>
              <w:t>不燃气体</w:t>
            </w:r>
          </w:p>
        </w:tc>
        <w:tc>
          <w:tcPr>
            <w:tcW w:w="2907"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rPr>
            </w:pPr>
            <w:r w:rsidRPr="00123108">
              <w:rPr>
                <w:rFonts w:ascii="宋体" w:hAnsi="宋体" w:hint="eastAsia"/>
                <w:szCs w:val="21"/>
              </w:rPr>
              <w:t>危化品目录序号：</w:t>
            </w:r>
            <w:r w:rsidRPr="00123108">
              <w:rPr>
                <w:rFonts w:ascii="宋体" w:hAnsi="宋体" w:hint="eastAsia"/>
              </w:rPr>
              <w:t>172</w:t>
            </w:r>
          </w:p>
        </w:tc>
        <w:tc>
          <w:tcPr>
            <w:tcW w:w="2492"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rPr>
            </w:pPr>
            <w:r w:rsidRPr="00123108">
              <w:rPr>
                <w:rFonts w:ascii="宋体" w:hAnsi="宋体" w:hint="eastAsia"/>
              </w:rPr>
              <w:t>CAS号：7727-37-9</w:t>
            </w:r>
          </w:p>
        </w:tc>
      </w:tr>
      <w:tr w:rsidR="004F34D9" w:rsidRPr="00123108">
        <w:trPr>
          <w:cantSplit/>
          <w:trHeight w:val="20"/>
          <w:jc w:val="center"/>
        </w:trPr>
        <w:tc>
          <w:tcPr>
            <w:tcW w:w="468" w:type="dxa"/>
            <w:vMerge/>
            <w:tcBorders>
              <w:left w:val="single" w:sz="4" w:space="0" w:color="auto"/>
              <w:bottom w:val="nil"/>
              <w:right w:val="single" w:sz="4" w:space="0" w:color="auto"/>
            </w:tcBorders>
            <w:vAlign w:val="center"/>
          </w:tcPr>
          <w:p w:rsidR="004F34D9" w:rsidRPr="00123108" w:rsidRDefault="004F34D9">
            <w:pPr>
              <w:spacing w:line="318" w:lineRule="exact"/>
              <w:jc w:val="center"/>
              <w:rPr>
                <w:rFonts w:ascii="宋体" w:hAnsi="宋体"/>
              </w:rPr>
            </w:pPr>
          </w:p>
        </w:tc>
        <w:tc>
          <w:tcPr>
            <w:tcW w:w="3307"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rPr>
            </w:pPr>
            <w:r w:rsidRPr="00123108">
              <w:rPr>
                <w:rFonts w:ascii="宋体" w:hAnsi="宋体" w:hint="eastAsia"/>
              </w:rPr>
              <w:t xml:space="preserve">包装标志：不燃气体 </w:t>
            </w:r>
          </w:p>
        </w:tc>
        <w:tc>
          <w:tcPr>
            <w:tcW w:w="5399"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position w:val="-8"/>
              </w:rPr>
            </w:pPr>
            <w:r w:rsidRPr="00123108">
              <w:rPr>
                <w:rFonts w:ascii="宋体" w:hAnsi="宋体" w:hint="eastAsia"/>
              </w:rPr>
              <w:t>包装类别和方法：</w:t>
            </w:r>
            <w:r w:rsidRPr="00123108">
              <w:rPr>
                <w:rFonts w:ascii="宋体" w:hAnsi="宋体"/>
              </w:rPr>
              <w:t xml:space="preserve"> </w:t>
            </w:r>
            <w:r w:rsidRPr="00123108">
              <w:rPr>
                <w:rFonts w:ascii="宋体" w:hAnsi="宋体" w:hint="eastAsia"/>
              </w:rPr>
              <w:t>Ⅲ类包装； 钢质气瓶</w:t>
            </w:r>
          </w:p>
        </w:tc>
      </w:tr>
      <w:tr w:rsidR="004F34D9" w:rsidRPr="00123108">
        <w:trPr>
          <w:cantSplit/>
          <w:trHeight w:val="20"/>
          <w:jc w:val="center"/>
        </w:trPr>
        <w:tc>
          <w:tcPr>
            <w:tcW w:w="468" w:type="dxa"/>
            <w:vMerge w:val="restart"/>
            <w:tcBorders>
              <w:top w:val="single" w:sz="4" w:space="0" w:color="auto"/>
              <w:left w:val="single" w:sz="4" w:space="0" w:color="auto"/>
              <w:bottom w:val="nil"/>
              <w:right w:val="single" w:sz="4" w:space="0" w:color="auto"/>
            </w:tcBorders>
            <w:vAlign w:val="center"/>
          </w:tcPr>
          <w:p w:rsidR="004F34D9" w:rsidRPr="00123108" w:rsidRDefault="004F34D9">
            <w:pPr>
              <w:spacing w:line="318" w:lineRule="exact"/>
              <w:jc w:val="center"/>
              <w:rPr>
                <w:rFonts w:ascii="宋体" w:hAnsi="宋体" w:hint="eastAsia"/>
              </w:rPr>
            </w:pPr>
            <w:r w:rsidRPr="00123108">
              <w:rPr>
                <w:rFonts w:ascii="宋体" w:hAnsi="宋体" w:hint="eastAsia"/>
              </w:rPr>
              <w:t>理</w:t>
            </w:r>
          </w:p>
          <w:p w:rsidR="004F34D9" w:rsidRPr="00123108" w:rsidRDefault="004F34D9">
            <w:pPr>
              <w:spacing w:line="318" w:lineRule="exact"/>
              <w:jc w:val="center"/>
              <w:rPr>
                <w:rFonts w:ascii="宋体" w:hAnsi="宋体" w:hint="eastAsia"/>
              </w:rPr>
            </w:pPr>
            <w:r w:rsidRPr="00123108">
              <w:rPr>
                <w:rFonts w:ascii="宋体" w:hAnsi="宋体" w:hint="eastAsia"/>
              </w:rPr>
              <w:t>化</w:t>
            </w:r>
          </w:p>
          <w:p w:rsidR="004F34D9" w:rsidRPr="00123108" w:rsidRDefault="004F34D9">
            <w:pPr>
              <w:spacing w:line="318" w:lineRule="exact"/>
              <w:jc w:val="center"/>
              <w:rPr>
                <w:rFonts w:ascii="宋体" w:hAnsi="宋体" w:hint="eastAsia"/>
              </w:rPr>
            </w:pPr>
            <w:r w:rsidRPr="00123108">
              <w:rPr>
                <w:rFonts w:ascii="宋体" w:hAnsi="宋体" w:hint="eastAsia"/>
              </w:rPr>
              <w:t>性</w:t>
            </w:r>
          </w:p>
          <w:p w:rsidR="004F34D9" w:rsidRPr="00123108" w:rsidRDefault="004F34D9">
            <w:pPr>
              <w:spacing w:line="318" w:lineRule="exact"/>
              <w:jc w:val="center"/>
              <w:rPr>
                <w:rFonts w:ascii="宋体" w:hAnsi="宋体" w:hint="eastAsia"/>
              </w:rPr>
            </w:pPr>
            <w:r w:rsidRPr="00123108">
              <w:rPr>
                <w:rFonts w:ascii="宋体" w:hAnsi="宋体" w:hint="eastAsia"/>
              </w:rPr>
              <w:t>质</w:t>
            </w:r>
          </w:p>
        </w:tc>
        <w:tc>
          <w:tcPr>
            <w:tcW w:w="8706" w:type="dxa"/>
            <w:gridSpan w:val="5"/>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snapToGrid w:val="0"/>
                <w:kern w:val="0"/>
              </w:rPr>
            </w:pPr>
            <w:r w:rsidRPr="00123108">
              <w:rPr>
                <w:rFonts w:ascii="宋体" w:hAnsi="宋体" w:hint="eastAsia"/>
                <w:snapToGrid w:val="0"/>
                <w:kern w:val="0"/>
              </w:rPr>
              <w:t>外观与性状：</w:t>
            </w:r>
            <w:r w:rsidRPr="00123108">
              <w:rPr>
                <w:rFonts w:ascii="宋体" w:hAnsi="宋体" w:hint="eastAsia"/>
              </w:rPr>
              <w:t>无色无臭气体</w:t>
            </w:r>
          </w:p>
        </w:tc>
      </w:tr>
      <w:tr w:rsidR="004F34D9" w:rsidRPr="00123108">
        <w:trPr>
          <w:cantSplit/>
          <w:trHeight w:val="20"/>
          <w:jc w:val="center"/>
        </w:trPr>
        <w:tc>
          <w:tcPr>
            <w:tcW w:w="468" w:type="dxa"/>
            <w:vMerge/>
            <w:tcBorders>
              <w:top w:val="single" w:sz="4" w:space="0" w:color="auto"/>
              <w:left w:val="single" w:sz="4" w:space="0" w:color="auto"/>
              <w:bottom w:val="nil"/>
              <w:right w:val="single" w:sz="4" w:space="0" w:color="auto"/>
            </w:tcBorders>
            <w:vAlign w:val="center"/>
          </w:tcPr>
          <w:p w:rsidR="004F34D9" w:rsidRPr="00123108" w:rsidRDefault="004F34D9">
            <w:pPr>
              <w:spacing w:line="318" w:lineRule="exact"/>
              <w:jc w:val="center"/>
              <w:rPr>
                <w:rFonts w:ascii="宋体" w:hAnsi="宋体" w:hint="eastAsia"/>
              </w:rPr>
            </w:pPr>
          </w:p>
        </w:tc>
        <w:tc>
          <w:tcPr>
            <w:tcW w:w="8706" w:type="dxa"/>
            <w:gridSpan w:val="5"/>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rPr>
            </w:pPr>
            <w:r w:rsidRPr="00123108">
              <w:rPr>
                <w:rFonts w:ascii="宋体" w:hAnsi="宋体" w:hint="eastAsia"/>
              </w:rPr>
              <w:t>溶解性</w:t>
            </w:r>
            <w:r w:rsidRPr="00123108">
              <w:rPr>
                <w:rFonts w:ascii="宋体" w:hAnsi="宋体"/>
                <w:spacing w:val="-20"/>
              </w:rPr>
              <w:t>：</w:t>
            </w:r>
            <w:r w:rsidRPr="00123108">
              <w:rPr>
                <w:rFonts w:ascii="宋体" w:hAnsi="宋体" w:hint="eastAsia"/>
              </w:rPr>
              <w:t>微溶于水、乙醇</w:t>
            </w:r>
          </w:p>
        </w:tc>
      </w:tr>
      <w:tr w:rsidR="004F34D9" w:rsidRPr="00123108">
        <w:trPr>
          <w:cantSplit/>
          <w:trHeight w:val="20"/>
          <w:jc w:val="center"/>
        </w:trPr>
        <w:tc>
          <w:tcPr>
            <w:tcW w:w="468" w:type="dxa"/>
            <w:vMerge/>
            <w:tcBorders>
              <w:top w:val="nil"/>
              <w:left w:val="single" w:sz="4" w:space="0" w:color="auto"/>
              <w:bottom w:val="nil"/>
              <w:right w:val="single" w:sz="4" w:space="0" w:color="auto"/>
            </w:tcBorders>
            <w:vAlign w:val="center"/>
          </w:tcPr>
          <w:p w:rsidR="004F34D9" w:rsidRPr="00123108" w:rsidRDefault="004F34D9">
            <w:pPr>
              <w:spacing w:line="318" w:lineRule="exact"/>
              <w:jc w:val="center"/>
              <w:rPr>
                <w:rFonts w:ascii="宋体" w:hAnsi="宋体"/>
              </w:rPr>
            </w:pPr>
          </w:p>
        </w:tc>
        <w:tc>
          <w:tcPr>
            <w:tcW w:w="3307"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spacing w:val="-20"/>
              </w:rPr>
            </w:pPr>
            <w:r w:rsidRPr="00123108">
              <w:rPr>
                <w:rFonts w:ascii="宋体" w:hAnsi="宋体" w:hint="eastAsia"/>
              </w:rPr>
              <w:t>熔点(℃):</w:t>
            </w:r>
            <w:r w:rsidRPr="00123108">
              <w:rPr>
                <w:rFonts w:ascii="宋体" w:hAnsi="宋体"/>
              </w:rPr>
              <w:t>-</w:t>
            </w:r>
            <w:r w:rsidRPr="00123108">
              <w:rPr>
                <w:rFonts w:ascii="宋体" w:hAnsi="宋体" w:hint="eastAsia"/>
              </w:rPr>
              <w:t>209.8</w:t>
            </w:r>
          </w:p>
        </w:tc>
        <w:tc>
          <w:tcPr>
            <w:tcW w:w="5399"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rPr>
            </w:pPr>
            <w:r w:rsidRPr="00123108">
              <w:rPr>
                <w:rFonts w:ascii="宋体" w:hAnsi="宋体" w:hint="eastAsia"/>
              </w:rPr>
              <w:t>沸点℃:</w:t>
            </w:r>
            <w:r w:rsidRPr="00123108">
              <w:rPr>
                <w:rFonts w:ascii="宋体" w:hAnsi="宋体"/>
              </w:rPr>
              <w:t>-</w:t>
            </w:r>
            <w:r w:rsidRPr="00123108">
              <w:rPr>
                <w:rFonts w:ascii="宋体" w:hAnsi="宋体" w:hint="eastAsia"/>
              </w:rPr>
              <w:t>195.6</w:t>
            </w:r>
          </w:p>
        </w:tc>
      </w:tr>
      <w:tr w:rsidR="004F34D9" w:rsidRPr="00123108">
        <w:trPr>
          <w:cantSplit/>
          <w:trHeight w:val="20"/>
          <w:jc w:val="center"/>
        </w:trPr>
        <w:tc>
          <w:tcPr>
            <w:tcW w:w="468" w:type="dxa"/>
            <w:vMerge/>
            <w:tcBorders>
              <w:top w:val="nil"/>
              <w:left w:val="single" w:sz="4" w:space="0" w:color="auto"/>
              <w:bottom w:val="nil"/>
              <w:right w:val="single" w:sz="4" w:space="0" w:color="auto"/>
            </w:tcBorders>
            <w:vAlign w:val="center"/>
          </w:tcPr>
          <w:p w:rsidR="004F34D9" w:rsidRPr="00123108" w:rsidRDefault="004F34D9">
            <w:pPr>
              <w:spacing w:line="318" w:lineRule="exact"/>
              <w:jc w:val="center"/>
              <w:rPr>
                <w:rFonts w:ascii="宋体" w:hAnsi="宋体"/>
              </w:rPr>
            </w:pPr>
          </w:p>
        </w:tc>
        <w:tc>
          <w:tcPr>
            <w:tcW w:w="3307"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snapToGrid w:val="0"/>
                <w:spacing w:val="-20"/>
                <w:kern w:val="0"/>
              </w:rPr>
            </w:pPr>
            <w:r w:rsidRPr="00123108">
              <w:rPr>
                <w:rFonts w:ascii="宋体" w:hAnsi="宋体" w:hint="eastAsia"/>
                <w:snapToGrid w:val="0"/>
                <w:kern w:val="0"/>
              </w:rPr>
              <w:t>相对密度(水＝1)</w:t>
            </w:r>
            <w:r w:rsidRPr="00123108">
              <w:rPr>
                <w:rFonts w:ascii="宋体" w:hAnsi="宋体" w:hint="eastAsia"/>
              </w:rPr>
              <w:t xml:space="preserve"> :</w:t>
            </w:r>
            <w:r w:rsidRPr="00123108">
              <w:rPr>
                <w:rFonts w:ascii="宋体" w:hAnsi="宋体" w:hint="eastAsia"/>
                <w:snapToGrid w:val="0"/>
                <w:kern w:val="0"/>
              </w:rPr>
              <w:t>0.81</w:t>
            </w:r>
            <w:r w:rsidRPr="00123108">
              <w:rPr>
                <w:rFonts w:ascii="宋体" w:hAnsi="宋体"/>
                <w:snapToGrid w:val="0"/>
                <w:kern w:val="0"/>
              </w:rPr>
              <w:t>(-</w:t>
            </w:r>
            <w:r w:rsidRPr="00123108">
              <w:rPr>
                <w:rFonts w:ascii="宋体" w:hAnsi="宋体" w:hint="eastAsia"/>
                <w:snapToGrid w:val="0"/>
                <w:kern w:val="0"/>
              </w:rPr>
              <w:t>196℃</w:t>
            </w:r>
            <w:r w:rsidRPr="00123108">
              <w:rPr>
                <w:rFonts w:ascii="宋体" w:hAnsi="宋体"/>
                <w:snapToGrid w:val="0"/>
                <w:kern w:val="0"/>
              </w:rPr>
              <w:t>)</w:t>
            </w:r>
          </w:p>
        </w:tc>
        <w:tc>
          <w:tcPr>
            <w:tcW w:w="5399"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rPr>
            </w:pPr>
            <w:r w:rsidRPr="00123108">
              <w:rPr>
                <w:rFonts w:ascii="宋体" w:hAnsi="宋体" w:hint="eastAsia"/>
                <w:snapToGrid w:val="0"/>
                <w:kern w:val="0"/>
              </w:rPr>
              <w:t>相对密度</w:t>
            </w:r>
            <w:r w:rsidRPr="00123108">
              <w:rPr>
                <w:rFonts w:ascii="宋体" w:hAnsi="宋体" w:hint="eastAsia"/>
              </w:rPr>
              <w:t>(空气＝1) :0.97</w:t>
            </w:r>
          </w:p>
        </w:tc>
      </w:tr>
      <w:tr w:rsidR="004F34D9" w:rsidRPr="00123108">
        <w:trPr>
          <w:cantSplit/>
          <w:trHeight w:val="20"/>
          <w:jc w:val="center"/>
        </w:trPr>
        <w:tc>
          <w:tcPr>
            <w:tcW w:w="468" w:type="dxa"/>
            <w:vMerge/>
            <w:tcBorders>
              <w:top w:val="nil"/>
              <w:left w:val="single" w:sz="4" w:space="0" w:color="auto"/>
              <w:bottom w:val="nil"/>
              <w:right w:val="single" w:sz="4" w:space="0" w:color="auto"/>
            </w:tcBorders>
            <w:vAlign w:val="center"/>
          </w:tcPr>
          <w:p w:rsidR="004F34D9" w:rsidRPr="00123108" w:rsidRDefault="004F34D9">
            <w:pPr>
              <w:spacing w:line="318" w:lineRule="exact"/>
              <w:jc w:val="center"/>
              <w:rPr>
                <w:rFonts w:ascii="宋体" w:hAnsi="宋体"/>
              </w:rPr>
            </w:pPr>
          </w:p>
        </w:tc>
        <w:tc>
          <w:tcPr>
            <w:tcW w:w="3307"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spacing w:val="-20"/>
              </w:rPr>
            </w:pPr>
            <w:r w:rsidRPr="00123108">
              <w:rPr>
                <w:rFonts w:ascii="宋体" w:hAnsi="宋体" w:hint="eastAsia"/>
              </w:rPr>
              <w:t>临界温度(℃) :</w:t>
            </w:r>
            <w:r w:rsidRPr="00123108">
              <w:rPr>
                <w:rFonts w:ascii="宋体" w:hAnsi="宋体"/>
              </w:rPr>
              <w:t>-</w:t>
            </w:r>
            <w:r w:rsidRPr="00123108">
              <w:rPr>
                <w:rFonts w:ascii="宋体" w:hAnsi="宋体" w:hint="eastAsia"/>
              </w:rPr>
              <w:t>147</w:t>
            </w:r>
          </w:p>
        </w:tc>
        <w:tc>
          <w:tcPr>
            <w:tcW w:w="5399"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spacing w:val="-20"/>
              </w:rPr>
            </w:pPr>
            <w:r w:rsidRPr="00123108">
              <w:rPr>
                <w:rFonts w:ascii="宋体" w:hAnsi="宋体" w:hint="eastAsia"/>
              </w:rPr>
              <w:t>临界压力(MPa) :3.40</w:t>
            </w:r>
          </w:p>
        </w:tc>
      </w:tr>
      <w:tr w:rsidR="004F34D9" w:rsidRPr="00123108">
        <w:trPr>
          <w:cantSplit/>
          <w:trHeight w:val="20"/>
          <w:jc w:val="center"/>
        </w:trPr>
        <w:tc>
          <w:tcPr>
            <w:tcW w:w="468" w:type="dxa"/>
            <w:vMerge/>
            <w:tcBorders>
              <w:top w:val="nil"/>
              <w:left w:val="single" w:sz="4" w:space="0" w:color="auto"/>
              <w:bottom w:val="nil"/>
              <w:right w:val="single" w:sz="4" w:space="0" w:color="auto"/>
            </w:tcBorders>
            <w:vAlign w:val="center"/>
          </w:tcPr>
          <w:p w:rsidR="004F34D9" w:rsidRPr="00123108" w:rsidRDefault="004F34D9">
            <w:pPr>
              <w:spacing w:line="318" w:lineRule="exact"/>
              <w:jc w:val="center"/>
              <w:rPr>
                <w:rFonts w:ascii="宋体" w:hAnsi="宋体"/>
              </w:rPr>
            </w:pPr>
          </w:p>
        </w:tc>
        <w:tc>
          <w:tcPr>
            <w:tcW w:w="3307"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spacing w:val="-20"/>
              </w:rPr>
            </w:pPr>
            <w:r w:rsidRPr="00123108">
              <w:rPr>
                <w:rFonts w:ascii="宋体" w:hAnsi="宋体" w:hint="eastAsia"/>
              </w:rPr>
              <w:t>燃烧热(kJ/mol) :无意义</w:t>
            </w:r>
          </w:p>
        </w:tc>
        <w:tc>
          <w:tcPr>
            <w:tcW w:w="5399"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spacing w:val="-20"/>
              </w:rPr>
            </w:pPr>
            <w:r w:rsidRPr="00123108">
              <w:rPr>
                <w:rFonts w:ascii="宋体" w:hAnsi="宋体" w:hint="eastAsia"/>
              </w:rPr>
              <w:t>饱和蒸气压(kPa) :1026.42(</w:t>
            </w:r>
            <w:r w:rsidRPr="00123108">
              <w:rPr>
                <w:rFonts w:ascii="宋体" w:hAnsi="宋体"/>
              </w:rPr>
              <w:t>-</w:t>
            </w:r>
            <w:r w:rsidRPr="00123108">
              <w:rPr>
                <w:rFonts w:ascii="宋体" w:hAnsi="宋体" w:hint="eastAsia"/>
              </w:rPr>
              <w:t>173℃)</w:t>
            </w:r>
          </w:p>
        </w:tc>
      </w:tr>
      <w:tr w:rsidR="004F34D9" w:rsidRPr="00123108">
        <w:trPr>
          <w:cantSplit/>
          <w:trHeight w:val="20"/>
          <w:jc w:val="center"/>
        </w:trPr>
        <w:tc>
          <w:tcPr>
            <w:tcW w:w="468" w:type="dxa"/>
            <w:vMerge w:val="restart"/>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jc w:val="center"/>
              <w:rPr>
                <w:rFonts w:ascii="宋体" w:hAnsi="宋体" w:hint="eastAsia"/>
                <w:spacing w:val="-20"/>
              </w:rPr>
            </w:pPr>
            <w:r w:rsidRPr="00123108">
              <w:rPr>
                <w:rFonts w:ascii="宋体" w:hAnsi="宋体" w:hint="eastAsia"/>
                <w:spacing w:val="-20"/>
              </w:rPr>
              <w:t>燃</w:t>
            </w:r>
          </w:p>
          <w:p w:rsidR="004F34D9" w:rsidRPr="00123108" w:rsidRDefault="004F34D9">
            <w:pPr>
              <w:spacing w:line="318" w:lineRule="exact"/>
              <w:jc w:val="center"/>
              <w:rPr>
                <w:rFonts w:ascii="宋体" w:hAnsi="宋体" w:hint="eastAsia"/>
                <w:spacing w:val="-20"/>
              </w:rPr>
            </w:pPr>
            <w:r w:rsidRPr="00123108">
              <w:rPr>
                <w:rFonts w:ascii="宋体" w:hAnsi="宋体" w:hint="eastAsia"/>
                <w:spacing w:val="-20"/>
              </w:rPr>
              <w:t>烧</w:t>
            </w:r>
          </w:p>
          <w:p w:rsidR="004F34D9" w:rsidRPr="00123108" w:rsidRDefault="004F34D9">
            <w:pPr>
              <w:spacing w:line="318" w:lineRule="exact"/>
              <w:jc w:val="center"/>
              <w:rPr>
                <w:rFonts w:ascii="宋体" w:hAnsi="宋体" w:hint="eastAsia"/>
                <w:spacing w:val="-20"/>
              </w:rPr>
            </w:pPr>
            <w:r w:rsidRPr="00123108">
              <w:rPr>
                <w:rFonts w:ascii="宋体" w:hAnsi="宋体" w:hint="eastAsia"/>
                <w:spacing w:val="-20"/>
              </w:rPr>
              <w:t>爆</w:t>
            </w:r>
          </w:p>
          <w:p w:rsidR="004F34D9" w:rsidRPr="00123108" w:rsidRDefault="004F34D9">
            <w:pPr>
              <w:spacing w:line="318" w:lineRule="exact"/>
              <w:jc w:val="center"/>
              <w:rPr>
                <w:rFonts w:ascii="宋体" w:hAnsi="宋体" w:hint="eastAsia"/>
                <w:spacing w:val="-20"/>
              </w:rPr>
            </w:pPr>
            <w:r w:rsidRPr="00123108">
              <w:rPr>
                <w:rFonts w:ascii="宋体" w:hAnsi="宋体" w:hint="eastAsia"/>
                <w:spacing w:val="-20"/>
              </w:rPr>
              <w:t>炸</w:t>
            </w:r>
          </w:p>
          <w:p w:rsidR="004F34D9" w:rsidRPr="00123108" w:rsidRDefault="004F34D9">
            <w:pPr>
              <w:spacing w:line="318" w:lineRule="exact"/>
              <w:jc w:val="center"/>
              <w:rPr>
                <w:rFonts w:ascii="宋体" w:hAnsi="宋体" w:hint="eastAsia"/>
                <w:spacing w:val="-20"/>
              </w:rPr>
            </w:pPr>
            <w:r w:rsidRPr="00123108">
              <w:rPr>
                <w:rFonts w:ascii="宋体" w:hAnsi="宋体" w:hint="eastAsia"/>
                <w:spacing w:val="-20"/>
              </w:rPr>
              <w:t>危</w:t>
            </w:r>
          </w:p>
          <w:p w:rsidR="004F34D9" w:rsidRPr="00123108" w:rsidRDefault="004F34D9">
            <w:pPr>
              <w:spacing w:line="318" w:lineRule="exact"/>
              <w:jc w:val="center"/>
              <w:rPr>
                <w:rFonts w:ascii="宋体" w:hAnsi="宋体" w:hint="eastAsia"/>
                <w:spacing w:val="-20"/>
              </w:rPr>
            </w:pPr>
            <w:r w:rsidRPr="00123108">
              <w:rPr>
                <w:rFonts w:ascii="宋体" w:hAnsi="宋体" w:hint="eastAsia"/>
                <w:spacing w:val="-20"/>
              </w:rPr>
              <w:t>险</w:t>
            </w:r>
          </w:p>
          <w:p w:rsidR="004F34D9" w:rsidRPr="00123108" w:rsidRDefault="004F34D9">
            <w:pPr>
              <w:spacing w:line="318" w:lineRule="exact"/>
              <w:jc w:val="center"/>
              <w:rPr>
                <w:rFonts w:ascii="宋体" w:hAnsi="宋体"/>
                <w:spacing w:val="-20"/>
              </w:rPr>
            </w:pPr>
            <w:r w:rsidRPr="00123108">
              <w:rPr>
                <w:rFonts w:ascii="宋体" w:hAnsi="宋体" w:hint="eastAsia"/>
                <w:spacing w:val="-20"/>
              </w:rPr>
              <w:t>性</w:t>
            </w:r>
          </w:p>
        </w:tc>
        <w:tc>
          <w:tcPr>
            <w:tcW w:w="3307"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rPr>
            </w:pPr>
            <w:r w:rsidRPr="00123108">
              <w:rPr>
                <w:rFonts w:ascii="宋体" w:hAnsi="宋体" w:hint="eastAsia"/>
              </w:rPr>
              <w:t>燃烧性:不燃</w:t>
            </w:r>
            <w:r w:rsidRPr="00123108">
              <w:rPr>
                <w:rFonts w:ascii="宋体" w:hAnsi="宋体"/>
              </w:rPr>
              <w:t xml:space="preserve"> </w:t>
            </w:r>
          </w:p>
        </w:tc>
        <w:tc>
          <w:tcPr>
            <w:tcW w:w="5399"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rPr>
            </w:pPr>
            <w:r w:rsidRPr="00123108">
              <w:rPr>
                <w:rFonts w:ascii="宋体" w:hAnsi="宋体" w:hint="eastAsia"/>
              </w:rPr>
              <w:t>引燃温度(℃) :无意义</w:t>
            </w:r>
          </w:p>
        </w:tc>
      </w:tr>
      <w:tr w:rsidR="004F34D9" w:rsidRPr="00123108">
        <w:trPr>
          <w:cantSplit/>
          <w:trHeight w:val="20"/>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jc w:val="center"/>
              <w:rPr>
                <w:rFonts w:ascii="宋体" w:hAnsi="宋体" w:hint="eastAsia"/>
                <w:spacing w:val="-20"/>
              </w:rPr>
            </w:pPr>
          </w:p>
        </w:tc>
        <w:tc>
          <w:tcPr>
            <w:tcW w:w="3307"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rPr>
            </w:pPr>
            <w:r w:rsidRPr="00123108">
              <w:rPr>
                <w:rFonts w:ascii="宋体" w:hAnsi="宋体" w:hint="eastAsia"/>
              </w:rPr>
              <w:t>闪点(℃) :无意义</w:t>
            </w:r>
          </w:p>
        </w:tc>
        <w:tc>
          <w:tcPr>
            <w:tcW w:w="5399"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rPr>
            </w:pPr>
            <w:r w:rsidRPr="00123108">
              <w:rPr>
                <w:rFonts w:ascii="宋体" w:hAnsi="宋体" w:hint="eastAsia"/>
              </w:rPr>
              <w:t>最小点火能(mJ) :无意义</w:t>
            </w:r>
          </w:p>
        </w:tc>
      </w:tr>
      <w:tr w:rsidR="004F34D9" w:rsidRPr="00123108">
        <w:trPr>
          <w:cantSplit/>
          <w:trHeight w:val="20"/>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jc w:val="center"/>
              <w:rPr>
                <w:rFonts w:ascii="宋体" w:hAnsi="宋体" w:hint="eastAsia"/>
                <w:spacing w:val="-20"/>
              </w:rPr>
            </w:pPr>
          </w:p>
        </w:tc>
        <w:tc>
          <w:tcPr>
            <w:tcW w:w="3307"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rPr>
            </w:pPr>
            <w:r w:rsidRPr="00123108">
              <w:rPr>
                <w:rFonts w:ascii="宋体" w:hAnsi="宋体" w:hint="eastAsia"/>
              </w:rPr>
              <w:t>爆炸极限(体积分数)/% :无意义</w:t>
            </w:r>
          </w:p>
        </w:tc>
        <w:tc>
          <w:tcPr>
            <w:tcW w:w="5399"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rPr>
            </w:pPr>
            <w:r w:rsidRPr="00123108">
              <w:rPr>
                <w:rFonts w:ascii="宋体" w:hAnsi="宋体" w:hint="eastAsia"/>
              </w:rPr>
              <w:t>最大爆炸压力</w:t>
            </w:r>
            <w:r w:rsidRPr="00123108">
              <w:rPr>
                <w:rFonts w:ascii="宋体" w:hAnsi="宋体"/>
              </w:rPr>
              <w:t>(MPa)</w:t>
            </w:r>
            <w:r w:rsidRPr="00123108">
              <w:rPr>
                <w:rFonts w:ascii="宋体" w:hAnsi="宋体" w:hint="eastAsia"/>
              </w:rPr>
              <w:t xml:space="preserve"> :无意义</w:t>
            </w:r>
          </w:p>
        </w:tc>
      </w:tr>
      <w:tr w:rsidR="004F34D9" w:rsidRPr="00123108">
        <w:trPr>
          <w:cantSplit/>
          <w:trHeight w:val="20"/>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jc w:val="center"/>
              <w:rPr>
                <w:rFonts w:ascii="宋体" w:hAnsi="宋体" w:hint="eastAsia"/>
                <w:spacing w:val="-20"/>
              </w:rPr>
            </w:pPr>
          </w:p>
        </w:tc>
        <w:tc>
          <w:tcPr>
            <w:tcW w:w="3307"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rPr>
            </w:pPr>
            <w:r w:rsidRPr="00123108">
              <w:rPr>
                <w:rFonts w:ascii="宋体" w:hAnsi="宋体" w:hint="eastAsia"/>
              </w:rPr>
              <w:t>稳定性:稳定</w:t>
            </w:r>
          </w:p>
        </w:tc>
        <w:tc>
          <w:tcPr>
            <w:tcW w:w="5399"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rPr>
            </w:pPr>
            <w:r w:rsidRPr="00123108">
              <w:rPr>
                <w:rFonts w:ascii="宋体" w:hAnsi="宋体" w:hint="eastAsia"/>
              </w:rPr>
              <w:t>聚合危害:不聚合</w:t>
            </w:r>
          </w:p>
        </w:tc>
      </w:tr>
      <w:tr w:rsidR="004F34D9" w:rsidRPr="00123108">
        <w:trPr>
          <w:cantSplit/>
          <w:trHeight w:val="20"/>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jc w:val="center"/>
              <w:rPr>
                <w:rFonts w:ascii="宋体" w:hAnsi="宋体" w:hint="eastAsia"/>
                <w:spacing w:val="-20"/>
              </w:rPr>
            </w:pPr>
          </w:p>
        </w:tc>
        <w:tc>
          <w:tcPr>
            <w:tcW w:w="8706" w:type="dxa"/>
            <w:gridSpan w:val="5"/>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rPr>
            </w:pPr>
            <w:r w:rsidRPr="00123108">
              <w:rPr>
                <w:rFonts w:ascii="宋体" w:hAnsi="宋体" w:hint="eastAsia"/>
              </w:rPr>
              <w:t>燃烧（分解）产物:氮气</w:t>
            </w:r>
          </w:p>
        </w:tc>
      </w:tr>
      <w:tr w:rsidR="004F34D9" w:rsidRPr="00123108">
        <w:trPr>
          <w:cantSplit/>
          <w:trHeight w:val="20"/>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jc w:val="center"/>
              <w:rPr>
                <w:rFonts w:ascii="宋体" w:hAnsi="宋体" w:hint="eastAsia"/>
                <w:spacing w:val="-20"/>
              </w:rPr>
            </w:pPr>
          </w:p>
        </w:tc>
        <w:tc>
          <w:tcPr>
            <w:tcW w:w="8706" w:type="dxa"/>
            <w:gridSpan w:val="5"/>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rPr>
            </w:pPr>
            <w:r w:rsidRPr="00123108">
              <w:rPr>
                <w:rFonts w:ascii="宋体" w:hAnsi="宋体" w:hint="eastAsia"/>
              </w:rPr>
              <w:t>禁忌物：</w:t>
            </w:r>
          </w:p>
        </w:tc>
      </w:tr>
      <w:tr w:rsidR="004F34D9" w:rsidRPr="00123108">
        <w:trPr>
          <w:cantSplit/>
          <w:trHeight w:val="20"/>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jc w:val="center"/>
              <w:rPr>
                <w:rFonts w:ascii="宋体" w:hAnsi="宋体" w:hint="eastAsia"/>
                <w:spacing w:val="-20"/>
              </w:rPr>
            </w:pPr>
          </w:p>
        </w:tc>
        <w:tc>
          <w:tcPr>
            <w:tcW w:w="8706" w:type="dxa"/>
            <w:gridSpan w:val="5"/>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rPr>
            </w:pPr>
            <w:r w:rsidRPr="00123108">
              <w:rPr>
                <w:rFonts w:ascii="宋体" w:hAnsi="宋体" w:hint="eastAsia"/>
              </w:rPr>
              <w:t>危险特性：若遇高热，容器内压增大，有开裂和爆炸的危险。</w:t>
            </w:r>
          </w:p>
        </w:tc>
      </w:tr>
      <w:tr w:rsidR="004F34D9" w:rsidRPr="00123108">
        <w:trPr>
          <w:cantSplit/>
          <w:trHeight w:val="20"/>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jc w:val="center"/>
              <w:rPr>
                <w:rFonts w:ascii="宋体" w:hAnsi="宋体"/>
                <w:spacing w:val="-20"/>
              </w:rPr>
            </w:pPr>
          </w:p>
        </w:tc>
        <w:tc>
          <w:tcPr>
            <w:tcW w:w="8706" w:type="dxa"/>
            <w:gridSpan w:val="5"/>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rPr>
            </w:pPr>
            <w:r w:rsidRPr="00123108">
              <w:rPr>
                <w:rFonts w:ascii="宋体" w:hAnsi="宋体" w:hint="eastAsia"/>
              </w:rPr>
              <w:t>灭火方法：本品不燃。尽可能将容器从火场移至空旷处。用雾状水保持火场容器冷却，直至灭火结束。</w:t>
            </w:r>
          </w:p>
        </w:tc>
      </w:tr>
      <w:tr w:rsidR="004F34D9" w:rsidRPr="00123108">
        <w:trPr>
          <w:cantSplit/>
          <w:trHeight w:val="20"/>
          <w:jc w:val="center"/>
        </w:trPr>
        <w:tc>
          <w:tcPr>
            <w:tcW w:w="468" w:type="dxa"/>
            <w:vMerge w:val="restart"/>
            <w:tcBorders>
              <w:top w:val="single" w:sz="4" w:space="0" w:color="auto"/>
              <w:left w:val="single" w:sz="4" w:space="0" w:color="auto"/>
              <w:right w:val="single" w:sz="4" w:space="0" w:color="auto"/>
            </w:tcBorders>
            <w:vAlign w:val="center"/>
          </w:tcPr>
          <w:p w:rsidR="004F34D9" w:rsidRPr="00123108" w:rsidRDefault="004F34D9">
            <w:pPr>
              <w:spacing w:line="318" w:lineRule="exact"/>
              <w:jc w:val="center"/>
              <w:rPr>
                <w:rFonts w:ascii="宋体" w:hAnsi="宋体" w:hint="eastAsia"/>
              </w:rPr>
            </w:pPr>
            <w:r w:rsidRPr="00123108">
              <w:rPr>
                <w:rFonts w:ascii="宋体" w:hAnsi="宋体" w:hint="eastAsia"/>
              </w:rPr>
              <w:t>健</w:t>
            </w:r>
          </w:p>
          <w:p w:rsidR="004F34D9" w:rsidRPr="00123108" w:rsidRDefault="004F34D9">
            <w:pPr>
              <w:spacing w:line="318" w:lineRule="exact"/>
              <w:jc w:val="center"/>
              <w:rPr>
                <w:rFonts w:ascii="宋体" w:hAnsi="宋体" w:hint="eastAsia"/>
              </w:rPr>
            </w:pPr>
            <w:r w:rsidRPr="00123108">
              <w:rPr>
                <w:rFonts w:ascii="宋体" w:hAnsi="宋体" w:hint="eastAsia"/>
              </w:rPr>
              <w:t>康</w:t>
            </w:r>
          </w:p>
          <w:p w:rsidR="004F34D9" w:rsidRPr="00123108" w:rsidRDefault="004F34D9">
            <w:pPr>
              <w:spacing w:line="318" w:lineRule="exact"/>
              <w:jc w:val="center"/>
              <w:rPr>
                <w:rFonts w:ascii="宋体" w:hAnsi="宋体" w:hint="eastAsia"/>
              </w:rPr>
            </w:pPr>
            <w:r w:rsidRPr="00123108">
              <w:rPr>
                <w:rFonts w:ascii="宋体" w:hAnsi="宋体" w:hint="eastAsia"/>
              </w:rPr>
              <w:t>危</w:t>
            </w:r>
          </w:p>
          <w:p w:rsidR="004F34D9" w:rsidRPr="00123108" w:rsidRDefault="004F34D9">
            <w:pPr>
              <w:spacing w:line="318" w:lineRule="exact"/>
              <w:jc w:val="center"/>
              <w:rPr>
                <w:rFonts w:ascii="宋体" w:hAnsi="宋体"/>
              </w:rPr>
            </w:pPr>
            <w:r w:rsidRPr="00123108">
              <w:rPr>
                <w:rFonts w:ascii="宋体" w:hAnsi="宋体" w:hint="eastAsia"/>
              </w:rPr>
              <w:t>害</w:t>
            </w:r>
          </w:p>
        </w:tc>
        <w:tc>
          <w:tcPr>
            <w:tcW w:w="8706" w:type="dxa"/>
            <w:gridSpan w:val="5"/>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rPr>
            </w:pPr>
            <w:r w:rsidRPr="00123108">
              <w:rPr>
                <w:rFonts w:ascii="宋体" w:hAnsi="宋体" w:hint="eastAsia"/>
              </w:rPr>
              <w:t>侵入途经：吸入。</w:t>
            </w:r>
          </w:p>
        </w:tc>
      </w:tr>
      <w:tr w:rsidR="004F34D9" w:rsidRPr="00123108">
        <w:trPr>
          <w:cantSplit/>
          <w:trHeight w:val="20"/>
          <w:jc w:val="center"/>
        </w:trPr>
        <w:tc>
          <w:tcPr>
            <w:tcW w:w="468" w:type="dxa"/>
            <w:vMerge/>
            <w:tcBorders>
              <w:left w:val="single" w:sz="4" w:space="0" w:color="auto"/>
              <w:bottom w:val="single" w:sz="4" w:space="0" w:color="auto"/>
              <w:right w:val="single" w:sz="4" w:space="0" w:color="auto"/>
            </w:tcBorders>
            <w:vAlign w:val="center"/>
          </w:tcPr>
          <w:p w:rsidR="004F34D9" w:rsidRPr="00123108" w:rsidRDefault="004F34D9">
            <w:pPr>
              <w:spacing w:line="318" w:lineRule="exact"/>
              <w:jc w:val="center"/>
              <w:rPr>
                <w:rFonts w:ascii="宋体" w:hAnsi="宋体" w:hint="eastAsia"/>
              </w:rPr>
            </w:pPr>
          </w:p>
        </w:tc>
        <w:tc>
          <w:tcPr>
            <w:tcW w:w="8706" w:type="dxa"/>
            <w:gridSpan w:val="5"/>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rPr>
            </w:pPr>
            <w:r w:rsidRPr="00123108">
              <w:rPr>
                <w:rFonts w:ascii="宋体" w:hAnsi="宋体" w:hint="eastAsia"/>
              </w:rPr>
              <w:t>空气中氮气含量过高，使吸入气氧分压下降，引起缺氧窒息。吸入氮气浓度不太高时，患者最初感胸闷、气短、疲软无力；继而有烦躁不安、极度兴奋、乱跑、叫喊、神情恍惚、步态不稳，称之为“氮酩酊”可进入昏睡或昏迷状态。吸入高浓度，患者可迅速昏迷、因呼吸和心跳停止而死亡。</w:t>
            </w:r>
          </w:p>
        </w:tc>
      </w:tr>
      <w:tr w:rsidR="004F34D9" w:rsidRPr="00123108">
        <w:trPr>
          <w:cantSplit/>
          <w:trHeight w:val="20"/>
          <w:jc w:val="center"/>
        </w:trPr>
        <w:tc>
          <w:tcPr>
            <w:tcW w:w="835"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jc w:val="center"/>
              <w:rPr>
                <w:rFonts w:ascii="宋体" w:hAnsi="宋体" w:hint="eastAsia"/>
              </w:rPr>
            </w:pPr>
            <w:r w:rsidRPr="00123108">
              <w:rPr>
                <w:rFonts w:ascii="宋体" w:hAnsi="宋体" w:hint="eastAsia"/>
              </w:rPr>
              <w:t>毒性</w:t>
            </w:r>
          </w:p>
        </w:tc>
        <w:tc>
          <w:tcPr>
            <w:tcW w:w="8339"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rPr>
            </w:pPr>
            <w:r w:rsidRPr="00123108">
              <w:rPr>
                <w:rFonts w:ascii="宋体" w:hAnsi="宋体"/>
              </w:rPr>
              <w:t>LD</w:t>
            </w:r>
            <w:r w:rsidRPr="00123108">
              <w:rPr>
                <w:rFonts w:ascii="宋体" w:hAnsi="宋体"/>
                <w:vertAlign w:val="subscript"/>
              </w:rPr>
              <w:t>50</w:t>
            </w:r>
            <w:r w:rsidRPr="00123108">
              <w:rPr>
                <w:rFonts w:ascii="宋体" w:hAnsi="宋体" w:hint="eastAsia"/>
              </w:rPr>
              <w:t xml:space="preserve">:无资料       </w:t>
            </w:r>
            <w:r w:rsidRPr="00123108">
              <w:rPr>
                <w:rFonts w:ascii="宋体" w:hAnsi="宋体"/>
              </w:rPr>
              <w:t>LC</w:t>
            </w:r>
            <w:r w:rsidRPr="00123108">
              <w:rPr>
                <w:rFonts w:ascii="宋体" w:hAnsi="宋体"/>
                <w:vertAlign w:val="subscript"/>
              </w:rPr>
              <w:t>50</w:t>
            </w:r>
            <w:r w:rsidRPr="00123108">
              <w:rPr>
                <w:rFonts w:ascii="宋体" w:hAnsi="宋体" w:hint="eastAsia"/>
              </w:rPr>
              <w:t>:无资料</w:t>
            </w:r>
          </w:p>
        </w:tc>
      </w:tr>
      <w:tr w:rsidR="004F34D9" w:rsidRPr="00123108">
        <w:trPr>
          <w:cantSplit/>
          <w:trHeight w:val="20"/>
          <w:jc w:val="center"/>
        </w:trPr>
        <w:tc>
          <w:tcPr>
            <w:tcW w:w="468" w:type="dxa"/>
            <w:tcBorders>
              <w:top w:val="single" w:sz="4" w:space="0" w:color="auto"/>
              <w:left w:val="single" w:sz="4" w:space="0" w:color="auto"/>
              <w:bottom w:val="nil"/>
              <w:right w:val="single" w:sz="4" w:space="0" w:color="auto"/>
            </w:tcBorders>
            <w:vAlign w:val="center"/>
          </w:tcPr>
          <w:p w:rsidR="004F34D9" w:rsidRPr="00123108" w:rsidRDefault="004F34D9">
            <w:pPr>
              <w:spacing w:line="318" w:lineRule="exact"/>
              <w:jc w:val="center"/>
              <w:rPr>
                <w:rFonts w:ascii="宋体" w:hAnsi="宋体" w:hint="eastAsia"/>
              </w:rPr>
            </w:pPr>
            <w:r w:rsidRPr="00123108">
              <w:rPr>
                <w:rFonts w:ascii="宋体" w:hAnsi="宋体" w:hint="eastAsia"/>
              </w:rPr>
              <w:t>急</w:t>
            </w:r>
          </w:p>
          <w:p w:rsidR="004F34D9" w:rsidRPr="00123108" w:rsidRDefault="004F34D9">
            <w:pPr>
              <w:spacing w:line="318" w:lineRule="exact"/>
              <w:jc w:val="center"/>
              <w:rPr>
                <w:rFonts w:ascii="宋体" w:hAnsi="宋体" w:hint="eastAsia"/>
              </w:rPr>
            </w:pPr>
            <w:r w:rsidRPr="00123108">
              <w:rPr>
                <w:rFonts w:ascii="宋体" w:hAnsi="宋体" w:hint="eastAsia"/>
              </w:rPr>
              <w:t>救</w:t>
            </w:r>
          </w:p>
        </w:tc>
        <w:tc>
          <w:tcPr>
            <w:tcW w:w="8706" w:type="dxa"/>
            <w:gridSpan w:val="5"/>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rPr>
            </w:pPr>
            <w:r w:rsidRPr="00123108">
              <w:rPr>
                <w:rFonts w:ascii="宋体" w:hAnsi="宋体" w:hint="eastAsia"/>
              </w:rPr>
              <w:t>吸入：迅速脱离现场至空气新鲜处，保持呼吸道通畅。如呼吸困难，给输氧。呼吸停止时，立即进行人工呼吸和胸外心脏按压术，就医。</w:t>
            </w:r>
          </w:p>
        </w:tc>
      </w:tr>
      <w:tr w:rsidR="004F34D9" w:rsidRPr="00123108">
        <w:trPr>
          <w:cantSplit/>
          <w:trHeight w:val="20"/>
          <w:jc w:val="center"/>
        </w:trPr>
        <w:tc>
          <w:tcPr>
            <w:tcW w:w="468"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jc w:val="center"/>
              <w:rPr>
                <w:rFonts w:ascii="宋体" w:hAnsi="宋体" w:hint="eastAsia"/>
              </w:rPr>
            </w:pPr>
            <w:r w:rsidRPr="00123108">
              <w:rPr>
                <w:rFonts w:ascii="宋体" w:hAnsi="宋体" w:hint="eastAsia"/>
              </w:rPr>
              <w:t>防</w:t>
            </w:r>
          </w:p>
          <w:p w:rsidR="004F34D9" w:rsidRPr="00123108" w:rsidRDefault="004F34D9">
            <w:pPr>
              <w:spacing w:line="318" w:lineRule="exact"/>
              <w:jc w:val="center"/>
              <w:rPr>
                <w:rFonts w:ascii="宋体" w:hAnsi="宋体" w:hint="eastAsia"/>
              </w:rPr>
            </w:pPr>
            <w:r w:rsidRPr="00123108">
              <w:rPr>
                <w:rFonts w:ascii="宋体" w:hAnsi="宋体" w:hint="eastAsia"/>
              </w:rPr>
              <w:t>护</w:t>
            </w:r>
          </w:p>
        </w:tc>
        <w:tc>
          <w:tcPr>
            <w:tcW w:w="8706" w:type="dxa"/>
            <w:gridSpan w:val="5"/>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rPr>
            </w:pPr>
            <w:r w:rsidRPr="00123108">
              <w:rPr>
                <w:rFonts w:ascii="宋体" w:hAnsi="宋体" w:hint="eastAsia"/>
              </w:rPr>
              <w:t>工程控制：密闭操作，提供良好的自然通风条件。  呼吸系统防护：一般不需特殊防护。当作业场所空气中氧气浓度低于18%时，必须佩戴空气呼吸器、氧气呼吸器或长管面具。眼睛防护：一般不需特殊防护。身体防护：穿一般作业工作服。手防护：戴一般作业防护手套。其它：避免高浓度吸入。进入罐、限制性空间或其它高浓度作业区，须有人监护。</w:t>
            </w:r>
          </w:p>
        </w:tc>
      </w:tr>
      <w:tr w:rsidR="004F34D9" w:rsidRPr="00123108">
        <w:trPr>
          <w:cantSplit/>
          <w:trHeight w:val="20"/>
          <w:jc w:val="center"/>
        </w:trPr>
        <w:tc>
          <w:tcPr>
            <w:tcW w:w="730"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jc w:val="center"/>
              <w:rPr>
                <w:rFonts w:ascii="宋体" w:hAnsi="宋体" w:hint="eastAsia"/>
              </w:rPr>
            </w:pPr>
            <w:r w:rsidRPr="00123108">
              <w:rPr>
                <w:rFonts w:ascii="宋体" w:hAnsi="宋体" w:hint="eastAsia"/>
              </w:rPr>
              <w:t>泄漏</w:t>
            </w:r>
          </w:p>
          <w:p w:rsidR="004F34D9" w:rsidRPr="00123108" w:rsidRDefault="004F34D9">
            <w:pPr>
              <w:spacing w:line="318" w:lineRule="exact"/>
              <w:jc w:val="center"/>
              <w:rPr>
                <w:rFonts w:ascii="宋体" w:hAnsi="宋体" w:hint="eastAsia"/>
              </w:rPr>
            </w:pPr>
            <w:r w:rsidRPr="00123108">
              <w:rPr>
                <w:rFonts w:ascii="宋体" w:hAnsi="宋体" w:hint="eastAsia"/>
              </w:rPr>
              <w:t>处理</w:t>
            </w:r>
          </w:p>
        </w:tc>
        <w:tc>
          <w:tcPr>
            <w:tcW w:w="8444" w:type="dxa"/>
            <w:gridSpan w:val="4"/>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rPr>
            </w:pPr>
            <w:r w:rsidRPr="00123108">
              <w:rPr>
                <w:rFonts w:ascii="宋体" w:hAnsi="宋体" w:hint="eastAsia"/>
              </w:rPr>
              <w:t>迅速撤离泄漏污染区人员至上风处，并进行隔离，严格限制出入。建议应急处理人员戴自给正压式呼吸器，穿一般作业工作服。尽可能切断泄漏源。合理通风，加速扩散。泄漏容器要妥善处理，修复、检测后再用。</w:t>
            </w:r>
          </w:p>
        </w:tc>
      </w:tr>
      <w:tr w:rsidR="004F34D9" w:rsidRPr="00123108">
        <w:trPr>
          <w:cantSplit/>
          <w:trHeight w:val="950"/>
          <w:jc w:val="center"/>
        </w:trPr>
        <w:tc>
          <w:tcPr>
            <w:tcW w:w="468" w:type="dxa"/>
            <w:tcBorders>
              <w:top w:val="nil"/>
              <w:left w:val="single" w:sz="4" w:space="0" w:color="auto"/>
              <w:bottom w:val="single" w:sz="4" w:space="0" w:color="auto"/>
              <w:right w:val="single" w:sz="4" w:space="0" w:color="auto"/>
            </w:tcBorders>
            <w:vAlign w:val="center"/>
          </w:tcPr>
          <w:p w:rsidR="004F34D9" w:rsidRPr="00123108" w:rsidRDefault="004F34D9">
            <w:pPr>
              <w:spacing w:line="318" w:lineRule="exact"/>
              <w:jc w:val="center"/>
              <w:rPr>
                <w:rFonts w:ascii="宋体" w:hAnsi="宋体" w:hint="eastAsia"/>
              </w:rPr>
            </w:pPr>
            <w:r w:rsidRPr="00123108">
              <w:rPr>
                <w:rFonts w:ascii="宋体" w:hAnsi="宋体" w:hint="eastAsia"/>
              </w:rPr>
              <w:t>储</w:t>
            </w:r>
          </w:p>
          <w:p w:rsidR="004F34D9" w:rsidRPr="00123108" w:rsidRDefault="004F34D9">
            <w:pPr>
              <w:spacing w:line="318" w:lineRule="exact"/>
              <w:jc w:val="center"/>
              <w:rPr>
                <w:rFonts w:ascii="宋体" w:hAnsi="宋体"/>
              </w:rPr>
            </w:pPr>
            <w:r w:rsidRPr="00123108">
              <w:rPr>
                <w:rFonts w:ascii="宋体" w:hAnsi="宋体" w:hint="eastAsia"/>
              </w:rPr>
              <w:t>运</w:t>
            </w:r>
          </w:p>
        </w:tc>
        <w:tc>
          <w:tcPr>
            <w:tcW w:w="8706" w:type="dxa"/>
            <w:gridSpan w:val="5"/>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318" w:lineRule="exact"/>
              <w:rPr>
                <w:rFonts w:ascii="宋体" w:hAnsi="宋体" w:hint="eastAsia"/>
              </w:rPr>
            </w:pPr>
            <w:r w:rsidRPr="00123108">
              <w:rPr>
                <w:rFonts w:ascii="宋体" w:hAnsi="宋体" w:hint="eastAsia"/>
              </w:rPr>
              <w:t>不燃性压缩气体。储存于阴凉、通风仓间内。仓内温度不宜超过30℃。远离火种、热源。防止阳光直射。验收时要注意品名，注意验瓶日期，先进仓的先发用。搬运时轻装轻卸，防止钢瓶及附件破损。</w:t>
            </w:r>
            <w:r w:rsidRPr="00123108">
              <w:rPr>
                <w:rFonts w:ascii="宋体" w:hAnsi="宋体"/>
              </w:rPr>
              <w:t xml:space="preserve">   </w:t>
            </w:r>
            <w:r w:rsidRPr="00123108">
              <w:rPr>
                <w:rFonts w:ascii="宋体" w:hAnsi="宋体"/>
              </w:rPr>
              <w:tab/>
            </w:r>
          </w:p>
        </w:tc>
      </w:tr>
    </w:tbl>
    <w:p w:rsidR="004F34D9" w:rsidRPr="00123108" w:rsidRDefault="004F34D9">
      <w:pPr>
        <w:autoSpaceDE w:val="0"/>
        <w:autoSpaceDN w:val="0"/>
        <w:adjustRightInd w:val="0"/>
        <w:spacing w:line="360" w:lineRule="auto"/>
        <w:outlineLvl w:val="1"/>
        <w:rPr>
          <w:rFonts w:ascii="宋体" w:hAnsi="宋体"/>
          <w:kern w:val="0"/>
          <w:sz w:val="28"/>
          <w:szCs w:val="28"/>
        </w:rPr>
        <w:sectPr w:rsidR="004F34D9" w:rsidRPr="00123108">
          <w:pgSz w:w="11907" w:h="16840"/>
          <w:pgMar w:top="1418" w:right="1134" w:bottom="1134" w:left="1588" w:header="851" w:footer="992" w:gutter="0"/>
          <w:paperSrc w:first="7" w:other="7"/>
          <w:cols w:space="720"/>
          <w:docGrid w:linePitch="437" w:charSpace="4301"/>
        </w:sectPr>
      </w:pPr>
    </w:p>
    <w:p w:rsidR="004F34D9" w:rsidRPr="00123108" w:rsidRDefault="004F34D9">
      <w:pPr>
        <w:pStyle w:val="2fd"/>
        <w:ind w:firstLineChars="0" w:firstLine="0"/>
        <w:jc w:val="center"/>
        <w:rPr>
          <w:rFonts w:hint="eastAsia"/>
          <w:b/>
          <w:sz w:val="28"/>
          <w:szCs w:val="28"/>
        </w:rPr>
      </w:pPr>
      <w:r w:rsidRPr="00123108">
        <w:rPr>
          <w:rFonts w:hint="eastAsia"/>
          <w:b/>
          <w:sz w:val="28"/>
          <w:szCs w:val="28"/>
        </w:rPr>
        <w:lastRenderedPageBreak/>
        <w:t>附表</w:t>
      </w:r>
      <w:r w:rsidRPr="00123108">
        <w:rPr>
          <w:rFonts w:hint="eastAsia"/>
          <w:b/>
          <w:sz w:val="28"/>
          <w:szCs w:val="28"/>
        </w:rPr>
        <w:t>4.1-2</w:t>
      </w:r>
      <w:r w:rsidRPr="00123108">
        <w:rPr>
          <w:rFonts w:hint="eastAsia"/>
          <w:b/>
          <w:sz w:val="28"/>
          <w:szCs w:val="28"/>
        </w:rPr>
        <w:t>苯乙烯的理化及危险特性</w:t>
      </w:r>
    </w:p>
    <w:tbl>
      <w:tblPr>
        <w:tblW w:w="917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3707"/>
        <w:gridCol w:w="636"/>
        <w:gridCol w:w="2173"/>
        <w:gridCol w:w="2170"/>
      </w:tblGrid>
      <w:tr w:rsidR="004F34D9" w:rsidRPr="00123108">
        <w:trPr>
          <w:cantSplit/>
          <w:jc w:val="center"/>
        </w:trPr>
        <w:tc>
          <w:tcPr>
            <w:tcW w:w="488" w:type="dxa"/>
            <w:vMerge w:val="restart"/>
            <w:vAlign w:val="center"/>
          </w:tcPr>
          <w:p w:rsidR="004F34D9" w:rsidRPr="00123108" w:rsidRDefault="004F34D9">
            <w:pPr>
              <w:spacing w:line="260" w:lineRule="exact"/>
              <w:jc w:val="center"/>
              <w:rPr>
                <w:rFonts w:ascii="宋体" w:hAnsi="宋体" w:hint="eastAsia"/>
              </w:rPr>
            </w:pPr>
            <w:r w:rsidRPr="00123108">
              <w:rPr>
                <w:rFonts w:ascii="宋体" w:hAnsi="宋体" w:hint="eastAsia"/>
              </w:rPr>
              <w:t>标</w:t>
            </w:r>
          </w:p>
          <w:p w:rsidR="004F34D9" w:rsidRPr="00123108" w:rsidRDefault="004F34D9">
            <w:pPr>
              <w:spacing w:line="260" w:lineRule="exact"/>
              <w:jc w:val="center"/>
              <w:rPr>
                <w:rFonts w:ascii="宋体" w:hAnsi="宋体"/>
              </w:rPr>
            </w:pPr>
            <w:r w:rsidRPr="00123108">
              <w:rPr>
                <w:rFonts w:ascii="宋体" w:hAnsi="宋体" w:hint="eastAsia"/>
              </w:rPr>
              <w:t>识</w:t>
            </w:r>
          </w:p>
        </w:tc>
        <w:tc>
          <w:tcPr>
            <w:tcW w:w="3707" w:type="dxa"/>
            <w:vAlign w:val="center"/>
          </w:tcPr>
          <w:p w:rsidR="004F34D9" w:rsidRPr="00123108" w:rsidRDefault="004F34D9">
            <w:pPr>
              <w:spacing w:line="260" w:lineRule="exact"/>
              <w:rPr>
                <w:rFonts w:ascii="宋体" w:hAnsi="宋体" w:hint="eastAsia"/>
              </w:rPr>
            </w:pPr>
            <w:r w:rsidRPr="00123108">
              <w:rPr>
                <w:rFonts w:ascii="宋体" w:hAnsi="宋体" w:hint="eastAsia"/>
              </w:rPr>
              <w:t>中文名：苯乙烯；乙烯基苯</w:t>
            </w:r>
          </w:p>
        </w:tc>
        <w:tc>
          <w:tcPr>
            <w:tcW w:w="4979" w:type="dxa"/>
            <w:gridSpan w:val="3"/>
            <w:vAlign w:val="center"/>
          </w:tcPr>
          <w:p w:rsidR="004F34D9" w:rsidRPr="00123108" w:rsidRDefault="004F34D9">
            <w:pPr>
              <w:spacing w:line="260" w:lineRule="exact"/>
              <w:rPr>
                <w:rFonts w:ascii="宋体" w:hAnsi="宋体" w:hint="eastAsia"/>
              </w:rPr>
            </w:pPr>
            <w:r w:rsidRPr="00123108">
              <w:rPr>
                <w:rFonts w:ascii="宋体" w:hAnsi="宋体" w:hint="eastAsia"/>
              </w:rPr>
              <w:t>英文名</w:t>
            </w:r>
            <w:r w:rsidRPr="00123108">
              <w:rPr>
                <w:rFonts w:ascii="宋体" w:hAnsi="宋体" w:hint="eastAsia"/>
                <w:lang w:val="en-GB"/>
              </w:rPr>
              <w:t>：phenylethylene；styrene</w:t>
            </w:r>
          </w:p>
        </w:tc>
      </w:tr>
      <w:tr w:rsidR="004F34D9" w:rsidRPr="00123108">
        <w:trPr>
          <w:cantSplit/>
          <w:jc w:val="center"/>
        </w:trPr>
        <w:tc>
          <w:tcPr>
            <w:tcW w:w="488" w:type="dxa"/>
            <w:vMerge/>
            <w:vAlign w:val="center"/>
          </w:tcPr>
          <w:p w:rsidR="004F34D9" w:rsidRPr="00123108" w:rsidRDefault="004F34D9">
            <w:pPr>
              <w:spacing w:line="260" w:lineRule="exact"/>
              <w:jc w:val="center"/>
              <w:rPr>
                <w:rFonts w:ascii="宋体" w:hAnsi="宋体"/>
              </w:rPr>
            </w:pPr>
          </w:p>
        </w:tc>
        <w:tc>
          <w:tcPr>
            <w:tcW w:w="3707" w:type="dxa"/>
            <w:vAlign w:val="center"/>
          </w:tcPr>
          <w:p w:rsidR="004F34D9" w:rsidRPr="00123108" w:rsidRDefault="004F34D9">
            <w:pPr>
              <w:spacing w:line="260" w:lineRule="exact"/>
              <w:rPr>
                <w:rFonts w:ascii="宋体" w:hAnsi="宋体" w:hint="eastAsia"/>
              </w:rPr>
            </w:pPr>
            <w:r w:rsidRPr="00123108">
              <w:rPr>
                <w:rFonts w:ascii="宋体" w:hAnsi="宋体" w:hint="eastAsia"/>
              </w:rPr>
              <w:t>分子式：C</w:t>
            </w:r>
            <w:r w:rsidRPr="00123108">
              <w:rPr>
                <w:rFonts w:ascii="宋体" w:hAnsi="宋体" w:hint="eastAsia"/>
                <w:vertAlign w:val="subscript"/>
              </w:rPr>
              <w:t>6</w:t>
            </w:r>
            <w:r w:rsidRPr="00123108">
              <w:rPr>
                <w:rFonts w:ascii="宋体" w:hAnsi="宋体" w:hint="eastAsia"/>
              </w:rPr>
              <w:t>H</w:t>
            </w:r>
            <w:r w:rsidRPr="00123108">
              <w:rPr>
                <w:rFonts w:ascii="宋体" w:hAnsi="宋体" w:hint="eastAsia"/>
                <w:vertAlign w:val="subscript"/>
              </w:rPr>
              <w:t>10</w:t>
            </w:r>
            <w:r w:rsidRPr="00123108">
              <w:rPr>
                <w:rFonts w:ascii="宋体" w:hAnsi="宋体" w:hint="eastAsia"/>
              </w:rPr>
              <w:t>O</w:t>
            </w:r>
          </w:p>
        </w:tc>
        <w:tc>
          <w:tcPr>
            <w:tcW w:w="2809" w:type="dxa"/>
            <w:gridSpan w:val="2"/>
            <w:vAlign w:val="center"/>
          </w:tcPr>
          <w:p w:rsidR="004F34D9" w:rsidRPr="00123108" w:rsidRDefault="004F34D9">
            <w:pPr>
              <w:spacing w:line="260" w:lineRule="exact"/>
              <w:rPr>
                <w:rFonts w:ascii="宋体" w:hAnsi="宋体" w:hint="eastAsia"/>
              </w:rPr>
            </w:pPr>
            <w:r w:rsidRPr="00123108">
              <w:rPr>
                <w:rFonts w:ascii="宋体" w:hAnsi="宋体" w:hint="eastAsia"/>
              </w:rPr>
              <w:t>分子量： 98.14</w:t>
            </w:r>
          </w:p>
        </w:tc>
        <w:tc>
          <w:tcPr>
            <w:tcW w:w="2170" w:type="dxa"/>
            <w:vAlign w:val="center"/>
          </w:tcPr>
          <w:p w:rsidR="004F34D9" w:rsidRPr="00123108" w:rsidRDefault="004F34D9">
            <w:pPr>
              <w:spacing w:line="260" w:lineRule="exact"/>
              <w:rPr>
                <w:rFonts w:ascii="宋体" w:hAnsi="宋体" w:hint="eastAsia"/>
              </w:rPr>
            </w:pPr>
            <w:r w:rsidRPr="00123108">
              <w:rPr>
                <w:rFonts w:ascii="宋体" w:hAnsi="宋体" w:hint="eastAsia"/>
              </w:rPr>
              <w:t>UN编号：2055</w:t>
            </w:r>
          </w:p>
        </w:tc>
      </w:tr>
      <w:tr w:rsidR="004F34D9" w:rsidRPr="00123108">
        <w:trPr>
          <w:cantSplit/>
          <w:jc w:val="center"/>
        </w:trPr>
        <w:tc>
          <w:tcPr>
            <w:tcW w:w="488" w:type="dxa"/>
            <w:vMerge/>
            <w:vAlign w:val="center"/>
          </w:tcPr>
          <w:p w:rsidR="004F34D9" w:rsidRPr="00123108" w:rsidRDefault="004F34D9">
            <w:pPr>
              <w:spacing w:line="260" w:lineRule="exact"/>
              <w:jc w:val="center"/>
              <w:rPr>
                <w:rFonts w:ascii="宋体" w:hAnsi="宋体"/>
              </w:rPr>
            </w:pPr>
          </w:p>
        </w:tc>
        <w:tc>
          <w:tcPr>
            <w:tcW w:w="3707" w:type="dxa"/>
            <w:vAlign w:val="center"/>
          </w:tcPr>
          <w:p w:rsidR="004F34D9" w:rsidRPr="00123108" w:rsidRDefault="004F34D9" w:rsidP="00E97DEC">
            <w:pPr>
              <w:widowControl/>
              <w:spacing w:line="290" w:lineRule="exact"/>
              <w:rPr>
                <w:rFonts w:ascii="宋体" w:hAnsi="宋体" w:cs="宋体" w:hint="eastAsia"/>
                <w:kern w:val="0"/>
                <w:sz w:val="20"/>
                <w:szCs w:val="20"/>
              </w:rPr>
            </w:pPr>
            <w:r w:rsidRPr="00123108">
              <w:rPr>
                <w:rFonts w:ascii="宋体" w:hAnsi="宋体" w:hint="eastAsia"/>
              </w:rPr>
              <w:t>危险类别：</w:t>
            </w:r>
            <w:r w:rsidR="00E97DEC" w:rsidRPr="00123108">
              <w:rPr>
                <w:rFonts w:ascii="宋体" w:hAnsi="宋体" w:cs="宋体"/>
                <w:kern w:val="0"/>
                <w:sz w:val="20"/>
                <w:szCs w:val="20"/>
              </w:rPr>
              <w:t>易燃液体,类别3</w:t>
            </w:r>
          </w:p>
        </w:tc>
        <w:tc>
          <w:tcPr>
            <w:tcW w:w="2809" w:type="dxa"/>
            <w:gridSpan w:val="2"/>
            <w:vAlign w:val="center"/>
          </w:tcPr>
          <w:p w:rsidR="004F34D9" w:rsidRPr="00123108" w:rsidRDefault="004F34D9">
            <w:pPr>
              <w:spacing w:line="260" w:lineRule="exact"/>
              <w:rPr>
                <w:rFonts w:ascii="宋体" w:hAnsi="宋体" w:hint="eastAsia"/>
              </w:rPr>
            </w:pPr>
            <w:r w:rsidRPr="00123108">
              <w:rPr>
                <w:rFonts w:ascii="宋体" w:hAnsi="宋体" w:hint="eastAsia"/>
                <w:szCs w:val="21"/>
              </w:rPr>
              <w:t>危化品目录序号：96</w:t>
            </w:r>
          </w:p>
        </w:tc>
        <w:tc>
          <w:tcPr>
            <w:tcW w:w="2170" w:type="dxa"/>
            <w:vAlign w:val="center"/>
          </w:tcPr>
          <w:p w:rsidR="004F34D9" w:rsidRPr="00123108" w:rsidRDefault="004F34D9">
            <w:pPr>
              <w:spacing w:line="260" w:lineRule="exact"/>
              <w:rPr>
                <w:rFonts w:ascii="宋体" w:hAnsi="宋体" w:hint="eastAsia"/>
              </w:rPr>
            </w:pPr>
            <w:r w:rsidRPr="00123108">
              <w:rPr>
                <w:rFonts w:ascii="宋体" w:hAnsi="宋体" w:hint="eastAsia"/>
              </w:rPr>
              <w:t>CAS号：100-42-5</w:t>
            </w:r>
          </w:p>
        </w:tc>
      </w:tr>
      <w:tr w:rsidR="004F34D9" w:rsidRPr="00123108">
        <w:trPr>
          <w:cantSplit/>
          <w:jc w:val="center"/>
        </w:trPr>
        <w:tc>
          <w:tcPr>
            <w:tcW w:w="488" w:type="dxa"/>
            <w:vMerge/>
            <w:vAlign w:val="center"/>
          </w:tcPr>
          <w:p w:rsidR="004F34D9" w:rsidRPr="00123108" w:rsidRDefault="004F34D9">
            <w:pPr>
              <w:spacing w:line="260" w:lineRule="exact"/>
              <w:jc w:val="center"/>
              <w:rPr>
                <w:rFonts w:ascii="宋体" w:hAnsi="宋体"/>
              </w:rPr>
            </w:pPr>
          </w:p>
        </w:tc>
        <w:tc>
          <w:tcPr>
            <w:tcW w:w="3707" w:type="dxa"/>
            <w:vAlign w:val="center"/>
          </w:tcPr>
          <w:p w:rsidR="004F34D9" w:rsidRPr="00123108" w:rsidRDefault="004F34D9">
            <w:pPr>
              <w:spacing w:line="260" w:lineRule="exact"/>
              <w:rPr>
                <w:rFonts w:ascii="宋体" w:hAnsi="宋体" w:hint="eastAsia"/>
              </w:rPr>
            </w:pPr>
            <w:r w:rsidRPr="00123108">
              <w:rPr>
                <w:rFonts w:ascii="宋体" w:hAnsi="宋体" w:hint="eastAsia"/>
              </w:rPr>
              <w:t>包装标志：易燃液体</w:t>
            </w:r>
          </w:p>
        </w:tc>
        <w:tc>
          <w:tcPr>
            <w:tcW w:w="4979" w:type="dxa"/>
            <w:gridSpan w:val="3"/>
            <w:vAlign w:val="center"/>
          </w:tcPr>
          <w:p w:rsidR="004F34D9" w:rsidRPr="00123108" w:rsidRDefault="004F34D9">
            <w:pPr>
              <w:spacing w:line="260" w:lineRule="exact"/>
              <w:rPr>
                <w:rFonts w:ascii="宋体" w:hAnsi="宋体" w:hint="eastAsia"/>
              </w:rPr>
            </w:pPr>
            <w:r w:rsidRPr="00123108">
              <w:rPr>
                <w:rFonts w:ascii="宋体" w:hAnsi="宋体" w:hint="eastAsia"/>
              </w:rPr>
              <w:t>包装类别：Ⅲ类</w:t>
            </w:r>
          </w:p>
        </w:tc>
      </w:tr>
      <w:tr w:rsidR="004F34D9" w:rsidRPr="00123108">
        <w:trPr>
          <w:cantSplit/>
          <w:jc w:val="center"/>
        </w:trPr>
        <w:tc>
          <w:tcPr>
            <w:tcW w:w="488" w:type="dxa"/>
            <w:vMerge w:val="restart"/>
            <w:vAlign w:val="center"/>
          </w:tcPr>
          <w:p w:rsidR="004F34D9" w:rsidRPr="00123108" w:rsidRDefault="004F34D9">
            <w:pPr>
              <w:spacing w:line="260" w:lineRule="exact"/>
              <w:jc w:val="center"/>
              <w:rPr>
                <w:rFonts w:ascii="宋体" w:hAnsi="宋体" w:hint="eastAsia"/>
              </w:rPr>
            </w:pPr>
            <w:r w:rsidRPr="00123108">
              <w:rPr>
                <w:rFonts w:ascii="宋体" w:hAnsi="宋体" w:hint="eastAsia"/>
              </w:rPr>
              <w:t>理</w:t>
            </w:r>
          </w:p>
          <w:p w:rsidR="004F34D9" w:rsidRPr="00123108" w:rsidRDefault="004F34D9">
            <w:pPr>
              <w:spacing w:line="260" w:lineRule="exact"/>
              <w:jc w:val="center"/>
              <w:rPr>
                <w:rFonts w:ascii="宋体" w:hAnsi="宋体"/>
              </w:rPr>
            </w:pPr>
            <w:r w:rsidRPr="00123108">
              <w:rPr>
                <w:rFonts w:ascii="宋体" w:hAnsi="宋体" w:hint="eastAsia"/>
              </w:rPr>
              <w:t>化</w:t>
            </w:r>
          </w:p>
          <w:p w:rsidR="004F34D9" w:rsidRPr="00123108" w:rsidRDefault="004F34D9">
            <w:pPr>
              <w:spacing w:line="260" w:lineRule="exact"/>
              <w:jc w:val="center"/>
              <w:rPr>
                <w:rFonts w:ascii="宋体" w:hAnsi="宋体" w:hint="eastAsia"/>
              </w:rPr>
            </w:pPr>
            <w:r w:rsidRPr="00123108">
              <w:rPr>
                <w:rFonts w:ascii="宋体" w:hAnsi="宋体" w:hint="eastAsia"/>
              </w:rPr>
              <w:t>性</w:t>
            </w:r>
          </w:p>
          <w:p w:rsidR="004F34D9" w:rsidRPr="00123108" w:rsidRDefault="004F34D9">
            <w:pPr>
              <w:spacing w:line="260" w:lineRule="exact"/>
              <w:jc w:val="center"/>
              <w:rPr>
                <w:rFonts w:ascii="宋体" w:hAnsi="宋体"/>
              </w:rPr>
            </w:pPr>
            <w:r w:rsidRPr="00123108">
              <w:rPr>
                <w:rFonts w:ascii="宋体" w:hAnsi="宋体" w:hint="eastAsia"/>
              </w:rPr>
              <w:t>质</w:t>
            </w:r>
          </w:p>
        </w:tc>
        <w:tc>
          <w:tcPr>
            <w:tcW w:w="8686" w:type="dxa"/>
            <w:gridSpan w:val="4"/>
            <w:vAlign w:val="center"/>
          </w:tcPr>
          <w:p w:rsidR="004F34D9" w:rsidRPr="00123108" w:rsidRDefault="004F34D9">
            <w:pPr>
              <w:spacing w:line="260" w:lineRule="exact"/>
              <w:rPr>
                <w:rFonts w:ascii="宋体" w:hAnsi="宋体" w:hint="eastAsia"/>
              </w:rPr>
            </w:pPr>
            <w:r w:rsidRPr="00123108">
              <w:rPr>
                <w:rFonts w:ascii="宋体" w:hAnsi="宋体" w:hint="eastAsia"/>
              </w:rPr>
              <w:t>外观与性状：无色透明油状液体。</w:t>
            </w:r>
          </w:p>
        </w:tc>
      </w:tr>
      <w:tr w:rsidR="004F34D9" w:rsidRPr="00123108">
        <w:trPr>
          <w:cantSplit/>
          <w:jc w:val="center"/>
        </w:trPr>
        <w:tc>
          <w:tcPr>
            <w:tcW w:w="488" w:type="dxa"/>
            <w:vMerge/>
            <w:vAlign w:val="center"/>
          </w:tcPr>
          <w:p w:rsidR="004F34D9" w:rsidRPr="00123108" w:rsidRDefault="004F34D9">
            <w:pPr>
              <w:spacing w:line="260" w:lineRule="exact"/>
              <w:jc w:val="center"/>
              <w:rPr>
                <w:rFonts w:ascii="宋体" w:hAnsi="宋体" w:hint="eastAsia"/>
              </w:rPr>
            </w:pPr>
          </w:p>
        </w:tc>
        <w:tc>
          <w:tcPr>
            <w:tcW w:w="8686" w:type="dxa"/>
            <w:gridSpan w:val="4"/>
            <w:vAlign w:val="center"/>
          </w:tcPr>
          <w:p w:rsidR="004F34D9" w:rsidRPr="00123108" w:rsidRDefault="004F34D9">
            <w:pPr>
              <w:spacing w:line="260" w:lineRule="exact"/>
              <w:rPr>
                <w:rFonts w:ascii="宋体" w:hAnsi="宋体" w:hint="eastAsia"/>
              </w:rPr>
            </w:pPr>
            <w:r w:rsidRPr="00123108">
              <w:rPr>
                <w:rFonts w:ascii="宋体" w:hAnsi="宋体" w:hint="eastAsia"/>
              </w:rPr>
              <w:t>溶解性 ：不溶于水，可溶于醇、醚等多数有机溶剂。</w:t>
            </w:r>
          </w:p>
        </w:tc>
      </w:tr>
      <w:tr w:rsidR="004F34D9" w:rsidRPr="00123108">
        <w:trPr>
          <w:cantSplit/>
          <w:jc w:val="center"/>
        </w:trPr>
        <w:tc>
          <w:tcPr>
            <w:tcW w:w="488" w:type="dxa"/>
            <w:vMerge/>
            <w:vAlign w:val="center"/>
          </w:tcPr>
          <w:p w:rsidR="004F34D9" w:rsidRPr="00123108" w:rsidRDefault="004F34D9">
            <w:pPr>
              <w:spacing w:line="260" w:lineRule="exact"/>
              <w:jc w:val="center"/>
              <w:rPr>
                <w:rFonts w:ascii="宋体" w:hAnsi="宋体"/>
              </w:rPr>
            </w:pPr>
          </w:p>
        </w:tc>
        <w:tc>
          <w:tcPr>
            <w:tcW w:w="3707" w:type="dxa"/>
            <w:vAlign w:val="center"/>
          </w:tcPr>
          <w:p w:rsidR="004F34D9" w:rsidRPr="00123108" w:rsidRDefault="004F34D9">
            <w:pPr>
              <w:spacing w:line="260" w:lineRule="exact"/>
              <w:rPr>
                <w:rFonts w:ascii="宋体" w:hAnsi="宋体" w:hint="eastAsia"/>
              </w:rPr>
            </w:pPr>
            <w:r w:rsidRPr="00123108">
              <w:rPr>
                <w:rFonts w:ascii="宋体" w:hAnsi="宋体" w:hint="eastAsia"/>
              </w:rPr>
              <w:t>熔点（℃）：－30.6</w:t>
            </w:r>
          </w:p>
        </w:tc>
        <w:tc>
          <w:tcPr>
            <w:tcW w:w="4979" w:type="dxa"/>
            <w:gridSpan w:val="3"/>
            <w:vAlign w:val="center"/>
          </w:tcPr>
          <w:p w:rsidR="004F34D9" w:rsidRPr="00123108" w:rsidRDefault="004F34D9">
            <w:pPr>
              <w:spacing w:line="260" w:lineRule="exact"/>
              <w:rPr>
                <w:rFonts w:ascii="宋体" w:hAnsi="宋体" w:hint="eastAsia"/>
              </w:rPr>
            </w:pPr>
            <w:r w:rsidRPr="00123108">
              <w:rPr>
                <w:rFonts w:ascii="宋体" w:hAnsi="宋体" w:hint="eastAsia"/>
              </w:rPr>
              <w:t>沸点（℃）：146</w:t>
            </w:r>
          </w:p>
        </w:tc>
      </w:tr>
      <w:tr w:rsidR="004F34D9" w:rsidRPr="00123108">
        <w:trPr>
          <w:cantSplit/>
          <w:jc w:val="center"/>
        </w:trPr>
        <w:tc>
          <w:tcPr>
            <w:tcW w:w="488" w:type="dxa"/>
            <w:vMerge/>
            <w:vAlign w:val="center"/>
          </w:tcPr>
          <w:p w:rsidR="004F34D9" w:rsidRPr="00123108" w:rsidRDefault="004F34D9">
            <w:pPr>
              <w:spacing w:line="260" w:lineRule="exact"/>
              <w:jc w:val="center"/>
              <w:rPr>
                <w:rFonts w:ascii="宋体" w:hAnsi="宋体"/>
              </w:rPr>
            </w:pPr>
          </w:p>
        </w:tc>
        <w:tc>
          <w:tcPr>
            <w:tcW w:w="3707" w:type="dxa"/>
            <w:vAlign w:val="center"/>
          </w:tcPr>
          <w:p w:rsidR="004F34D9" w:rsidRPr="00123108" w:rsidRDefault="004F34D9">
            <w:pPr>
              <w:spacing w:line="260" w:lineRule="exact"/>
              <w:rPr>
                <w:rFonts w:ascii="宋体" w:hAnsi="宋体" w:hint="eastAsia"/>
              </w:rPr>
            </w:pPr>
            <w:r w:rsidRPr="00123108">
              <w:rPr>
                <w:rFonts w:ascii="宋体" w:hAnsi="宋体" w:hint="eastAsia"/>
              </w:rPr>
              <w:t>相对密度（水＝1）：0.91</w:t>
            </w:r>
          </w:p>
        </w:tc>
        <w:tc>
          <w:tcPr>
            <w:tcW w:w="4979" w:type="dxa"/>
            <w:gridSpan w:val="3"/>
            <w:vAlign w:val="center"/>
          </w:tcPr>
          <w:p w:rsidR="004F34D9" w:rsidRPr="00123108" w:rsidRDefault="004F34D9">
            <w:pPr>
              <w:spacing w:line="260" w:lineRule="exact"/>
              <w:rPr>
                <w:rFonts w:ascii="宋体" w:hAnsi="宋体" w:hint="eastAsia"/>
              </w:rPr>
            </w:pPr>
            <w:r w:rsidRPr="00123108">
              <w:rPr>
                <w:rFonts w:ascii="宋体" w:hAnsi="宋体" w:hint="eastAsia"/>
              </w:rPr>
              <w:t>相对密度（空气＝1）：3.6</w:t>
            </w:r>
          </w:p>
        </w:tc>
      </w:tr>
      <w:tr w:rsidR="004F34D9" w:rsidRPr="00123108">
        <w:trPr>
          <w:cantSplit/>
          <w:jc w:val="center"/>
        </w:trPr>
        <w:tc>
          <w:tcPr>
            <w:tcW w:w="488" w:type="dxa"/>
            <w:vMerge/>
            <w:vAlign w:val="center"/>
          </w:tcPr>
          <w:p w:rsidR="004F34D9" w:rsidRPr="00123108" w:rsidRDefault="004F34D9">
            <w:pPr>
              <w:spacing w:line="260" w:lineRule="exact"/>
              <w:jc w:val="center"/>
              <w:rPr>
                <w:rFonts w:ascii="宋体" w:hAnsi="宋体"/>
              </w:rPr>
            </w:pPr>
          </w:p>
        </w:tc>
        <w:tc>
          <w:tcPr>
            <w:tcW w:w="3707" w:type="dxa"/>
            <w:vAlign w:val="center"/>
          </w:tcPr>
          <w:p w:rsidR="004F34D9" w:rsidRPr="00123108" w:rsidRDefault="004F34D9">
            <w:pPr>
              <w:spacing w:line="260" w:lineRule="exact"/>
              <w:rPr>
                <w:rFonts w:ascii="宋体" w:hAnsi="宋体" w:hint="eastAsia"/>
              </w:rPr>
            </w:pPr>
            <w:r w:rsidRPr="00123108">
              <w:rPr>
                <w:rFonts w:ascii="宋体" w:hAnsi="宋体" w:hint="eastAsia"/>
              </w:rPr>
              <w:t>饱和蒸气压（kPa）：1.33(30.8℃)</w:t>
            </w:r>
          </w:p>
        </w:tc>
        <w:tc>
          <w:tcPr>
            <w:tcW w:w="4979" w:type="dxa"/>
            <w:gridSpan w:val="3"/>
            <w:vAlign w:val="center"/>
          </w:tcPr>
          <w:p w:rsidR="004F34D9" w:rsidRPr="00123108" w:rsidRDefault="004F34D9">
            <w:pPr>
              <w:spacing w:line="260" w:lineRule="exact"/>
              <w:rPr>
                <w:rFonts w:ascii="宋体" w:hAnsi="宋体" w:hint="eastAsia"/>
              </w:rPr>
            </w:pPr>
            <w:r w:rsidRPr="00123108">
              <w:rPr>
                <w:rFonts w:ascii="宋体" w:hAnsi="宋体" w:hint="eastAsia"/>
              </w:rPr>
              <w:t>燃烧热（kJ/mol）：4376.9</w:t>
            </w:r>
          </w:p>
        </w:tc>
      </w:tr>
      <w:tr w:rsidR="004F34D9" w:rsidRPr="00123108">
        <w:trPr>
          <w:cantSplit/>
          <w:trHeight w:val="163"/>
          <w:jc w:val="center"/>
        </w:trPr>
        <w:tc>
          <w:tcPr>
            <w:tcW w:w="488" w:type="dxa"/>
            <w:vMerge/>
            <w:vAlign w:val="center"/>
          </w:tcPr>
          <w:p w:rsidR="004F34D9" w:rsidRPr="00123108" w:rsidRDefault="004F34D9">
            <w:pPr>
              <w:spacing w:line="260" w:lineRule="exact"/>
              <w:jc w:val="center"/>
              <w:rPr>
                <w:rFonts w:ascii="宋体" w:hAnsi="宋体"/>
              </w:rPr>
            </w:pPr>
          </w:p>
        </w:tc>
        <w:tc>
          <w:tcPr>
            <w:tcW w:w="3707" w:type="dxa"/>
            <w:vAlign w:val="center"/>
          </w:tcPr>
          <w:p w:rsidR="004F34D9" w:rsidRPr="00123108" w:rsidRDefault="004F34D9">
            <w:pPr>
              <w:spacing w:line="260" w:lineRule="exact"/>
              <w:rPr>
                <w:rFonts w:ascii="宋体" w:hAnsi="宋体" w:hint="eastAsia"/>
              </w:rPr>
            </w:pPr>
            <w:r w:rsidRPr="00123108">
              <w:rPr>
                <w:rFonts w:ascii="宋体" w:hAnsi="宋体" w:hint="eastAsia"/>
              </w:rPr>
              <w:t>临界温度（℃）：369</w:t>
            </w:r>
          </w:p>
        </w:tc>
        <w:tc>
          <w:tcPr>
            <w:tcW w:w="4979" w:type="dxa"/>
            <w:gridSpan w:val="3"/>
            <w:vAlign w:val="center"/>
          </w:tcPr>
          <w:p w:rsidR="004F34D9" w:rsidRPr="00123108" w:rsidRDefault="004F34D9">
            <w:pPr>
              <w:spacing w:line="260" w:lineRule="exact"/>
              <w:rPr>
                <w:rFonts w:ascii="宋体" w:hAnsi="宋体" w:hint="eastAsia"/>
              </w:rPr>
            </w:pPr>
            <w:r w:rsidRPr="00123108">
              <w:rPr>
                <w:rFonts w:ascii="宋体" w:hAnsi="宋体" w:hint="eastAsia"/>
              </w:rPr>
              <w:t>临界压力（MPa）：3.81</w:t>
            </w:r>
          </w:p>
        </w:tc>
      </w:tr>
      <w:tr w:rsidR="004F34D9" w:rsidRPr="00123108">
        <w:trPr>
          <w:cantSplit/>
          <w:jc w:val="center"/>
        </w:trPr>
        <w:tc>
          <w:tcPr>
            <w:tcW w:w="488" w:type="dxa"/>
            <w:vMerge w:val="restart"/>
            <w:vAlign w:val="center"/>
          </w:tcPr>
          <w:p w:rsidR="004F34D9" w:rsidRPr="00123108" w:rsidRDefault="004F34D9">
            <w:pPr>
              <w:spacing w:line="260" w:lineRule="exact"/>
              <w:jc w:val="center"/>
              <w:rPr>
                <w:rFonts w:ascii="宋体" w:hAnsi="宋体" w:hint="eastAsia"/>
              </w:rPr>
            </w:pPr>
            <w:r w:rsidRPr="00123108">
              <w:rPr>
                <w:rFonts w:ascii="宋体" w:hAnsi="宋体" w:hint="eastAsia"/>
              </w:rPr>
              <w:t>燃</w:t>
            </w:r>
          </w:p>
          <w:p w:rsidR="004F34D9" w:rsidRPr="00123108" w:rsidRDefault="004F34D9">
            <w:pPr>
              <w:spacing w:line="260" w:lineRule="exact"/>
              <w:jc w:val="center"/>
              <w:rPr>
                <w:rFonts w:ascii="宋体" w:hAnsi="宋体" w:hint="eastAsia"/>
              </w:rPr>
            </w:pPr>
            <w:r w:rsidRPr="00123108">
              <w:rPr>
                <w:rFonts w:ascii="宋体" w:hAnsi="宋体" w:hint="eastAsia"/>
              </w:rPr>
              <w:t>烧</w:t>
            </w:r>
          </w:p>
          <w:p w:rsidR="004F34D9" w:rsidRPr="00123108" w:rsidRDefault="004F34D9">
            <w:pPr>
              <w:spacing w:line="260" w:lineRule="exact"/>
              <w:jc w:val="center"/>
              <w:rPr>
                <w:rFonts w:ascii="宋体" w:hAnsi="宋体" w:hint="eastAsia"/>
              </w:rPr>
            </w:pPr>
            <w:r w:rsidRPr="00123108">
              <w:rPr>
                <w:rFonts w:ascii="宋体" w:hAnsi="宋体" w:hint="eastAsia"/>
              </w:rPr>
              <w:t>爆</w:t>
            </w:r>
          </w:p>
          <w:p w:rsidR="004F34D9" w:rsidRPr="00123108" w:rsidRDefault="004F34D9">
            <w:pPr>
              <w:spacing w:line="260" w:lineRule="exact"/>
              <w:jc w:val="center"/>
              <w:rPr>
                <w:rFonts w:ascii="宋体" w:hAnsi="宋体" w:hint="eastAsia"/>
              </w:rPr>
            </w:pPr>
            <w:r w:rsidRPr="00123108">
              <w:rPr>
                <w:rFonts w:ascii="宋体" w:hAnsi="宋体" w:hint="eastAsia"/>
              </w:rPr>
              <w:t>炸</w:t>
            </w:r>
          </w:p>
          <w:p w:rsidR="004F34D9" w:rsidRPr="00123108" w:rsidRDefault="004F34D9">
            <w:pPr>
              <w:spacing w:line="260" w:lineRule="exact"/>
              <w:jc w:val="center"/>
              <w:rPr>
                <w:rFonts w:ascii="宋体" w:hAnsi="宋体" w:hint="eastAsia"/>
              </w:rPr>
            </w:pPr>
            <w:r w:rsidRPr="00123108">
              <w:rPr>
                <w:rFonts w:ascii="宋体" w:hAnsi="宋体" w:hint="eastAsia"/>
              </w:rPr>
              <w:t>危</w:t>
            </w:r>
          </w:p>
          <w:p w:rsidR="004F34D9" w:rsidRPr="00123108" w:rsidRDefault="004F34D9">
            <w:pPr>
              <w:spacing w:line="260" w:lineRule="exact"/>
              <w:jc w:val="center"/>
              <w:rPr>
                <w:rFonts w:ascii="宋体" w:hAnsi="宋体" w:hint="eastAsia"/>
              </w:rPr>
            </w:pPr>
            <w:r w:rsidRPr="00123108">
              <w:rPr>
                <w:rFonts w:ascii="宋体" w:hAnsi="宋体" w:hint="eastAsia"/>
              </w:rPr>
              <w:t>险</w:t>
            </w:r>
          </w:p>
          <w:p w:rsidR="004F34D9" w:rsidRPr="00123108" w:rsidRDefault="004F34D9">
            <w:pPr>
              <w:spacing w:line="260" w:lineRule="exact"/>
              <w:jc w:val="center"/>
              <w:rPr>
                <w:rFonts w:ascii="宋体" w:hAnsi="宋体"/>
              </w:rPr>
            </w:pPr>
            <w:r w:rsidRPr="00123108">
              <w:rPr>
                <w:rFonts w:ascii="宋体" w:hAnsi="宋体" w:hint="eastAsia"/>
              </w:rPr>
              <w:t>性</w:t>
            </w:r>
          </w:p>
        </w:tc>
        <w:tc>
          <w:tcPr>
            <w:tcW w:w="3707" w:type="dxa"/>
            <w:vAlign w:val="center"/>
          </w:tcPr>
          <w:p w:rsidR="004F34D9" w:rsidRPr="00123108" w:rsidRDefault="004F34D9">
            <w:pPr>
              <w:spacing w:line="260" w:lineRule="exact"/>
              <w:rPr>
                <w:rFonts w:ascii="宋体" w:hAnsi="宋体"/>
              </w:rPr>
            </w:pPr>
            <w:r w:rsidRPr="00123108">
              <w:rPr>
                <w:rFonts w:ascii="宋体" w:hAnsi="宋体" w:hint="eastAsia"/>
              </w:rPr>
              <w:t>燃烧性： 易燃</w:t>
            </w:r>
          </w:p>
        </w:tc>
        <w:tc>
          <w:tcPr>
            <w:tcW w:w="4979" w:type="dxa"/>
            <w:gridSpan w:val="3"/>
            <w:vAlign w:val="center"/>
          </w:tcPr>
          <w:p w:rsidR="004F34D9" w:rsidRPr="00123108" w:rsidRDefault="004F34D9" w:rsidP="00512112">
            <w:pPr>
              <w:spacing w:line="260" w:lineRule="exact"/>
              <w:rPr>
                <w:rFonts w:ascii="宋体" w:hAnsi="宋体" w:hint="eastAsia"/>
              </w:rPr>
            </w:pPr>
            <w:r w:rsidRPr="00123108">
              <w:rPr>
                <w:rFonts w:ascii="宋体" w:hAnsi="宋体" w:hint="eastAsia"/>
              </w:rPr>
              <w:t>闪点（℃）：</w:t>
            </w:r>
            <w:r w:rsidR="00512112" w:rsidRPr="00123108">
              <w:rPr>
                <w:rFonts w:ascii="宋体" w:hAnsi="宋体" w:hint="eastAsia"/>
              </w:rPr>
              <w:t>31</w:t>
            </w:r>
          </w:p>
        </w:tc>
      </w:tr>
      <w:tr w:rsidR="004F34D9" w:rsidRPr="00123108">
        <w:trPr>
          <w:cantSplit/>
          <w:jc w:val="center"/>
        </w:trPr>
        <w:tc>
          <w:tcPr>
            <w:tcW w:w="488" w:type="dxa"/>
            <w:vMerge/>
            <w:vAlign w:val="center"/>
          </w:tcPr>
          <w:p w:rsidR="004F34D9" w:rsidRPr="00123108" w:rsidRDefault="004F34D9">
            <w:pPr>
              <w:spacing w:line="260" w:lineRule="exact"/>
              <w:jc w:val="center"/>
              <w:rPr>
                <w:rFonts w:ascii="宋体" w:hAnsi="宋体" w:hint="eastAsia"/>
              </w:rPr>
            </w:pPr>
          </w:p>
        </w:tc>
        <w:tc>
          <w:tcPr>
            <w:tcW w:w="3707" w:type="dxa"/>
            <w:vAlign w:val="center"/>
          </w:tcPr>
          <w:p w:rsidR="004F34D9" w:rsidRPr="00123108" w:rsidRDefault="004F34D9" w:rsidP="00E97DEC">
            <w:pPr>
              <w:spacing w:line="260" w:lineRule="exact"/>
              <w:rPr>
                <w:rFonts w:ascii="宋体" w:hAnsi="宋体" w:hint="eastAsia"/>
              </w:rPr>
            </w:pPr>
            <w:r w:rsidRPr="00123108">
              <w:rPr>
                <w:rFonts w:ascii="宋体" w:hAnsi="宋体" w:hint="eastAsia"/>
              </w:rPr>
              <w:t>爆炸下限（%）：</w:t>
            </w:r>
            <w:r w:rsidR="00E97DEC" w:rsidRPr="00123108">
              <w:rPr>
                <w:rFonts w:ascii="宋体" w:hAnsi="宋体" w:hint="eastAsia"/>
              </w:rPr>
              <w:t>0.9</w:t>
            </w:r>
          </w:p>
        </w:tc>
        <w:tc>
          <w:tcPr>
            <w:tcW w:w="4979" w:type="dxa"/>
            <w:gridSpan w:val="3"/>
            <w:vAlign w:val="center"/>
          </w:tcPr>
          <w:p w:rsidR="004F34D9" w:rsidRPr="00123108" w:rsidRDefault="004F34D9" w:rsidP="00E97DEC">
            <w:pPr>
              <w:spacing w:line="260" w:lineRule="exact"/>
              <w:rPr>
                <w:rFonts w:ascii="宋体" w:hAnsi="宋体" w:hint="eastAsia"/>
              </w:rPr>
            </w:pPr>
            <w:r w:rsidRPr="00123108">
              <w:rPr>
                <w:rFonts w:ascii="宋体" w:hAnsi="宋体" w:hint="eastAsia"/>
              </w:rPr>
              <w:t>爆炸上限（%）：6.</w:t>
            </w:r>
            <w:r w:rsidR="00E97DEC" w:rsidRPr="00123108">
              <w:rPr>
                <w:rFonts w:ascii="宋体" w:hAnsi="宋体" w:hint="eastAsia"/>
              </w:rPr>
              <w:t>8</w:t>
            </w:r>
          </w:p>
        </w:tc>
      </w:tr>
      <w:tr w:rsidR="004F34D9" w:rsidRPr="00123108">
        <w:trPr>
          <w:cantSplit/>
          <w:jc w:val="center"/>
        </w:trPr>
        <w:tc>
          <w:tcPr>
            <w:tcW w:w="488" w:type="dxa"/>
            <w:vMerge/>
            <w:vAlign w:val="center"/>
          </w:tcPr>
          <w:p w:rsidR="004F34D9" w:rsidRPr="00123108" w:rsidRDefault="004F34D9">
            <w:pPr>
              <w:spacing w:line="260" w:lineRule="exact"/>
              <w:jc w:val="center"/>
              <w:rPr>
                <w:rFonts w:ascii="宋体" w:hAnsi="宋体" w:hint="eastAsia"/>
              </w:rPr>
            </w:pPr>
          </w:p>
        </w:tc>
        <w:tc>
          <w:tcPr>
            <w:tcW w:w="3707" w:type="dxa"/>
            <w:vAlign w:val="center"/>
          </w:tcPr>
          <w:p w:rsidR="004F34D9" w:rsidRPr="00123108" w:rsidRDefault="004F34D9">
            <w:pPr>
              <w:spacing w:line="260" w:lineRule="exact"/>
              <w:rPr>
                <w:rFonts w:ascii="宋体" w:hAnsi="宋体" w:hint="eastAsia"/>
              </w:rPr>
            </w:pPr>
            <w:r w:rsidRPr="00123108">
              <w:rPr>
                <w:rFonts w:ascii="宋体" w:hAnsi="宋体" w:hint="eastAsia"/>
              </w:rPr>
              <w:t>引燃温度（℃）：490</w:t>
            </w:r>
          </w:p>
        </w:tc>
        <w:tc>
          <w:tcPr>
            <w:tcW w:w="4979" w:type="dxa"/>
            <w:gridSpan w:val="3"/>
            <w:vAlign w:val="center"/>
          </w:tcPr>
          <w:p w:rsidR="004F34D9" w:rsidRPr="00123108" w:rsidRDefault="004F34D9">
            <w:pPr>
              <w:spacing w:line="260" w:lineRule="exact"/>
              <w:rPr>
                <w:rFonts w:ascii="宋体" w:hAnsi="宋体" w:hint="eastAsia"/>
              </w:rPr>
            </w:pPr>
            <w:r w:rsidRPr="00123108">
              <w:rPr>
                <w:rFonts w:ascii="宋体" w:hAnsi="宋体" w:hint="eastAsia"/>
              </w:rPr>
              <w:t>最小点火能（mJ）：无资料</w:t>
            </w:r>
          </w:p>
        </w:tc>
      </w:tr>
      <w:tr w:rsidR="004F34D9" w:rsidRPr="00123108">
        <w:trPr>
          <w:cantSplit/>
          <w:jc w:val="center"/>
        </w:trPr>
        <w:tc>
          <w:tcPr>
            <w:tcW w:w="488" w:type="dxa"/>
            <w:vMerge/>
            <w:vAlign w:val="center"/>
          </w:tcPr>
          <w:p w:rsidR="004F34D9" w:rsidRPr="00123108" w:rsidRDefault="004F34D9">
            <w:pPr>
              <w:spacing w:line="260" w:lineRule="exact"/>
              <w:jc w:val="center"/>
              <w:rPr>
                <w:rFonts w:ascii="宋体" w:hAnsi="宋体"/>
              </w:rPr>
            </w:pPr>
          </w:p>
        </w:tc>
        <w:tc>
          <w:tcPr>
            <w:tcW w:w="3707" w:type="dxa"/>
            <w:vAlign w:val="center"/>
          </w:tcPr>
          <w:p w:rsidR="004F34D9" w:rsidRPr="00123108" w:rsidRDefault="004F34D9">
            <w:pPr>
              <w:spacing w:line="260" w:lineRule="exact"/>
              <w:rPr>
                <w:rFonts w:ascii="宋体" w:hAnsi="宋体" w:hint="eastAsia"/>
              </w:rPr>
            </w:pPr>
            <w:r w:rsidRPr="00123108">
              <w:rPr>
                <w:rFonts w:ascii="宋体" w:hAnsi="宋体" w:hint="eastAsia"/>
              </w:rPr>
              <w:t xml:space="preserve">最大爆炸压力（MPa）：无资料 </w:t>
            </w:r>
          </w:p>
        </w:tc>
        <w:tc>
          <w:tcPr>
            <w:tcW w:w="4979" w:type="dxa"/>
            <w:gridSpan w:val="3"/>
            <w:vAlign w:val="center"/>
          </w:tcPr>
          <w:p w:rsidR="004F34D9" w:rsidRPr="00123108" w:rsidRDefault="004F34D9">
            <w:pPr>
              <w:spacing w:line="260" w:lineRule="exact"/>
              <w:rPr>
                <w:rFonts w:ascii="宋体" w:hAnsi="宋体" w:hint="eastAsia"/>
              </w:rPr>
            </w:pPr>
            <w:r w:rsidRPr="00123108">
              <w:rPr>
                <w:rFonts w:ascii="宋体" w:hAnsi="宋体" w:hint="eastAsia"/>
              </w:rPr>
              <w:t>稳定性： 稳定</w:t>
            </w:r>
          </w:p>
        </w:tc>
      </w:tr>
      <w:tr w:rsidR="004F34D9" w:rsidRPr="00123108">
        <w:trPr>
          <w:cantSplit/>
          <w:jc w:val="center"/>
        </w:trPr>
        <w:tc>
          <w:tcPr>
            <w:tcW w:w="488" w:type="dxa"/>
            <w:vMerge/>
            <w:vAlign w:val="center"/>
          </w:tcPr>
          <w:p w:rsidR="004F34D9" w:rsidRPr="00123108" w:rsidRDefault="004F34D9">
            <w:pPr>
              <w:spacing w:line="260" w:lineRule="exact"/>
              <w:jc w:val="center"/>
              <w:rPr>
                <w:rFonts w:ascii="宋体" w:hAnsi="宋体"/>
              </w:rPr>
            </w:pPr>
          </w:p>
        </w:tc>
        <w:tc>
          <w:tcPr>
            <w:tcW w:w="3707" w:type="dxa"/>
            <w:vAlign w:val="center"/>
          </w:tcPr>
          <w:p w:rsidR="004F34D9" w:rsidRPr="00123108" w:rsidRDefault="004F34D9">
            <w:pPr>
              <w:spacing w:line="260" w:lineRule="exact"/>
              <w:rPr>
                <w:rFonts w:ascii="宋体" w:hAnsi="宋体" w:hint="eastAsia"/>
              </w:rPr>
            </w:pPr>
            <w:r w:rsidRPr="00123108">
              <w:rPr>
                <w:rFonts w:ascii="宋体" w:hAnsi="宋体" w:hint="eastAsia"/>
              </w:rPr>
              <w:t>聚合危害： 不聚合</w:t>
            </w:r>
          </w:p>
        </w:tc>
        <w:tc>
          <w:tcPr>
            <w:tcW w:w="4979" w:type="dxa"/>
            <w:gridSpan w:val="3"/>
            <w:vAlign w:val="center"/>
          </w:tcPr>
          <w:p w:rsidR="004F34D9" w:rsidRPr="00123108" w:rsidRDefault="004F34D9">
            <w:pPr>
              <w:spacing w:line="260" w:lineRule="exact"/>
              <w:rPr>
                <w:rFonts w:ascii="宋体" w:hAnsi="宋体" w:hint="eastAsia"/>
              </w:rPr>
            </w:pPr>
            <w:r w:rsidRPr="00123108">
              <w:rPr>
                <w:rFonts w:ascii="宋体" w:hAnsi="宋体" w:hint="eastAsia"/>
              </w:rPr>
              <w:t>燃烧分解产物：CO，CO</w:t>
            </w:r>
            <w:r w:rsidRPr="00123108">
              <w:rPr>
                <w:rFonts w:ascii="宋体" w:hAnsi="宋体" w:hint="eastAsia"/>
                <w:vertAlign w:val="subscript"/>
              </w:rPr>
              <w:t>2</w:t>
            </w:r>
          </w:p>
        </w:tc>
      </w:tr>
      <w:tr w:rsidR="004F34D9" w:rsidRPr="00123108">
        <w:trPr>
          <w:cantSplit/>
          <w:jc w:val="center"/>
        </w:trPr>
        <w:tc>
          <w:tcPr>
            <w:tcW w:w="488" w:type="dxa"/>
            <w:vMerge/>
            <w:vAlign w:val="center"/>
          </w:tcPr>
          <w:p w:rsidR="004F34D9" w:rsidRPr="00123108" w:rsidRDefault="004F34D9">
            <w:pPr>
              <w:spacing w:line="260" w:lineRule="exact"/>
              <w:jc w:val="center"/>
              <w:rPr>
                <w:rFonts w:ascii="宋体" w:hAnsi="宋体"/>
              </w:rPr>
            </w:pPr>
          </w:p>
        </w:tc>
        <w:tc>
          <w:tcPr>
            <w:tcW w:w="4343" w:type="dxa"/>
            <w:gridSpan w:val="2"/>
            <w:vAlign w:val="center"/>
          </w:tcPr>
          <w:p w:rsidR="004F34D9" w:rsidRPr="00123108" w:rsidRDefault="004F34D9">
            <w:pPr>
              <w:spacing w:line="260" w:lineRule="exact"/>
              <w:rPr>
                <w:rFonts w:ascii="宋体" w:hAnsi="宋体" w:hint="eastAsia"/>
              </w:rPr>
            </w:pPr>
            <w:r w:rsidRPr="00123108">
              <w:rPr>
                <w:rFonts w:ascii="宋体" w:hAnsi="宋体" w:hint="eastAsia"/>
              </w:rPr>
              <w:t>避免接触的条件：光照、接触空气。</w:t>
            </w:r>
          </w:p>
        </w:tc>
        <w:tc>
          <w:tcPr>
            <w:tcW w:w="4343" w:type="dxa"/>
            <w:gridSpan w:val="2"/>
            <w:vAlign w:val="center"/>
          </w:tcPr>
          <w:p w:rsidR="004F34D9" w:rsidRPr="00123108" w:rsidRDefault="004F34D9">
            <w:pPr>
              <w:spacing w:line="260" w:lineRule="exact"/>
              <w:rPr>
                <w:rFonts w:ascii="宋体" w:hAnsi="宋体" w:hint="eastAsia"/>
              </w:rPr>
            </w:pPr>
            <w:r w:rsidRPr="00123108">
              <w:rPr>
                <w:rFonts w:ascii="宋体" w:hAnsi="宋体" w:hint="eastAsia"/>
              </w:rPr>
              <w:t>禁忌物： 强氧化剂、酸类。</w:t>
            </w:r>
          </w:p>
        </w:tc>
      </w:tr>
      <w:tr w:rsidR="004F34D9" w:rsidRPr="00123108">
        <w:trPr>
          <w:cantSplit/>
          <w:jc w:val="center"/>
        </w:trPr>
        <w:tc>
          <w:tcPr>
            <w:tcW w:w="488" w:type="dxa"/>
            <w:vMerge/>
            <w:vAlign w:val="center"/>
          </w:tcPr>
          <w:p w:rsidR="004F34D9" w:rsidRPr="00123108" w:rsidRDefault="004F34D9">
            <w:pPr>
              <w:spacing w:line="260" w:lineRule="exact"/>
              <w:jc w:val="center"/>
              <w:rPr>
                <w:rFonts w:ascii="宋体" w:hAnsi="宋体"/>
              </w:rPr>
            </w:pPr>
          </w:p>
        </w:tc>
        <w:tc>
          <w:tcPr>
            <w:tcW w:w="8686" w:type="dxa"/>
            <w:gridSpan w:val="4"/>
            <w:vAlign w:val="center"/>
          </w:tcPr>
          <w:p w:rsidR="004F34D9" w:rsidRPr="00123108" w:rsidRDefault="004F34D9">
            <w:pPr>
              <w:spacing w:line="260" w:lineRule="exact"/>
              <w:rPr>
                <w:rFonts w:ascii="宋体" w:hAnsi="宋体" w:hint="eastAsia"/>
              </w:rPr>
            </w:pPr>
            <w:r w:rsidRPr="00123108">
              <w:rPr>
                <w:rFonts w:ascii="宋体" w:hAnsi="宋体" w:hint="eastAsia"/>
              </w:rPr>
              <w:t>危险特性：其蒸气可与空气形成爆炸性混合物。遇明火、高热或氧化剂接触，有引起燃烧爆炸的危险。遇酸性催化剂如路易斯催化剂、齐格勒催化剂、硫酸、氯化铁、氯化铝等都能产生猛烈聚合，放出大量热量。其蒸气比空气重，能在较低处扩散到相当远的地方，遇明火会引着回燃。</w:t>
            </w:r>
          </w:p>
        </w:tc>
      </w:tr>
      <w:tr w:rsidR="004F34D9" w:rsidRPr="00123108">
        <w:trPr>
          <w:cantSplit/>
          <w:jc w:val="center"/>
        </w:trPr>
        <w:tc>
          <w:tcPr>
            <w:tcW w:w="488" w:type="dxa"/>
            <w:vMerge/>
            <w:vAlign w:val="center"/>
          </w:tcPr>
          <w:p w:rsidR="004F34D9" w:rsidRPr="00123108" w:rsidRDefault="004F34D9">
            <w:pPr>
              <w:spacing w:line="260" w:lineRule="exact"/>
              <w:jc w:val="center"/>
              <w:rPr>
                <w:rFonts w:ascii="宋体" w:hAnsi="宋体"/>
              </w:rPr>
            </w:pPr>
          </w:p>
        </w:tc>
        <w:tc>
          <w:tcPr>
            <w:tcW w:w="8686" w:type="dxa"/>
            <w:gridSpan w:val="4"/>
            <w:vAlign w:val="center"/>
          </w:tcPr>
          <w:p w:rsidR="004F34D9" w:rsidRPr="00123108" w:rsidRDefault="004F34D9">
            <w:pPr>
              <w:spacing w:line="260" w:lineRule="exact"/>
              <w:rPr>
                <w:rFonts w:ascii="宋体" w:hAnsi="宋体" w:hint="eastAsia"/>
              </w:rPr>
            </w:pPr>
            <w:r w:rsidRPr="00123108">
              <w:rPr>
                <w:rFonts w:ascii="宋体" w:hAnsi="宋体" w:hint="eastAsia"/>
              </w:rPr>
              <w:t>灭火方法：尽可能将容器从火场移至空旷处。喷水保持火场容器冷却，直至灭火结束。灭火剂：泡沫、干粉、二氧化碳、砂土。用水灭火无效。遇大火，消防人员须在有防护掩蔽处操作。</w:t>
            </w:r>
          </w:p>
        </w:tc>
      </w:tr>
      <w:tr w:rsidR="004F34D9" w:rsidRPr="00123108">
        <w:trPr>
          <w:cantSplit/>
          <w:jc w:val="center"/>
        </w:trPr>
        <w:tc>
          <w:tcPr>
            <w:tcW w:w="488" w:type="dxa"/>
            <w:vAlign w:val="center"/>
          </w:tcPr>
          <w:p w:rsidR="004F34D9" w:rsidRPr="00123108" w:rsidRDefault="004F34D9">
            <w:pPr>
              <w:spacing w:line="260" w:lineRule="exact"/>
              <w:jc w:val="center"/>
              <w:rPr>
                <w:rFonts w:ascii="宋体" w:hAnsi="宋体" w:hint="eastAsia"/>
              </w:rPr>
            </w:pPr>
            <w:r w:rsidRPr="00123108">
              <w:rPr>
                <w:rFonts w:ascii="宋体" w:hAnsi="宋体" w:hint="eastAsia"/>
              </w:rPr>
              <w:t>毒</w:t>
            </w:r>
          </w:p>
          <w:p w:rsidR="004F34D9" w:rsidRPr="00123108" w:rsidRDefault="004F34D9">
            <w:pPr>
              <w:spacing w:line="260" w:lineRule="exact"/>
              <w:jc w:val="center"/>
              <w:rPr>
                <w:rFonts w:ascii="宋体" w:hAnsi="宋体"/>
              </w:rPr>
            </w:pPr>
            <w:r w:rsidRPr="00123108">
              <w:rPr>
                <w:rFonts w:ascii="宋体" w:hAnsi="宋体" w:hint="eastAsia"/>
              </w:rPr>
              <w:t>性</w:t>
            </w:r>
          </w:p>
        </w:tc>
        <w:tc>
          <w:tcPr>
            <w:tcW w:w="8686" w:type="dxa"/>
            <w:gridSpan w:val="4"/>
            <w:vAlign w:val="center"/>
          </w:tcPr>
          <w:p w:rsidR="004F34D9" w:rsidRPr="00123108" w:rsidRDefault="004F34D9">
            <w:pPr>
              <w:spacing w:line="260" w:lineRule="exact"/>
              <w:rPr>
                <w:rFonts w:ascii="宋体" w:hAnsi="宋体" w:hint="eastAsia"/>
              </w:rPr>
            </w:pPr>
            <w:r w:rsidRPr="00123108">
              <w:rPr>
                <w:rFonts w:ascii="宋体" w:hAnsi="宋体" w:hint="eastAsia"/>
              </w:rPr>
              <w:t>LD</w:t>
            </w:r>
            <w:r w:rsidRPr="00123108">
              <w:rPr>
                <w:rFonts w:ascii="宋体" w:hAnsi="宋体" w:hint="eastAsia"/>
                <w:vertAlign w:val="subscript"/>
              </w:rPr>
              <w:t>50</w:t>
            </w:r>
            <w:r w:rsidRPr="00123108">
              <w:rPr>
                <w:rFonts w:ascii="宋体" w:hAnsi="宋体" w:hint="eastAsia"/>
              </w:rPr>
              <w:t>：5000</w:t>
            </w:r>
            <w:r w:rsidRPr="00123108">
              <w:rPr>
                <w:rFonts w:ascii="宋体" w:hAnsi="宋体"/>
              </w:rPr>
              <w:t>mg/kg</w:t>
            </w:r>
            <w:r w:rsidRPr="00123108">
              <w:rPr>
                <w:rFonts w:ascii="宋体" w:hAnsi="宋体" w:hint="eastAsia"/>
              </w:rPr>
              <w:t>(大鼠经口)； LD</w:t>
            </w:r>
            <w:r w:rsidRPr="00123108">
              <w:rPr>
                <w:rFonts w:ascii="宋体" w:hAnsi="宋体" w:hint="eastAsia"/>
                <w:vertAlign w:val="subscript"/>
              </w:rPr>
              <w:t>50</w:t>
            </w:r>
            <w:r w:rsidRPr="00123108">
              <w:rPr>
                <w:rFonts w:ascii="宋体" w:hAnsi="宋体" w:hint="eastAsia"/>
              </w:rPr>
              <w:t>：24000</w:t>
            </w:r>
            <w:r w:rsidRPr="00123108">
              <w:rPr>
                <w:rFonts w:ascii="宋体" w:hAnsi="宋体"/>
              </w:rPr>
              <w:t>mg/kg</w:t>
            </w:r>
            <w:r w:rsidRPr="00123108">
              <w:rPr>
                <w:rFonts w:ascii="宋体" w:hAnsi="宋体" w:hint="eastAsia"/>
              </w:rPr>
              <w:t>，4小时(小鼠吸入)；</w:t>
            </w:r>
          </w:p>
          <w:p w:rsidR="004F34D9" w:rsidRPr="00123108" w:rsidRDefault="004F34D9">
            <w:pPr>
              <w:spacing w:line="260" w:lineRule="exact"/>
              <w:rPr>
                <w:rFonts w:ascii="宋体" w:hAnsi="宋体" w:hint="eastAsia"/>
              </w:rPr>
            </w:pPr>
            <w:r w:rsidRPr="00123108">
              <w:rPr>
                <w:rFonts w:ascii="宋体" w:hAnsi="宋体" w:hint="eastAsia"/>
              </w:rPr>
              <w:t>IARC致癌性评论：动物可疑阳性，人类无可靠证据。</w:t>
            </w:r>
          </w:p>
        </w:tc>
      </w:tr>
      <w:tr w:rsidR="004F34D9" w:rsidRPr="00123108">
        <w:trPr>
          <w:cantSplit/>
          <w:trHeight w:val="240"/>
          <w:jc w:val="center"/>
        </w:trPr>
        <w:tc>
          <w:tcPr>
            <w:tcW w:w="488" w:type="dxa"/>
            <w:vMerge w:val="restart"/>
            <w:vAlign w:val="center"/>
          </w:tcPr>
          <w:p w:rsidR="004F34D9" w:rsidRPr="00123108" w:rsidRDefault="004F34D9">
            <w:pPr>
              <w:spacing w:line="260" w:lineRule="exact"/>
              <w:jc w:val="center"/>
              <w:rPr>
                <w:rFonts w:ascii="宋体" w:hAnsi="宋体" w:hint="eastAsia"/>
              </w:rPr>
            </w:pPr>
            <w:r w:rsidRPr="00123108">
              <w:rPr>
                <w:rFonts w:ascii="宋体" w:hAnsi="宋体" w:hint="eastAsia"/>
              </w:rPr>
              <w:t>健康危害</w:t>
            </w:r>
          </w:p>
        </w:tc>
        <w:tc>
          <w:tcPr>
            <w:tcW w:w="8686" w:type="dxa"/>
            <w:gridSpan w:val="4"/>
            <w:vAlign w:val="center"/>
          </w:tcPr>
          <w:p w:rsidR="004F34D9" w:rsidRPr="00123108" w:rsidRDefault="004F34D9">
            <w:pPr>
              <w:spacing w:line="260" w:lineRule="exact"/>
              <w:rPr>
                <w:rFonts w:ascii="宋体" w:hAnsi="宋体" w:hint="eastAsia"/>
              </w:rPr>
            </w:pPr>
            <w:r w:rsidRPr="00123108">
              <w:rPr>
                <w:rFonts w:ascii="宋体" w:hAnsi="宋体" w:hint="eastAsia"/>
              </w:rPr>
              <w:t>侵入途经：吸入、食入、皮肤吸收。</w:t>
            </w:r>
          </w:p>
        </w:tc>
      </w:tr>
      <w:tr w:rsidR="004F34D9" w:rsidRPr="00123108">
        <w:trPr>
          <w:cantSplit/>
          <w:trHeight w:val="819"/>
          <w:jc w:val="center"/>
        </w:trPr>
        <w:tc>
          <w:tcPr>
            <w:tcW w:w="488" w:type="dxa"/>
            <w:vMerge/>
            <w:vAlign w:val="center"/>
          </w:tcPr>
          <w:p w:rsidR="004F34D9" w:rsidRPr="00123108" w:rsidRDefault="004F34D9">
            <w:pPr>
              <w:spacing w:line="260" w:lineRule="exact"/>
              <w:jc w:val="center"/>
              <w:rPr>
                <w:rFonts w:ascii="宋体" w:hAnsi="宋体" w:hint="eastAsia"/>
              </w:rPr>
            </w:pPr>
          </w:p>
        </w:tc>
        <w:tc>
          <w:tcPr>
            <w:tcW w:w="8686" w:type="dxa"/>
            <w:gridSpan w:val="4"/>
            <w:vAlign w:val="center"/>
          </w:tcPr>
          <w:p w:rsidR="004F34D9" w:rsidRPr="00123108" w:rsidRDefault="004F34D9">
            <w:pPr>
              <w:spacing w:line="260" w:lineRule="exact"/>
              <w:rPr>
                <w:rFonts w:ascii="宋体" w:hAnsi="宋体" w:hint="eastAsia"/>
              </w:rPr>
            </w:pPr>
            <w:r w:rsidRPr="00123108">
              <w:rPr>
                <w:rFonts w:ascii="宋体" w:hAnsi="宋体" w:hint="eastAsia"/>
              </w:rPr>
              <w:t>对眼和上呼吸道粘膜有刺激和麻醉作用。高浓度接触时，立即引起眼及上呼吸道粘膜的刺激，出现眼痛、流泪、流涕、喷嚏、咽痛、咳嗽等，继之头痛、头晕、恶心、呕吐、全身乏力等；严重者可有眩晕、步态蹒跚。眼部受苯乙烯污染时，可致灼伤。·慢性影响：常见神经衰弱综合症，有头痛、乏力、恶心、食欲减退、腹胀、忧郁、健忘、指颤等。对呼吸道有刺激作用，长期接触有时引起阻塞性肺部病变。皮肤粗糙、皲裂和增厚。</w:t>
            </w:r>
          </w:p>
        </w:tc>
      </w:tr>
      <w:tr w:rsidR="004F34D9" w:rsidRPr="00123108">
        <w:trPr>
          <w:cantSplit/>
          <w:jc w:val="center"/>
        </w:trPr>
        <w:tc>
          <w:tcPr>
            <w:tcW w:w="488" w:type="dxa"/>
            <w:vAlign w:val="center"/>
          </w:tcPr>
          <w:p w:rsidR="004F34D9" w:rsidRPr="00123108" w:rsidRDefault="004F34D9">
            <w:pPr>
              <w:spacing w:line="260" w:lineRule="exact"/>
              <w:jc w:val="center"/>
              <w:rPr>
                <w:rFonts w:ascii="宋体" w:hAnsi="宋体" w:hint="eastAsia"/>
              </w:rPr>
            </w:pPr>
            <w:r w:rsidRPr="00123108">
              <w:rPr>
                <w:rFonts w:ascii="宋体" w:hAnsi="宋体" w:hint="eastAsia"/>
              </w:rPr>
              <w:t>急</w:t>
            </w:r>
          </w:p>
          <w:p w:rsidR="004F34D9" w:rsidRPr="00123108" w:rsidRDefault="004F34D9">
            <w:pPr>
              <w:spacing w:line="260" w:lineRule="exact"/>
              <w:jc w:val="center"/>
              <w:rPr>
                <w:rFonts w:ascii="宋体" w:hAnsi="宋体" w:hint="eastAsia"/>
              </w:rPr>
            </w:pPr>
            <w:r w:rsidRPr="00123108">
              <w:rPr>
                <w:rFonts w:ascii="宋体" w:hAnsi="宋体" w:hint="eastAsia"/>
              </w:rPr>
              <w:t>救</w:t>
            </w:r>
          </w:p>
        </w:tc>
        <w:tc>
          <w:tcPr>
            <w:tcW w:w="8686" w:type="dxa"/>
            <w:gridSpan w:val="4"/>
            <w:vAlign w:val="center"/>
          </w:tcPr>
          <w:p w:rsidR="004F34D9" w:rsidRPr="00123108" w:rsidRDefault="004F34D9">
            <w:pPr>
              <w:spacing w:line="260" w:lineRule="exact"/>
              <w:rPr>
                <w:rFonts w:ascii="宋体" w:hAnsi="宋体" w:hint="eastAsia"/>
              </w:rPr>
            </w:pPr>
            <w:r w:rsidRPr="00123108">
              <w:rPr>
                <w:rFonts w:ascii="宋体" w:hAnsi="宋体" w:hint="eastAsia"/>
              </w:rPr>
              <w:t>皮肤接触：脱去被污染的衣着，用肥皂水和清水彻底冲洗皮肤。眼睛接触：立即提起眼睑，用大量流动清水或生理盐水彻底冲洗至少15分钟。就医。吸入：迅速脱离现场至空气新鲜处。保持呼吸道通畅。如呼吸困难，给输氧。如呼吸停止，立即进行人工呼吸，就医。食入：饮足量温水，催吐，就医。</w:t>
            </w:r>
          </w:p>
        </w:tc>
      </w:tr>
      <w:tr w:rsidR="004F34D9" w:rsidRPr="00123108">
        <w:trPr>
          <w:cantSplit/>
          <w:jc w:val="center"/>
        </w:trPr>
        <w:tc>
          <w:tcPr>
            <w:tcW w:w="488" w:type="dxa"/>
            <w:vAlign w:val="center"/>
          </w:tcPr>
          <w:p w:rsidR="004F34D9" w:rsidRPr="00123108" w:rsidRDefault="004F34D9">
            <w:pPr>
              <w:spacing w:line="260" w:lineRule="exact"/>
              <w:jc w:val="center"/>
              <w:rPr>
                <w:rFonts w:ascii="宋体" w:hAnsi="宋体" w:hint="eastAsia"/>
              </w:rPr>
            </w:pPr>
            <w:r w:rsidRPr="00123108">
              <w:rPr>
                <w:rFonts w:ascii="宋体" w:hAnsi="宋体" w:hint="eastAsia"/>
              </w:rPr>
              <w:t>防</w:t>
            </w:r>
          </w:p>
          <w:p w:rsidR="004F34D9" w:rsidRPr="00123108" w:rsidRDefault="004F34D9">
            <w:pPr>
              <w:spacing w:line="260" w:lineRule="exact"/>
              <w:jc w:val="center"/>
              <w:rPr>
                <w:rFonts w:ascii="宋体" w:hAnsi="宋体" w:hint="eastAsia"/>
              </w:rPr>
            </w:pPr>
            <w:r w:rsidRPr="00123108">
              <w:rPr>
                <w:rFonts w:ascii="宋体" w:hAnsi="宋体" w:hint="eastAsia"/>
              </w:rPr>
              <w:t>护</w:t>
            </w:r>
          </w:p>
        </w:tc>
        <w:tc>
          <w:tcPr>
            <w:tcW w:w="8686" w:type="dxa"/>
            <w:gridSpan w:val="4"/>
            <w:vAlign w:val="center"/>
          </w:tcPr>
          <w:p w:rsidR="004F34D9" w:rsidRPr="00123108" w:rsidRDefault="004F34D9">
            <w:pPr>
              <w:spacing w:line="260" w:lineRule="exact"/>
              <w:rPr>
                <w:rFonts w:ascii="宋体" w:hAnsi="宋体" w:hint="eastAsia"/>
              </w:rPr>
            </w:pPr>
            <w:r w:rsidRPr="00123108">
              <w:rPr>
                <w:rFonts w:ascii="宋体" w:hAnsi="宋体" w:hint="eastAsia"/>
              </w:rPr>
              <w:t>工程控制：生产过程密闭，加强通风。呼吸系统防护：空气中浓度超标时，建议佩戴过滤式防毒面具（半面罩）。紧急事态抢救或撤离时，建议佩戴隔离式呼吸器。眼睛防护：高浓度接触时可戴化学安全防护眼镜。身体防护：穿防毒物渗透工作服。手防护：戴防苯耐油手套。其他：工作现场禁止吸烟、进食和饮水。工作毕，淋浴更衣。</w:t>
            </w:r>
          </w:p>
        </w:tc>
      </w:tr>
      <w:tr w:rsidR="004F34D9" w:rsidRPr="00123108">
        <w:trPr>
          <w:cantSplit/>
          <w:jc w:val="center"/>
        </w:trPr>
        <w:tc>
          <w:tcPr>
            <w:tcW w:w="488" w:type="dxa"/>
            <w:vAlign w:val="center"/>
          </w:tcPr>
          <w:p w:rsidR="004F34D9" w:rsidRPr="00123108" w:rsidRDefault="004F34D9">
            <w:pPr>
              <w:spacing w:line="260" w:lineRule="exact"/>
              <w:jc w:val="center"/>
              <w:rPr>
                <w:rFonts w:ascii="宋体" w:hAnsi="宋体" w:hint="eastAsia"/>
              </w:rPr>
            </w:pPr>
            <w:r w:rsidRPr="00123108">
              <w:rPr>
                <w:rFonts w:ascii="宋体" w:hAnsi="宋体" w:hint="eastAsia"/>
              </w:rPr>
              <w:t>泄</w:t>
            </w:r>
          </w:p>
          <w:p w:rsidR="004F34D9" w:rsidRPr="00123108" w:rsidRDefault="004F34D9">
            <w:pPr>
              <w:spacing w:line="260" w:lineRule="exact"/>
              <w:jc w:val="center"/>
              <w:rPr>
                <w:rFonts w:ascii="宋体" w:hAnsi="宋体" w:hint="eastAsia"/>
              </w:rPr>
            </w:pPr>
            <w:r w:rsidRPr="00123108">
              <w:rPr>
                <w:rFonts w:ascii="宋体" w:hAnsi="宋体" w:hint="eastAsia"/>
              </w:rPr>
              <w:t>漏</w:t>
            </w:r>
          </w:p>
          <w:p w:rsidR="004F34D9" w:rsidRPr="00123108" w:rsidRDefault="004F34D9">
            <w:pPr>
              <w:spacing w:line="260" w:lineRule="exact"/>
              <w:jc w:val="center"/>
              <w:rPr>
                <w:rFonts w:ascii="宋体" w:hAnsi="宋体" w:hint="eastAsia"/>
              </w:rPr>
            </w:pPr>
            <w:r w:rsidRPr="00123108">
              <w:rPr>
                <w:rFonts w:ascii="宋体" w:hAnsi="宋体" w:hint="eastAsia"/>
              </w:rPr>
              <w:t>处</w:t>
            </w:r>
          </w:p>
          <w:p w:rsidR="004F34D9" w:rsidRPr="00123108" w:rsidRDefault="004F34D9">
            <w:pPr>
              <w:spacing w:line="260" w:lineRule="exact"/>
              <w:jc w:val="center"/>
              <w:rPr>
                <w:rFonts w:ascii="宋体" w:hAnsi="宋体" w:hint="eastAsia"/>
              </w:rPr>
            </w:pPr>
            <w:r w:rsidRPr="00123108">
              <w:rPr>
                <w:rFonts w:ascii="宋体" w:hAnsi="宋体" w:hint="eastAsia"/>
              </w:rPr>
              <w:t>理</w:t>
            </w:r>
          </w:p>
        </w:tc>
        <w:tc>
          <w:tcPr>
            <w:tcW w:w="8686" w:type="dxa"/>
            <w:gridSpan w:val="4"/>
            <w:vAlign w:val="center"/>
          </w:tcPr>
          <w:p w:rsidR="004F34D9" w:rsidRPr="00123108" w:rsidRDefault="004F34D9">
            <w:pPr>
              <w:spacing w:line="260" w:lineRule="exact"/>
              <w:rPr>
                <w:rFonts w:ascii="宋体" w:hAnsi="宋体" w:hint="eastAsia"/>
              </w:rPr>
            </w:pPr>
            <w:r w:rsidRPr="00123108">
              <w:rPr>
                <w:rFonts w:ascii="宋体" w:hAnsi="宋体" w:hint="eastAsia"/>
              </w:rPr>
              <w:t>迅速撤离泄漏污染区人员至安全区，并进行隔离，严格限制出入。切断火源。建议应急处理人员戴自给正压式呼吸器，穿消防防护服。尽可能切断泄漏源，防止进入下水道、排洪沟等限制性空间。小量泄漏：用活性炭或其他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rsidR="004F34D9" w:rsidRPr="00123108">
        <w:trPr>
          <w:cantSplit/>
          <w:jc w:val="center"/>
        </w:trPr>
        <w:tc>
          <w:tcPr>
            <w:tcW w:w="488" w:type="dxa"/>
            <w:vAlign w:val="center"/>
          </w:tcPr>
          <w:p w:rsidR="004F34D9" w:rsidRPr="00123108" w:rsidRDefault="004F34D9">
            <w:pPr>
              <w:spacing w:line="260" w:lineRule="exact"/>
              <w:jc w:val="center"/>
              <w:rPr>
                <w:rFonts w:ascii="宋体" w:hAnsi="宋体" w:hint="eastAsia"/>
              </w:rPr>
            </w:pPr>
            <w:r w:rsidRPr="00123108">
              <w:rPr>
                <w:rFonts w:ascii="宋体" w:hAnsi="宋体" w:hint="eastAsia"/>
              </w:rPr>
              <w:t>储</w:t>
            </w:r>
          </w:p>
          <w:p w:rsidR="004F34D9" w:rsidRPr="00123108" w:rsidRDefault="004F34D9">
            <w:pPr>
              <w:spacing w:line="260" w:lineRule="exact"/>
              <w:jc w:val="center"/>
              <w:rPr>
                <w:rFonts w:ascii="宋体" w:hAnsi="宋体" w:hint="eastAsia"/>
                <w:bCs/>
              </w:rPr>
            </w:pPr>
            <w:r w:rsidRPr="00123108">
              <w:rPr>
                <w:rFonts w:ascii="宋体" w:hAnsi="宋体" w:hint="eastAsia"/>
                <w:bCs/>
              </w:rPr>
              <w:t>运</w:t>
            </w:r>
          </w:p>
        </w:tc>
        <w:tc>
          <w:tcPr>
            <w:tcW w:w="8686" w:type="dxa"/>
            <w:gridSpan w:val="4"/>
            <w:vAlign w:val="center"/>
          </w:tcPr>
          <w:p w:rsidR="004F34D9" w:rsidRPr="00123108" w:rsidRDefault="004F34D9">
            <w:pPr>
              <w:spacing w:line="260" w:lineRule="exact"/>
              <w:rPr>
                <w:rFonts w:ascii="宋体" w:hAnsi="宋体" w:hint="eastAsia"/>
              </w:rPr>
            </w:pPr>
            <w:r w:rsidRPr="00123108">
              <w:rPr>
                <w:rFonts w:ascii="宋体" w:hAnsi="宋体" w:hint="eastAsia"/>
              </w:rPr>
              <w:t>通常商品加有阻聚剂。储存于阴凉、通风仓间内。仓内温度不宜超过30℃。远离火种、热源，防止阳光直射。包装要求密封，不可与空气接触。应与氧化剂、酸类分开存放。不宜大量或旧存。储存间内的照明、通风等设施应采用防爆型，开关设在仓外。配备相应品种和数量的消防器材。罐储时要有防火放爆措施。禁止使用易产生火花的机械设备和工具。灌装时应注意流速（不超过3m/s）,且有接地装置，防止静电积聚。搬运时要轻装轻卸，防止包装及容器破损。</w:t>
            </w:r>
          </w:p>
        </w:tc>
      </w:tr>
    </w:tbl>
    <w:p w:rsidR="004F34D9" w:rsidRPr="00123108" w:rsidRDefault="004F34D9">
      <w:pPr>
        <w:pStyle w:val="2fd"/>
        <w:ind w:firstLineChars="0" w:firstLine="0"/>
        <w:jc w:val="center"/>
        <w:rPr>
          <w:rFonts w:hint="eastAsia"/>
          <w:b/>
          <w:sz w:val="28"/>
          <w:szCs w:val="28"/>
        </w:rPr>
      </w:pPr>
      <w:r w:rsidRPr="00123108">
        <w:rPr>
          <w:rFonts w:hint="eastAsia"/>
          <w:b/>
          <w:sz w:val="28"/>
          <w:szCs w:val="28"/>
        </w:rPr>
        <w:t>附表</w:t>
      </w:r>
      <w:r w:rsidRPr="00123108">
        <w:rPr>
          <w:rFonts w:hint="eastAsia"/>
          <w:b/>
          <w:sz w:val="28"/>
          <w:szCs w:val="28"/>
        </w:rPr>
        <w:t xml:space="preserve">4.1-3  </w:t>
      </w:r>
      <w:r w:rsidRPr="00123108">
        <w:rPr>
          <w:rFonts w:hint="eastAsia"/>
          <w:b/>
          <w:sz w:val="28"/>
          <w:szCs w:val="28"/>
        </w:rPr>
        <w:t>盐酸的理化及危险特性</w:t>
      </w:r>
    </w:p>
    <w:tbl>
      <w:tblPr>
        <w:tblW w:w="9174" w:type="dxa"/>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9"/>
        <w:gridCol w:w="3496"/>
        <w:gridCol w:w="2679"/>
        <w:gridCol w:w="2510"/>
      </w:tblGrid>
      <w:tr w:rsidR="004F34D9" w:rsidRPr="00123108">
        <w:trPr>
          <w:cantSplit/>
          <w:jc w:val="center"/>
        </w:trPr>
        <w:tc>
          <w:tcPr>
            <w:tcW w:w="489" w:type="dxa"/>
            <w:vMerge w:val="restart"/>
            <w:tcBorders>
              <w:top w:val="single" w:sz="4" w:space="0" w:color="auto"/>
              <w:left w:val="single" w:sz="4" w:space="0" w:color="auto"/>
              <w:right w:val="single" w:sz="4" w:space="0" w:color="auto"/>
            </w:tcBorders>
            <w:vAlign w:val="center"/>
          </w:tcPr>
          <w:p w:rsidR="004F34D9" w:rsidRPr="00123108" w:rsidRDefault="004F34D9">
            <w:pPr>
              <w:spacing w:line="290" w:lineRule="exact"/>
              <w:rPr>
                <w:rFonts w:ascii="宋体" w:hAnsi="宋体"/>
              </w:rPr>
            </w:pPr>
            <w:r w:rsidRPr="00123108">
              <w:rPr>
                <w:rFonts w:ascii="宋体" w:hAnsi="宋体" w:hint="eastAsia"/>
              </w:rPr>
              <w:lastRenderedPageBreak/>
              <w:t>标 识</w:t>
            </w:r>
          </w:p>
        </w:tc>
        <w:tc>
          <w:tcPr>
            <w:tcW w:w="3496"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bCs/>
              </w:rPr>
            </w:pPr>
            <w:r w:rsidRPr="00123108">
              <w:rPr>
                <w:rFonts w:ascii="宋体" w:hAnsi="宋体" w:hint="eastAsia"/>
                <w:bCs/>
              </w:rPr>
              <w:t>中文名：盐酸；氢氯酸</w:t>
            </w:r>
          </w:p>
        </w:tc>
        <w:tc>
          <w:tcPr>
            <w:tcW w:w="5189"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spacing w:val="-20"/>
              </w:rPr>
            </w:pPr>
            <w:r w:rsidRPr="00123108">
              <w:rPr>
                <w:rFonts w:ascii="宋体" w:hAnsi="宋体" w:hint="eastAsia"/>
                <w:spacing w:val="-20"/>
              </w:rPr>
              <w:t>英文名</w:t>
            </w:r>
            <w:r w:rsidRPr="00123108">
              <w:rPr>
                <w:rFonts w:ascii="宋体" w:hAnsi="宋体" w:hint="eastAsia"/>
                <w:spacing w:val="-20"/>
                <w:lang w:val="en-GB"/>
              </w:rPr>
              <w:t>：</w:t>
            </w:r>
            <w:r w:rsidRPr="00123108">
              <w:rPr>
                <w:rFonts w:ascii="宋体" w:hAnsi="宋体" w:hint="eastAsia"/>
                <w:spacing w:val="-20"/>
              </w:rPr>
              <w:t>hydrochloric acid</w:t>
            </w:r>
            <w:r w:rsidRPr="00123108">
              <w:rPr>
                <w:rFonts w:ascii="宋体" w:hAnsi="宋体" w:hint="eastAsia"/>
                <w:spacing w:val="-20"/>
                <w:lang w:val="en-GB"/>
              </w:rPr>
              <w:t>；</w:t>
            </w:r>
            <w:r w:rsidRPr="00123108">
              <w:rPr>
                <w:rFonts w:ascii="宋体" w:hAnsi="宋体" w:hint="eastAsia"/>
                <w:spacing w:val="-20"/>
              </w:rPr>
              <w:t>chlorohydric acid</w:t>
            </w:r>
          </w:p>
        </w:tc>
      </w:tr>
      <w:tr w:rsidR="004F34D9" w:rsidRPr="00123108">
        <w:trPr>
          <w:cantSplit/>
          <w:jc w:val="center"/>
        </w:trPr>
        <w:tc>
          <w:tcPr>
            <w:tcW w:w="489" w:type="dxa"/>
            <w:vMerge/>
            <w:tcBorders>
              <w:left w:val="single" w:sz="4" w:space="0" w:color="auto"/>
              <w:right w:val="single" w:sz="4" w:space="0" w:color="auto"/>
            </w:tcBorders>
            <w:vAlign w:val="center"/>
          </w:tcPr>
          <w:p w:rsidR="004F34D9" w:rsidRPr="00123108" w:rsidRDefault="004F34D9">
            <w:pPr>
              <w:spacing w:line="290" w:lineRule="exact"/>
              <w:rPr>
                <w:rFonts w:ascii="宋体" w:hAnsi="宋体"/>
              </w:rPr>
            </w:pPr>
          </w:p>
        </w:tc>
        <w:tc>
          <w:tcPr>
            <w:tcW w:w="3496"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vertAlign w:val="subscript"/>
              </w:rPr>
            </w:pPr>
            <w:r w:rsidRPr="00123108">
              <w:rPr>
                <w:rFonts w:ascii="宋体" w:hAnsi="宋体" w:hint="eastAsia"/>
              </w:rPr>
              <w:t>分子式</w:t>
            </w:r>
            <w:r w:rsidRPr="00123108">
              <w:rPr>
                <w:rFonts w:ascii="宋体" w:hAnsi="宋体" w:hint="eastAsia"/>
                <w:lang w:val="en-GB"/>
              </w:rPr>
              <w:t>：</w:t>
            </w:r>
            <w:r w:rsidRPr="00123108">
              <w:rPr>
                <w:rFonts w:ascii="宋体" w:hAnsi="宋体" w:hint="eastAsia"/>
              </w:rPr>
              <w:t>HCl</w:t>
            </w:r>
          </w:p>
        </w:tc>
        <w:tc>
          <w:tcPr>
            <w:tcW w:w="2679"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分子量：36.46</w:t>
            </w:r>
          </w:p>
        </w:tc>
        <w:tc>
          <w:tcPr>
            <w:tcW w:w="2510"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UN编号：1789</w:t>
            </w:r>
          </w:p>
        </w:tc>
      </w:tr>
      <w:tr w:rsidR="004F34D9" w:rsidRPr="00123108">
        <w:trPr>
          <w:cantSplit/>
          <w:jc w:val="center"/>
        </w:trPr>
        <w:tc>
          <w:tcPr>
            <w:tcW w:w="489" w:type="dxa"/>
            <w:vMerge/>
            <w:tcBorders>
              <w:left w:val="single" w:sz="4" w:space="0" w:color="auto"/>
              <w:right w:val="single" w:sz="4" w:space="0" w:color="auto"/>
            </w:tcBorders>
            <w:vAlign w:val="center"/>
          </w:tcPr>
          <w:p w:rsidR="004F34D9" w:rsidRPr="00123108" w:rsidRDefault="004F34D9">
            <w:pPr>
              <w:spacing w:line="290" w:lineRule="exact"/>
              <w:rPr>
                <w:rFonts w:ascii="宋体" w:hAnsi="宋体"/>
              </w:rPr>
            </w:pPr>
          </w:p>
        </w:tc>
        <w:tc>
          <w:tcPr>
            <w:tcW w:w="3496"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危险类别：第8</w:t>
            </w:r>
            <w:r w:rsidRPr="00123108">
              <w:rPr>
                <w:rFonts w:ascii="宋体" w:hAnsi="宋体"/>
              </w:rPr>
              <w:t>.1</w:t>
            </w:r>
            <w:r w:rsidRPr="00123108">
              <w:rPr>
                <w:rFonts w:ascii="宋体" w:hAnsi="宋体" w:hint="eastAsia"/>
              </w:rPr>
              <w:t>类；酸性腐蚀品</w:t>
            </w:r>
          </w:p>
        </w:tc>
        <w:tc>
          <w:tcPr>
            <w:tcW w:w="2679"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szCs w:val="21"/>
              </w:rPr>
              <w:t>危化品目录序号：</w:t>
            </w:r>
            <w:r w:rsidRPr="00123108">
              <w:rPr>
                <w:rFonts w:ascii="宋体" w:hAnsi="宋体" w:hint="eastAsia"/>
              </w:rPr>
              <w:t>2507</w:t>
            </w:r>
          </w:p>
        </w:tc>
        <w:tc>
          <w:tcPr>
            <w:tcW w:w="2510"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CAS号：7647-01-0</w:t>
            </w:r>
          </w:p>
        </w:tc>
      </w:tr>
      <w:tr w:rsidR="004F34D9" w:rsidRPr="00123108">
        <w:trPr>
          <w:cantSplit/>
          <w:jc w:val="center"/>
        </w:trPr>
        <w:tc>
          <w:tcPr>
            <w:tcW w:w="489" w:type="dxa"/>
            <w:vMerge/>
            <w:tcBorders>
              <w:left w:val="single" w:sz="4" w:space="0" w:color="auto"/>
              <w:bottom w:val="nil"/>
              <w:right w:val="single" w:sz="4" w:space="0" w:color="auto"/>
            </w:tcBorders>
            <w:vAlign w:val="center"/>
          </w:tcPr>
          <w:p w:rsidR="004F34D9" w:rsidRPr="00123108" w:rsidRDefault="004F34D9">
            <w:pPr>
              <w:spacing w:line="290" w:lineRule="exact"/>
              <w:rPr>
                <w:rFonts w:ascii="宋体" w:hAnsi="宋体"/>
              </w:rPr>
            </w:pPr>
          </w:p>
        </w:tc>
        <w:tc>
          <w:tcPr>
            <w:tcW w:w="3496"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包装标志：腐蚀品</w:t>
            </w:r>
          </w:p>
        </w:tc>
        <w:tc>
          <w:tcPr>
            <w:tcW w:w="5189"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包装类别：Ⅰ类</w:t>
            </w:r>
          </w:p>
        </w:tc>
      </w:tr>
      <w:tr w:rsidR="004F34D9" w:rsidRPr="00123108">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理</w:t>
            </w:r>
          </w:p>
          <w:p w:rsidR="004F34D9" w:rsidRPr="00123108" w:rsidRDefault="004F34D9">
            <w:pPr>
              <w:spacing w:line="290" w:lineRule="exact"/>
              <w:rPr>
                <w:rFonts w:ascii="宋体" w:hAnsi="宋体"/>
              </w:rPr>
            </w:pPr>
            <w:r w:rsidRPr="00123108">
              <w:rPr>
                <w:rFonts w:ascii="宋体" w:hAnsi="宋体" w:hint="eastAsia"/>
              </w:rPr>
              <w:t>化</w:t>
            </w:r>
          </w:p>
          <w:p w:rsidR="004F34D9" w:rsidRPr="00123108" w:rsidRDefault="004F34D9">
            <w:pPr>
              <w:spacing w:line="290" w:lineRule="exact"/>
              <w:rPr>
                <w:rFonts w:ascii="宋体" w:hAnsi="宋体" w:hint="eastAsia"/>
              </w:rPr>
            </w:pPr>
            <w:r w:rsidRPr="00123108">
              <w:rPr>
                <w:rFonts w:ascii="宋体" w:hAnsi="宋体" w:hint="eastAsia"/>
              </w:rPr>
              <w:t>性</w:t>
            </w:r>
          </w:p>
          <w:p w:rsidR="004F34D9" w:rsidRPr="00123108" w:rsidRDefault="004F34D9">
            <w:pPr>
              <w:spacing w:line="290" w:lineRule="exact"/>
              <w:rPr>
                <w:rFonts w:ascii="宋体" w:hAnsi="宋体"/>
              </w:rPr>
            </w:pPr>
            <w:r w:rsidRPr="00123108">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外观与性状：无色或微黄色发烟液体，有刺鼻的酸味。</w:t>
            </w:r>
          </w:p>
        </w:tc>
      </w:tr>
      <w:tr w:rsidR="004F34D9" w:rsidRPr="00123108">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bCs/>
              </w:rPr>
            </w:pPr>
            <w:r w:rsidRPr="00123108">
              <w:rPr>
                <w:rFonts w:ascii="宋体" w:hAnsi="宋体" w:hint="eastAsia"/>
                <w:bCs/>
              </w:rPr>
              <w:t>溶解性：与水混溶，溶于碱液。</w:t>
            </w:r>
          </w:p>
        </w:tc>
      </w:tr>
      <w:tr w:rsidR="004F34D9" w:rsidRPr="00123108">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rPr>
            </w:pPr>
          </w:p>
        </w:tc>
        <w:tc>
          <w:tcPr>
            <w:tcW w:w="3496"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熔点（℃）：-114.8（纯）</w:t>
            </w:r>
          </w:p>
        </w:tc>
        <w:tc>
          <w:tcPr>
            <w:tcW w:w="5189"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沸点（℃）：108. 6（20</w:t>
            </w:r>
            <w:r w:rsidRPr="00123108">
              <w:rPr>
                <w:rFonts w:ascii="宋体" w:hAnsi="宋体" w:hint="eastAsia"/>
                <w:vertAlign w:val="superscript"/>
              </w:rPr>
              <w:t>0</w:t>
            </w:r>
            <w:r w:rsidRPr="00123108">
              <w:rPr>
                <w:rFonts w:ascii="宋体" w:hAnsi="宋体" w:hint="eastAsia"/>
              </w:rPr>
              <w:t>/</w:t>
            </w:r>
            <w:r w:rsidRPr="00123108">
              <w:rPr>
                <w:rFonts w:ascii="宋体" w:hAnsi="宋体" w:hint="eastAsia"/>
                <w:vertAlign w:val="subscript"/>
              </w:rPr>
              <w:t>0</w:t>
            </w:r>
            <w:r w:rsidRPr="00123108">
              <w:rPr>
                <w:rFonts w:ascii="宋体" w:hAnsi="宋体" w:hint="eastAsia"/>
              </w:rPr>
              <w:t>）</w:t>
            </w:r>
          </w:p>
        </w:tc>
      </w:tr>
      <w:tr w:rsidR="004F34D9" w:rsidRPr="00123108">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rPr>
            </w:pPr>
          </w:p>
        </w:tc>
        <w:tc>
          <w:tcPr>
            <w:tcW w:w="3496"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相对密度（水＝1）：1.20</w:t>
            </w:r>
          </w:p>
        </w:tc>
        <w:tc>
          <w:tcPr>
            <w:tcW w:w="5189"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相对密度（空气＝1）：1.26</w:t>
            </w:r>
          </w:p>
        </w:tc>
      </w:tr>
      <w:tr w:rsidR="004F34D9" w:rsidRPr="00123108">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rPr>
            </w:pPr>
          </w:p>
        </w:tc>
        <w:tc>
          <w:tcPr>
            <w:tcW w:w="3496"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饱和蒸气压（kPa）：30.66(21℃)</w:t>
            </w:r>
          </w:p>
        </w:tc>
        <w:tc>
          <w:tcPr>
            <w:tcW w:w="5189"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燃烧热（kJ/mol）：无意义</w:t>
            </w:r>
          </w:p>
        </w:tc>
      </w:tr>
      <w:tr w:rsidR="004F34D9" w:rsidRPr="00123108">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rPr>
            </w:pPr>
          </w:p>
        </w:tc>
        <w:tc>
          <w:tcPr>
            <w:tcW w:w="3496"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临界温度（℃）：</w:t>
            </w:r>
          </w:p>
        </w:tc>
        <w:tc>
          <w:tcPr>
            <w:tcW w:w="5189"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临界压力（MPa）：</w:t>
            </w:r>
          </w:p>
        </w:tc>
      </w:tr>
      <w:tr w:rsidR="004F34D9" w:rsidRPr="00123108">
        <w:trPr>
          <w:cantSplit/>
          <w:jc w:val="center"/>
        </w:trPr>
        <w:tc>
          <w:tcPr>
            <w:tcW w:w="489" w:type="dxa"/>
            <w:vMerge w:val="restart"/>
            <w:tcBorders>
              <w:top w:val="single" w:sz="4" w:space="0" w:color="auto"/>
              <w:left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燃</w:t>
            </w:r>
          </w:p>
          <w:p w:rsidR="004F34D9" w:rsidRPr="00123108" w:rsidRDefault="004F34D9">
            <w:pPr>
              <w:spacing w:line="290" w:lineRule="exact"/>
              <w:rPr>
                <w:rFonts w:ascii="宋体" w:hAnsi="宋体" w:hint="eastAsia"/>
              </w:rPr>
            </w:pPr>
            <w:r w:rsidRPr="00123108">
              <w:rPr>
                <w:rFonts w:ascii="宋体" w:hAnsi="宋体" w:hint="eastAsia"/>
              </w:rPr>
              <w:t>烧</w:t>
            </w:r>
          </w:p>
          <w:p w:rsidR="004F34D9" w:rsidRPr="00123108" w:rsidRDefault="004F34D9">
            <w:pPr>
              <w:spacing w:line="290" w:lineRule="exact"/>
              <w:rPr>
                <w:rFonts w:ascii="宋体" w:hAnsi="宋体" w:hint="eastAsia"/>
              </w:rPr>
            </w:pPr>
            <w:r w:rsidRPr="00123108">
              <w:rPr>
                <w:rFonts w:ascii="宋体" w:hAnsi="宋体" w:hint="eastAsia"/>
              </w:rPr>
              <w:t>爆</w:t>
            </w:r>
          </w:p>
          <w:p w:rsidR="004F34D9" w:rsidRPr="00123108" w:rsidRDefault="004F34D9">
            <w:pPr>
              <w:spacing w:line="290" w:lineRule="exact"/>
              <w:rPr>
                <w:rFonts w:ascii="宋体" w:hAnsi="宋体" w:hint="eastAsia"/>
              </w:rPr>
            </w:pPr>
            <w:r w:rsidRPr="00123108">
              <w:rPr>
                <w:rFonts w:ascii="宋体" w:hAnsi="宋体" w:hint="eastAsia"/>
              </w:rPr>
              <w:t>炸</w:t>
            </w:r>
          </w:p>
          <w:p w:rsidR="004F34D9" w:rsidRPr="00123108" w:rsidRDefault="004F34D9">
            <w:pPr>
              <w:spacing w:line="290" w:lineRule="exact"/>
              <w:rPr>
                <w:rFonts w:ascii="宋体" w:hAnsi="宋体" w:hint="eastAsia"/>
              </w:rPr>
            </w:pPr>
            <w:r w:rsidRPr="00123108">
              <w:rPr>
                <w:rFonts w:ascii="宋体" w:hAnsi="宋体" w:hint="eastAsia"/>
              </w:rPr>
              <w:t>危</w:t>
            </w:r>
          </w:p>
          <w:p w:rsidR="004F34D9" w:rsidRPr="00123108" w:rsidRDefault="004F34D9">
            <w:pPr>
              <w:spacing w:line="290" w:lineRule="exact"/>
              <w:rPr>
                <w:rFonts w:ascii="宋体" w:hAnsi="宋体" w:hint="eastAsia"/>
              </w:rPr>
            </w:pPr>
            <w:r w:rsidRPr="00123108">
              <w:rPr>
                <w:rFonts w:ascii="宋体" w:hAnsi="宋体" w:hint="eastAsia"/>
              </w:rPr>
              <w:t>险</w:t>
            </w:r>
          </w:p>
          <w:p w:rsidR="004F34D9" w:rsidRPr="00123108" w:rsidRDefault="004F34D9">
            <w:pPr>
              <w:spacing w:line="290" w:lineRule="exact"/>
              <w:rPr>
                <w:rFonts w:ascii="宋体" w:hAnsi="宋体"/>
              </w:rPr>
            </w:pPr>
            <w:r w:rsidRPr="00123108">
              <w:rPr>
                <w:rFonts w:ascii="宋体" w:hAnsi="宋体" w:hint="eastAsia"/>
              </w:rPr>
              <w:t>性</w:t>
            </w:r>
          </w:p>
        </w:tc>
        <w:tc>
          <w:tcPr>
            <w:tcW w:w="3496"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rPr>
            </w:pPr>
            <w:r w:rsidRPr="00123108">
              <w:rPr>
                <w:rFonts w:ascii="宋体" w:hAnsi="宋体" w:hint="eastAsia"/>
              </w:rPr>
              <w:t>燃烧性： 不燃</w:t>
            </w:r>
          </w:p>
        </w:tc>
        <w:tc>
          <w:tcPr>
            <w:tcW w:w="5189"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闪点（℃）：无意义</w:t>
            </w:r>
          </w:p>
        </w:tc>
      </w:tr>
      <w:tr w:rsidR="004F34D9" w:rsidRPr="00123108">
        <w:trPr>
          <w:cantSplit/>
          <w:jc w:val="center"/>
        </w:trPr>
        <w:tc>
          <w:tcPr>
            <w:tcW w:w="489" w:type="dxa"/>
            <w:vMerge/>
            <w:tcBorders>
              <w:top w:val="single" w:sz="4" w:space="0" w:color="auto"/>
              <w:left w:val="single" w:sz="4" w:space="0" w:color="auto"/>
              <w:right w:val="single" w:sz="4" w:space="0" w:color="auto"/>
            </w:tcBorders>
            <w:vAlign w:val="center"/>
          </w:tcPr>
          <w:p w:rsidR="004F34D9" w:rsidRPr="00123108" w:rsidRDefault="004F34D9">
            <w:pPr>
              <w:spacing w:line="290" w:lineRule="exact"/>
              <w:rPr>
                <w:rFonts w:ascii="宋体" w:hAnsi="宋体" w:hint="eastAsia"/>
              </w:rPr>
            </w:pPr>
          </w:p>
        </w:tc>
        <w:tc>
          <w:tcPr>
            <w:tcW w:w="3496"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爆炸下限（%）：无意义</w:t>
            </w:r>
          </w:p>
        </w:tc>
        <w:tc>
          <w:tcPr>
            <w:tcW w:w="5189"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爆炸上限（%）：无意义</w:t>
            </w:r>
          </w:p>
        </w:tc>
      </w:tr>
      <w:tr w:rsidR="004F34D9" w:rsidRPr="00123108">
        <w:trPr>
          <w:cantSplit/>
          <w:jc w:val="center"/>
        </w:trPr>
        <w:tc>
          <w:tcPr>
            <w:tcW w:w="489" w:type="dxa"/>
            <w:vMerge/>
            <w:tcBorders>
              <w:top w:val="single" w:sz="4" w:space="0" w:color="auto"/>
              <w:left w:val="single" w:sz="4" w:space="0" w:color="auto"/>
              <w:right w:val="single" w:sz="4" w:space="0" w:color="auto"/>
            </w:tcBorders>
            <w:vAlign w:val="center"/>
          </w:tcPr>
          <w:p w:rsidR="004F34D9" w:rsidRPr="00123108" w:rsidRDefault="004F34D9">
            <w:pPr>
              <w:spacing w:line="290" w:lineRule="exact"/>
              <w:rPr>
                <w:rFonts w:ascii="宋体" w:hAnsi="宋体" w:hint="eastAsia"/>
              </w:rPr>
            </w:pPr>
          </w:p>
        </w:tc>
        <w:tc>
          <w:tcPr>
            <w:tcW w:w="3496"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引燃温度（℃）：无意义</w:t>
            </w:r>
          </w:p>
        </w:tc>
        <w:tc>
          <w:tcPr>
            <w:tcW w:w="5189"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最小点火能（mJ）：  无意义</w:t>
            </w:r>
          </w:p>
        </w:tc>
      </w:tr>
      <w:tr w:rsidR="004F34D9" w:rsidRPr="00123108">
        <w:trPr>
          <w:cantSplit/>
          <w:jc w:val="center"/>
        </w:trPr>
        <w:tc>
          <w:tcPr>
            <w:tcW w:w="489" w:type="dxa"/>
            <w:vMerge/>
            <w:tcBorders>
              <w:left w:val="single" w:sz="4" w:space="0" w:color="auto"/>
              <w:right w:val="single" w:sz="4" w:space="0" w:color="auto"/>
            </w:tcBorders>
            <w:vAlign w:val="center"/>
          </w:tcPr>
          <w:p w:rsidR="004F34D9" w:rsidRPr="00123108" w:rsidRDefault="004F34D9">
            <w:pPr>
              <w:spacing w:line="290" w:lineRule="exact"/>
              <w:rPr>
                <w:rFonts w:ascii="宋体" w:hAnsi="宋体"/>
              </w:rPr>
            </w:pPr>
          </w:p>
        </w:tc>
        <w:tc>
          <w:tcPr>
            <w:tcW w:w="3496"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最大爆炸压力（MPa）：无意义</w:t>
            </w:r>
          </w:p>
        </w:tc>
        <w:tc>
          <w:tcPr>
            <w:tcW w:w="5189"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稳定性： 稳定</w:t>
            </w:r>
          </w:p>
        </w:tc>
      </w:tr>
      <w:tr w:rsidR="004F34D9" w:rsidRPr="00123108">
        <w:trPr>
          <w:cantSplit/>
          <w:jc w:val="center"/>
        </w:trPr>
        <w:tc>
          <w:tcPr>
            <w:tcW w:w="489" w:type="dxa"/>
            <w:vMerge/>
            <w:tcBorders>
              <w:left w:val="single" w:sz="4" w:space="0" w:color="auto"/>
              <w:right w:val="single" w:sz="4" w:space="0" w:color="auto"/>
            </w:tcBorders>
            <w:vAlign w:val="center"/>
          </w:tcPr>
          <w:p w:rsidR="004F34D9" w:rsidRPr="00123108" w:rsidRDefault="004F34D9">
            <w:pPr>
              <w:spacing w:line="290" w:lineRule="exact"/>
              <w:rPr>
                <w:rFonts w:ascii="宋体" w:hAnsi="宋体"/>
              </w:rPr>
            </w:pPr>
          </w:p>
        </w:tc>
        <w:tc>
          <w:tcPr>
            <w:tcW w:w="3496"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聚合危害： 不聚合</w:t>
            </w:r>
          </w:p>
        </w:tc>
        <w:tc>
          <w:tcPr>
            <w:tcW w:w="5189"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燃烧分解产物： 氯化氢</w:t>
            </w:r>
          </w:p>
        </w:tc>
      </w:tr>
      <w:tr w:rsidR="004F34D9" w:rsidRPr="00123108">
        <w:trPr>
          <w:cantSplit/>
          <w:jc w:val="center"/>
        </w:trPr>
        <w:tc>
          <w:tcPr>
            <w:tcW w:w="489" w:type="dxa"/>
            <w:vMerge/>
            <w:tcBorders>
              <w:left w:val="single" w:sz="4" w:space="0" w:color="auto"/>
              <w:right w:val="single" w:sz="4" w:space="0" w:color="auto"/>
            </w:tcBorders>
            <w:vAlign w:val="center"/>
          </w:tcPr>
          <w:p w:rsidR="004F34D9" w:rsidRPr="00123108" w:rsidRDefault="004F34D9">
            <w:pPr>
              <w:spacing w:line="29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 xml:space="preserve">避免接触的条件： </w:t>
            </w:r>
          </w:p>
        </w:tc>
      </w:tr>
      <w:tr w:rsidR="004F34D9" w:rsidRPr="00123108">
        <w:trPr>
          <w:cantSplit/>
          <w:jc w:val="center"/>
        </w:trPr>
        <w:tc>
          <w:tcPr>
            <w:tcW w:w="489" w:type="dxa"/>
            <w:vMerge/>
            <w:tcBorders>
              <w:left w:val="single" w:sz="4" w:space="0" w:color="auto"/>
              <w:right w:val="single" w:sz="4" w:space="0" w:color="auto"/>
            </w:tcBorders>
            <w:vAlign w:val="center"/>
          </w:tcPr>
          <w:p w:rsidR="004F34D9" w:rsidRPr="00123108" w:rsidRDefault="004F34D9">
            <w:pPr>
              <w:spacing w:line="29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禁忌物：碱类、胺类、碱金属、易燃或可燃物。</w:t>
            </w:r>
          </w:p>
        </w:tc>
      </w:tr>
      <w:tr w:rsidR="004F34D9" w:rsidRPr="00123108">
        <w:trPr>
          <w:cantSplit/>
          <w:jc w:val="center"/>
        </w:trPr>
        <w:tc>
          <w:tcPr>
            <w:tcW w:w="489" w:type="dxa"/>
            <w:vMerge/>
            <w:tcBorders>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危险特性：能与一些活性金属粉末发生反应，放出氢气。遇氰化物能产生剧毒的氰化氢气体。与碱发生中和反应，并放出大量的热。具有较强的腐蚀性。</w:t>
            </w:r>
          </w:p>
        </w:tc>
      </w:tr>
      <w:tr w:rsidR="004F34D9" w:rsidRPr="00123108">
        <w:trPr>
          <w:cantSplit/>
          <w:jc w:val="center"/>
        </w:trPr>
        <w:tc>
          <w:tcPr>
            <w:tcW w:w="489" w:type="dxa"/>
            <w:vMerge/>
            <w:tcBorders>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灭火方法：消防人员必须佩戴氧气呼吸器、穿全身防护服。用碱性物质如碳酸氢钠、碳酸钠、消石灰等中和。也可用大量水扑救。</w:t>
            </w:r>
          </w:p>
        </w:tc>
      </w:tr>
      <w:tr w:rsidR="004F34D9" w:rsidRPr="00123108">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毒</w:t>
            </w:r>
          </w:p>
          <w:p w:rsidR="004F34D9" w:rsidRPr="00123108" w:rsidRDefault="004F34D9">
            <w:pPr>
              <w:spacing w:line="290" w:lineRule="exact"/>
              <w:rPr>
                <w:rFonts w:ascii="宋体" w:hAnsi="宋体"/>
                <w:bCs/>
              </w:rPr>
            </w:pPr>
            <w:r w:rsidRPr="00123108">
              <w:rPr>
                <w:rFonts w:ascii="宋体" w:hAnsi="宋体" w:hint="eastAsia"/>
                <w:bCs/>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LD</w:t>
            </w:r>
            <w:r w:rsidRPr="00123108">
              <w:rPr>
                <w:rFonts w:ascii="宋体" w:hAnsi="宋体" w:hint="eastAsia"/>
                <w:vertAlign w:val="subscript"/>
              </w:rPr>
              <w:t>50</w:t>
            </w:r>
            <w:r w:rsidRPr="00123108">
              <w:rPr>
                <w:rFonts w:ascii="宋体" w:hAnsi="宋体" w:hint="eastAsia"/>
              </w:rPr>
              <w:t>：—</w:t>
            </w:r>
          </w:p>
          <w:p w:rsidR="004F34D9" w:rsidRPr="00123108" w:rsidRDefault="004F34D9">
            <w:pPr>
              <w:spacing w:line="290" w:lineRule="exact"/>
              <w:rPr>
                <w:rFonts w:ascii="宋体" w:hAnsi="宋体" w:hint="eastAsia"/>
              </w:rPr>
            </w:pPr>
            <w:r w:rsidRPr="00123108">
              <w:rPr>
                <w:rFonts w:ascii="宋体" w:hAnsi="宋体" w:hint="eastAsia"/>
              </w:rPr>
              <w:t>LD</w:t>
            </w:r>
            <w:r w:rsidRPr="00123108">
              <w:rPr>
                <w:rFonts w:ascii="宋体" w:hAnsi="宋体" w:hint="eastAsia"/>
                <w:vertAlign w:val="subscript"/>
              </w:rPr>
              <w:t>50</w:t>
            </w:r>
            <w:r w:rsidRPr="00123108">
              <w:rPr>
                <w:rFonts w:ascii="宋体" w:hAnsi="宋体" w:hint="eastAsia"/>
              </w:rPr>
              <w:t>：—</w:t>
            </w:r>
          </w:p>
        </w:tc>
      </w:tr>
      <w:tr w:rsidR="004F34D9" w:rsidRPr="00123108">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侵入途经：吸入、食入。</w:t>
            </w:r>
          </w:p>
        </w:tc>
      </w:tr>
      <w:tr w:rsidR="004F34D9" w:rsidRPr="00123108">
        <w:trPr>
          <w:cantSplit/>
          <w:jc w:val="center"/>
        </w:trPr>
        <w:tc>
          <w:tcPr>
            <w:tcW w:w="489" w:type="dxa"/>
            <w:vMerge/>
            <w:tcBorders>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接触其蒸气或烟雾，可引起急性中毒，出现眼结膜炎，鼻及口腔粘膜有烧灼感，鼻拗，齿龈出血，气管炎等。误服可引起消化道灼伤、溃疡形成，有可能引起引起胃穿孔、腹膜炎等。眼和皮肤接触可致灼伤。慢性影响：长期接触，引起慢性鼻炎、慢性支气管炎、牙齿酸蚀症及皮肤损害。</w:t>
            </w:r>
          </w:p>
        </w:tc>
      </w:tr>
      <w:tr w:rsidR="004F34D9" w:rsidRPr="00123108">
        <w:trPr>
          <w:cantSplit/>
          <w:jc w:val="center"/>
        </w:trPr>
        <w:tc>
          <w:tcPr>
            <w:tcW w:w="489" w:type="dxa"/>
            <w:tcBorders>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急</w:t>
            </w:r>
          </w:p>
          <w:p w:rsidR="004F34D9" w:rsidRPr="00123108" w:rsidRDefault="004F34D9">
            <w:pPr>
              <w:spacing w:line="290" w:lineRule="exact"/>
              <w:rPr>
                <w:rFonts w:ascii="宋体" w:hAnsi="宋体" w:hint="eastAsia"/>
              </w:rPr>
            </w:pPr>
            <w:r w:rsidRPr="00123108">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皮肤接触：立即脱去被污染的衣着，用大量流动清水冲洗，至少15分钟。就医。  ※眼睛接触：立即提起眼睑，用大量流动清水或生理盐水彻底冲洗至少15分钟。就医。    ※吸入：迅速脱离现场至空气新鲜处。保持呼吸道通畅。如呼吸困难，给输氧。如呼吸停止，立即进行人工呼吸，就医。   ※食入：误食者用水漱口，给饮牛奶或蛋清。就医。</w:t>
            </w:r>
          </w:p>
        </w:tc>
      </w:tr>
      <w:tr w:rsidR="004F34D9" w:rsidRPr="00123108">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防</w:t>
            </w:r>
          </w:p>
          <w:p w:rsidR="004F34D9" w:rsidRPr="00123108" w:rsidRDefault="004F34D9">
            <w:pPr>
              <w:spacing w:line="290" w:lineRule="exact"/>
              <w:rPr>
                <w:rFonts w:ascii="宋体" w:hAnsi="宋体" w:hint="eastAsia"/>
              </w:rPr>
            </w:pPr>
            <w:r w:rsidRPr="00123108">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工程控制：密闭操作，注意通风。尽可能机械化、自动化。提供安全淋浴和洗眼设备。呼吸系统防护：可能接触其烟雾时，佩戴自吸过滤式防毒面具（全面罩）或空气呼吸器。紧急事态抢救或撒离时佩戴氧气呼吸器。眼睛防护：呼吸系统防护中已作防护。身体防护：穿橡胶耐酸碱服。手防护：戴橡胶耐酸碱手套。其他：工作场所禁止吸烟，进食、饮水和饭前要洗手。工作毕，淋浴更衣。单独存放被毒物污染的衣服，洗后备用。保持良好的卫生习惯。</w:t>
            </w:r>
          </w:p>
        </w:tc>
      </w:tr>
      <w:tr w:rsidR="004F34D9" w:rsidRPr="00123108">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泄</w:t>
            </w:r>
          </w:p>
          <w:p w:rsidR="004F34D9" w:rsidRPr="00123108" w:rsidRDefault="004F34D9">
            <w:pPr>
              <w:spacing w:line="290" w:lineRule="exact"/>
              <w:rPr>
                <w:rFonts w:ascii="宋体" w:hAnsi="宋体" w:hint="eastAsia"/>
              </w:rPr>
            </w:pPr>
            <w:r w:rsidRPr="00123108">
              <w:rPr>
                <w:rFonts w:ascii="宋体" w:hAnsi="宋体" w:hint="eastAsia"/>
              </w:rPr>
              <w:t>漏</w:t>
            </w:r>
          </w:p>
          <w:p w:rsidR="004F34D9" w:rsidRPr="00123108" w:rsidRDefault="004F34D9">
            <w:pPr>
              <w:spacing w:line="290" w:lineRule="exact"/>
              <w:rPr>
                <w:rFonts w:ascii="宋体" w:hAnsi="宋体" w:hint="eastAsia"/>
              </w:rPr>
            </w:pPr>
            <w:r w:rsidRPr="00123108">
              <w:rPr>
                <w:rFonts w:ascii="宋体" w:hAnsi="宋体" w:hint="eastAsia"/>
              </w:rPr>
              <w:t>处</w:t>
            </w:r>
          </w:p>
          <w:p w:rsidR="004F34D9" w:rsidRPr="00123108" w:rsidRDefault="004F34D9">
            <w:pPr>
              <w:spacing w:line="290" w:lineRule="exact"/>
              <w:rPr>
                <w:rFonts w:ascii="宋体" w:hAnsi="宋体" w:hint="eastAsia"/>
              </w:rPr>
            </w:pPr>
            <w:r w:rsidRPr="00123108">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迅速撤离泄漏污染区人员至安全区，并进行隔离，严格限制出入。建议应急处理人员戴自给正压式呼吸器，穿防酸碱工作服。不要直接接触泄漏物。尽可能切断泄漏源。防止进入下水道、排洪沟等限制性空间。小量泄漏：用砂土、干燥石灰或苏打灰混合。也可以用大量水冲洗，洗水稀释后放入废水系统。大量泄漏：构筑围堤或挖坑收容；用泵转移至槽车或专用收集器内，回收或运至废物处理场所处置。</w:t>
            </w:r>
          </w:p>
        </w:tc>
      </w:tr>
      <w:tr w:rsidR="004F34D9" w:rsidRPr="00123108">
        <w:trPr>
          <w:cantSplit/>
          <w:jc w:val="center"/>
        </w:trPr>
        <w:tc>
          <w:tcPr>
            <w:tcW w:w="489" w:type="dxa"/>
            <w:tcBorders>
              <w:top w:val="single" w:sz="4" w:space="0" w:color="auto"/>
              <w:left w:val="single" w:sz="4" w:space="0" w:color="auto"/>
              <w:right w:val="single" w:sz="4" w:space="0" w:color="auto"/>
            </w:tcBorders>
            <w:vAlign w:val="center"/>
          </w:tcPr>
          <w:p w:rsidR="004F34D9" w:rsidRPr="00123108" w:rsidRDefault="004F34D9">
            <w:pPr>
              <w:spacing w:line="290" w:lineRule="exact"/>
              <w:rPr>
                <w:rFonts w:ascii="宋体" w:hAnsi="宋体" w:hint="eastAsia"/>
                <w:bCs/>
              </w:rPr>
            </w:pPr>
            <w:r w:rsidRPr="00123108">
              <w:rPr>
                <w:rFonts w:ascii="宋体" w:hAnsi="宋体" w:hint="eastAsia"/>
                <w:bCs/>
              </w:rPr>
              <w:t>储</w:t>
            </w:r>
          </w:p>
          <w:p w:rsidR="004F34D9" w:rsidRPr="00123108" w:rsidRDefault="004F34D9">
            <w:pPr>
              <w:spacing w:line="290" w:lineRule="exact"/>
              <w:rPr>
                <w:rFonts w:ascii="宋体" w:hAnsi="宋体" w:hint="eastAsia"/>
              </w:rPr>
            </w:pPr>
            <w:r w:rsidRPr="00123108">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4F34D9" w:rsidRPr="00123108" w:rsidRDefault="004F34D9">
            <w:pPr>
              <w:spacing w:line="290" w:lineRule="exact"/>
              <w:rPr>
                <w:rFonts w:ascii="宋体" w:hAnsi="宋体" w:hint="eastAsia"/>
              </w:rPr>
            </w:pPr>
            <w:r w:rsidRPr="00123108">
              <w:rPr>
                <w:rFonts w:ascii="宋体" w:hAnsi="宋体" w:hint="eastAsia"/>
              </w:rPr>
              <w:t>储存于阴凉、干燥、通风良好的仓间。应与碱类、金属粉末、卤素（氟、氯、溴）、易燃或可燃物等分开存放。不可混储混运。搬运时要轻装轻卸，防止包装及容器损坏。分装和搬运作业要注意个人防护。运输按规定路线行驶。</w:t>
            </w:r>
          </w:p>
        </w:tc>
      </w:tr>
    </w:tbl>
    <w:p w:rsidR="004F34D9" w:rsidRPr="00123108" w:rsidRDefault="004F34D9">
      <w:pPr>
        <w:pStyle w:val="2fd"/>
        <w:ind w:firstLineChars="0" w:firstLine="0"/>
        <w:jc w:val="center"/>
        <w:rPr>
          <w:b/>
          <w:sz w:val="28"/>
          <w:szCs w:val="28"/>
        </w:rPr>
      </w:pPr>
      <w:r w:rsidRPr="00123108">
        <w:rPr>
          <w:rFonts w:hint="eastAsia"/>
          <w:b/>
          <w:sz w:val="28"/>
          <w:szCs w:val="28"/>
        </w:rPr>
        <w:t>附表</w:t>
      </w:r>
      <w:r w:rsidRPr="00123108">
        <w:rPr>
          <w:rFonts w:hint="eastAsia"/>
          <w:b/>
          <w:sz w:val="28"/>
          <w:szCs w:val="28"/>
        </w:rPr>
        <w:t xml:space="preserve">4.1-4  </w:t>
      </w:r>
      <w:r w:rsidRPr="00123108">
        <w:rPr>
          <w:rFonts w:hint="eastAsia"/>
          <w:b/>
          <w:sz w:val="28"/>
          <w:szCs w:val="28"/>
        </w:rPr>
        <w:t>过氧化苯甲酸叔丁酯的理化及危险特性</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1978"/>
        <w:gridCol w:w="1877"/>
        <w:gridCol w:w="4600"/>
      </w:tblGrid>
      <w:tr w:rsidR="004F34D9" w:rsidRPr="00123108">
        <w:trPr>
          <w:trHeight w:val="77"/>
        </w:trPr>
        <w:tc>
          <w:tcPr>
            <w:tcW w:w="392" w:type="pct"/>
            <w:vMerge w:val="restart"/>
            <w:vAlign w:val="center"/>
          </w:tcPr>
          <w:p w:rsidR="004F34D9" w:rsidRPr="00123108" w:rsidRDefault="004F34D9">
            <w:pPr>
              <w:spacing w:line="280" w:lineRule="exact"/>
              <w:jc w:val="center"/>
              <w:rPr>
                <w:rFonts w:ascii="宋体" w:hAnsi="宋体"/>
              </w:rPr>
            </w:pPr>
            <w:r w:rsidRPr="00123108">
              <w:rPr>
                <w:rFonts w:ascii="宋体" w:hAnsi="宋体" w:hint="eastAsia"/>
              </w:rPr>
              <w:lastRenderedPageBreak/>
              <w:t>标识</w:t>
            </w:r>
          </w:p>
        </w:tc>
        <w:tc>
          <w:tcPr>
            <w:tcW w:w="2101" w:type="pct"/>
            <w:gridSpan w:val="2"/>
            <w:vAlign w:val="center"/>
          </w:tcPr>
          <w:p w:rsidR="004F34D9" w:rsidRPr="00123108" w:rsidRDefault="004F34D9">
            <w:pPr>
              <w:rPr>
                <w:rFonts w:ascii="宋体" w:hAnsi="宋体"/>
              </w:rPr>
            </w:pPr>
            <w:r w:rsidRPr="00123108">
              <w:rPr>
                <w:rFonts w:ascii="宋体" w:hAnsi="宋体" w:hint="eastAsia"/>
              </w:rPr>
              <w:t>中文名：叔丁基过苯甲酸酯；过苯甲酸叔丁酯</w:t>
            </w:r>
          </w:p>
        </w:tc>
        <w:tc>
          <w:tcPr>
            <w:tcW w:w="2507" w:type="pct"/>
            <w:vAlign w:val="center"/>
          </w:tcPr>
          <w:p w:rsidR="004F34D9" w:rsidRPr="00123108" w:rsidRDefault="004F34D9">
            <w:pPr>
              <w:spacing w:line="280" w:lineRule="exact"/>
              <w:rPr>
                <w:rFonts w:ascii="宋体" w:hAnsi="宋体"/>
              </w:rPr>
            </w:pPr>
            <w:r w:rsidRPr="00123108">
              <w:rPr>
                <w:rFonts w:ascii="宋体" w:hAnsi="宋体" w:hint="eastAsia"/>
              </w:rPr>
              <w:t>英文名</w:t>
            </w:r>
            <w:r w:rsidRPr="00123108">
              <w:rPr>
                <w:rFonts w:ascii="宋体" w:hAnsi="宋体" w:hint="eastAsia"/>
                <w:lang w:val="en-GB"/>
              </w:rPr>
              <w:t>：</w:t>
            </w:r>
            <w:r w:rsidRPr="00123108">
              <w:rPr>
                <w:rFonts w:ascii="宋体" w:hAnsi="宋体" w:hint="eastAsia"/>
              </w:rPr>
              <w:t>tert-butyl perbenzoate</w:t>
            </w:r>
            <w:r w:rsidRPr="00123108">
              <w:rPr>
                <w:rFonts w:ascii="宋体" w:hAnsi="宋体" w:hint="eastAsia"/>
                <w:lang w:val="en-GB"/>
              </w:rPr>
              <w:t>；</w:t>
            </w:r>
            <w:r w:rsidRPr="00123108">
              <w:rPr>
                <w:rFonts w:ascii="宋体" w:hAnsi="宋体" w:hint="eastAsia"/>
              </w:rPr>
              <w:t>tert-butyl peroxybenzoate</w:t>
            </w:r>
          </w:p>
        </w:tc>
      </w:tr>
      <w:tr w:rsidR="004F34D9" w:rsidRPr="00123108">
        <w:trPr>
          <w:trHeight w:val="77"/>
        </w:trPr>
        <w:tc>
          <w:tcPr>
            <w:tcW w:w="392" w:type="pct"/>
            <w:vMerge/>
            <w:vAlign w:val="center"/>
          </w:tcPr>
          <w:p w:rsidR="004F34D9" w:rsidRPr="00123108" w:rsidRDefault="004F34D9">
            <w:pPr>
              <w:widowControl/>
              <w:spacing w:line="280" w:lineRule="exact"/>
              <w:jc w:val="center"/>
              <w:rPr>
                <w:rFonts w:ascii="宋体" w:hAnsi="宋体"/>
              </w:rPr>
            </w:pPr>
          </w:p>
        </w:tc>
        <w:tc>
          <w:tcPr>
            <w:tcW w:w="1078" w:type="pct"/>
            <w:vAlign w:val="center"/>
          </w:tcPr>
          <w:p w:rsidR="004F34D9" w:rsidRPr="00123108" w:rsidRDefault="004F34D9">
            <w:pPr>
              <w:rPr>
                <w:rFonts w:ascii="宋体" w:hAnsi="宋体"/>
              </w:rPr>
            </w:pPr>
            <w:r w:rsidRPr="00123108">
              <w:rPr>
                <w:rFonts w:ascii="宋体" w:hAnsi="宋体" w:hint="eastAsia"/>
              </w:rPr>
              <w:t>分子式</w:t>
            </w:r>
            <w:r w:rsidRPr="00123108">
              <w:rPr>
                <w:rFonts w:ascii="宋体" w:hAnsi="宋体"/>
              </w:rPr>
              <w:t xml:space="preserve"> ：</w:t>
            </w:r>
          </w:p>
        </w:tc>
        <w:tc>
          <w:tcPr>
            <w:tcW w:w="1023" w:type="pct"/>
            <w:vAlign w:val="center"/>
          </w:tcPr>
          <w:p w:rsidR="004F34D9" w:rsidRPr="00123108" w:rsidRDefault="004F34D9">
            <w:pPr>
              <w:rPr>
                <w:rFonts w:ascii="宋体" w:hAnsi="宋体"/>
              </w:rPr>
            </w:pPr>
            <w:r w:rsidRPr="00123108">
              <w:rPr>
                <w:rFonts w:ascii="宋体" w:hAnsi="宋体" w:hint="eastAsia"/>
              </w:rPr>
              <w:t>分子量：</w:t>
            </w:r>
            <w:r w:rsidRPr="00123108">
              <w:rPr>
                <w:rFonts w:ascii="宋体" w:hAnsi="宋体"/>
              </w:rPr>
              <w:t xml:space="preserve"> </w:t>
            </w:r>
          </w:p>
        </w:tc>
        <w:tc>
          <w:tcPr>
            <w:tcW w:w="2507" w:type="pct"/>
            <w:vAlign w:val="center"/>
          </w:tcPr>
          <w:p w:rsidR="004F34D9" w:rsidRPr="00123108" w:rsidRDefault="004F34D9">
            <w:pPr>
              <w:tabs>
                <w:tab w:val="left" w:pos="2790"/>
                <w:tab w:val="left" w:pos="2940"/>
                <w:tab w:val="left" w:pos="3360"/>
                <w:tab w:val="left" w:pos="3780"/>
                <w:tab w:val="left" w:pos="4200"/>
                <w:tab w:val="left" w:pos="5100"/>
              </w:tabs>
              <w:spacing w:line="280" w:lineRule="exact"/>
              <w:rPr>
                <w:rFonts w:ascii="宋体" w:hAnsi="宋体"/>
              </w:rPr>
            </w:pPr>
            <w:r w:rsidRPr="00123108">
              <w:rPr>
                <w:rFonts w:ascii="宋体" w:hAnsi="宋体"/>
              </w:rPr>
              <w:t>CAS号：</w:t>
            </w:r>
            <w:r w:rsidRPr="00123108">
              <w:rPr>
                <w:rFonts w:ascii="宋体" w:hAnsi="宋体" w:hint="eastAsia"/>
              </w:rPr>
              <w:t>614-45-9</w:t>
            </w:r>
          </w:p>
        </w:tc>
      </w:tr>
      <w:tr w:rsidR="004F34D9" w:rsidRPr="00123108">
        <w:trPr>
          <w:trHeight w:val="167"/>
        </w:trPr>
        <w:tc>
          <w:tcPr>
            <w:tcW w:w="392" w:type="pct"/>
            <w:vMerge/>
            <w:vAlign w:val="center"/>
          </w:tcPr>
          <w:p w:rsidR="004F34D9" w:rsidRPr="00123108" w:rsidRDefault="004F34D9">
            <w:pPr>
              <w:widowControl/>
              <w:spacing w:line="280" w:lineRule="exact"/>
              <w:jc w:val="center"/>
              <w:rPr>
                <w:rFonts w:ascii="宋体" w:hAnsi="宋体"/>
              </w:rPr>
            </w:pPr>
          </w:p>
        </w:tc>
        <w:tc>
          <w:tcPr>
            <w:tcW w:w="2101" w:type="pct"/>
            <w:gridSpan w:val="2"/>
            <w:vAlign w:val="center"/>
          </w:tcPr>
          <w:p w:rsidR="004F34D9" w:rsidRPr="00123108" w:rsidRDefault="004F34D9">
            <w:pPr>
              <w:rPr>
                <w:rFonts w:ascii="宋体" w:hAnsi="宋体"/>
              </w:rPr>
            </w:pPr>
            <w:r w:rsidRPr="00123108">
              <w:rPr>
                <w:rFonts w:ascii="宋体" w:hAnsi="宋体" w:hint="eastAsia"/>
              </w:rPr>
              <w:t>危险性类别：有机过氧化物</w:t>
            </w:r>
          </w:p>
        </w:tc>
        <w:tc>
          <w:tcPr>
            <w:tcW w:w="2507" w:type="pct"/>
            <w:vAlign w:val="center"/>
          </w:tcPr>
          <w:p w:rsidR="004F34D9" w:rsidRPr="00123108" w:rsidRDefault="004F34D9">
            <w:pPr>
              <w:rPr>
                <w:rFonts w:ascii="宋体" w:hAnsi="宋体"/>
              </w:rPr>
            </w:pPr>
            <w:r w:rsidRPr="00123108">
              <w:rPr>
                <w:rFonts w:ascii="宋体" w:hAnsi="宋体" w:hint="eastAsia"/>
                <w:szCs w:val="21"/>
              </w:rPr>
              <w:t>危化品目录序号：865</w:t>
            </w:r>
          </w:p>
        </w:tc>
      </w:tr>
      <w:tr w:rsidR="004F34D9" w:rsidRPr="00123108">
        <w:trPr>
          <w:trHeight w:val="77"/>
        </w:trPr>
        <w:tc>
          <w:tcPr>
            <w:tcW w:w="392" w:type="pct"/>
            <w:vMerge w:val="restart"/>
            <w:vAlign w:val="center"/>
          </w:tcPr>
          <w:p w:rsidR="004F34D9" w:rsidRPr="00123108" w:rsidRDefault="004F34D9">
            <w:pPr>
              <w:spacing w:line="280" w:lineRule="exact"/>
              <w:jc w:val="center"/>
              <w:rPr>
                <w:rFonts w:ascii="宋体" w:hAnsi="宋体"/>
              </w:rPr>
            </w:pPr>
            <w:r w:rsidRPr="00123108">
              <w:rPr>
                <w:rFonts w:ascii="宋体" w:hAnsi="宋体" w:hint="eastAsia"/>
              </w:rPr>
              <w:t>理化性质</w:t>
            </w:r>
          </w:p>
        </w:tc>
        <w:tc>
          <w:tcPr>
            <w:tcW w:w="4608" w:type="pct"/>
            <w:gridSpan w:val="3"/>
            <w:vAlign w:val="center"/>
          </w:tcPr>
          <w:p w:rsidR="004F34D9" w:rsidRPr="00123108" w:rsidRDefault="004F34D9">
            <w:pPr>
              <w:rPr>
                <w:rFonts w:ascii="宋体" w:hAnsi="宋体"/>
              </w:rPr>
            </w:pPr>
            <w:r w:rsidRPr="00123108">
              <w:rPr>
                <w:rFonts w:ascii="宋体" w:hAnsi="宋体" w:hint="eastAsia"/>
              </w:rPr>
              <w:t>外观与形状：无色至微黄色液体，略有芳香味。</w:t>
            </w:r>
          </w:p>
        </w:tc>
      </w:tr>
      <w:tr w:rsidR="004F34D9" w:rsidRPr="00123108">
        <w:trPr>
          <w:trHeight w:val="77"/>
        </w:trPr>
        <w:tc>
          <w:tcPr>
            <w:tcW w:w="392" w:type="pct"/>
            <w:vMerge/>
            <w:vAlign w:val="center"/>
          </w:tcPr>
          <w:p w:rsidR="004F34D9" w:rsidRPr="00123108" w:rsidRDefault="004F34D9">
            <w:pPr>
              <w:spacing w:line="280" w:lineRule="exact"/>
              <w:jc w:val="center"/>
              <w:rPr>
                <w:rFonts w:ascii="宋体" w:hAnsi="宋体"/>
              </w:rPr>
            </w:pPr>
          </w:p>
        </w:tc>
        <w:tc>
          <w:tcPr>
            <w:tcW w:w="4608" w:type="pct"/>
            <w:gridSpan w:val="3"/>
            <w:vAlign w:val="center"/>
          </w:tcPr>
          <w:p w:rsidR="004F34D9" w:rsidRPr="00123108" w:rsidRDefault="004F34D9">
            <w:pPr>
              <w:rPr>
                <w:rFonts w:ascii="宋体" w:hAnsi="宋体"/>
              </w:rPr>
            </w:pPr>
            <w:r w:rsidRPr="00123108">
              <w:rPr>
                <w:rFonts w:ascii="宋体" w:hAnsi="宋体" w:hint="eastAsia"/>
              </w:rPr>
              <w:t>溶解性：不溶于水，溶于多数有机溶剂。</w:t>
            </w:r>
          </w:p>
        </w:tc>
      </w:tr>
      <w:tr w:rsidR="004F34D9" w:rsidRPr="00123108">
        <w:trPr>
          <w:trHeight w:val="200"/>
        </w:trPr>
        <w:tc>
          <w:tcPr>
            <w:tcW w:w="392" w:type="pct"/>
            <w:vMerge/>
            <w:vAlign w:val="center"/>
          </w:tcPr>
          <w:p w:rsidR="004F34D9" w:rsidRPr="00123108" w:rsidRDefault="004F34D9">
            <w:pPr>
              <w:widowControl/>
              <w:spacing w:line="280" w:lineRule="exact"/>
              <w:jc w:val="center"/>
              <w:rPr>
                <w:rFonts w:ascii="宋体" w:hAnsi="宋体"/>
              </w:rPr>
            </w:pPr>
          </w:p>
        </w:tc>
        <w:tc>
          <w:tcPr>
            <w:tcW w:w="2101" w:type="pct"/>
            <w:gridSpan w:val="2"/>
            <w:vAlign w:val="center"/>
          </w:tcPr>
          <w:p w:rsidR="004F34D9" w:rsidRPr="00123108" w:rsidRDefault="004F34D9">
            <w:pPr>
              <w:rPr>
                <w:rFonts w:ascii="宋体" w:hAnsi="宋体"/>
              </w:rPr>
            </w:pPr>
            <w:r w:rsidRPr="00123108">
              <w:rPr>
                <w:rFonts w:ascii="宋体" w:hAnsi="宋体" w:hint="eastAsia"/>
              </w:rPr>
              <w:t>熔点</w:t>
            </w:r>
            <w:r w:rsidRPr="00123108">
              <w:rPr>
                <w:rFonts w:ascii="宋体" w:hAnsi="宋体"/>
              </w:rPr>
              <w:t>(℃)：</w:t>
            </w:r>
            <w:r w:rsidRPr="00123108">
              <w:rPr>
                <w:rFonts w:ascii="宋体" w:hAnsi="宋体" w:hint="eastAsia"/>
              </w:rPr>
              <w:t>8</w:t>
            </w:r>
          </w:p>
        </w:tc>
        <w:tc>
          <w:tcPr>
            <w:tcW w:w="2507" w:type="pct"/>
            <w:vAlign w:val="center"/>
          </w:tcPr>
          <w:p w:rsidR="004F34D9" w:rsidRPr="00123108" w:rsidRDefault="004F34D9">
            <w:pPr>
              <w:tabs>
                <w:tab w:val="left" w:pos="5220"/>
              </w:tabs>
              <w:spacing w:line="280" w:lineRule="exact"/>
              <w:jc w:val="left"/>
              <w:rPr>
                <w:rFonts w:ascii="宋体" w:hAnsi="宋体"/>
              </w:rPr>
            </w:pPr>
            <w:r w:rsidRPr="00123108">
              <w:rPr>
                <w:rFonts w:ascii="宋体" w:hAnsi="宋体" w:hint="eastAsia"/>
              </w:rPr>
              <w:t>沸点</w:t>
            </w:r>
            <w:r w:rsidRPr="00123108">
              <w:rPr>
                <w:rFonts w:ascii="宋体" w:hAnsi="宋体"/>
              </w:rPr>
              <w:t>(℃)：</w:t>
            </w:r>
            <w:r w:rsidRPr="00123108">
              <w:rPr>
                <w:rFonts w:ascii="宋体" w:hAnsi="宋体" w:hint="eastAsia"/>
              </w:rPr>
              <w:t>112（分解）</w:t>
            </w:r>
          </w:p>
        </w:tc>
      </w:tr>
      <w:tr w:rsidR="004F34D9" w:rsidRPr="00123108">
        <w:trPr>
          <w:trHeight w:val="77"/>
        </w:trPr>
        <w:tc>
          <w:tcPr>
            <w:tcW w:w="392" w:type="pct"/>
            <w:vMerge/>
            <w:vAlign w:val="center"/>
          </w:tcPr>
          <w:p w:rsidR="004F34D9" w:rsidRPr="00123108" w:rsidRDefault="004F34D9">
            <w:pPr>
              <w:widowControl/>
              <w:spacing w:line="280" w:lineRule="exact"/>
              <w:jc w:val="center"/>
              <w:rPr>
                <w:rFonts w:ascii="宋体" w:hAnsi="宋体"/>
              </w:rPr>
            </w:pPr>
          </w:p>
        </w:tc>
        <w:tc>
          <w:tcPr>
            <w:tcW w:w="2101" w:type="pct"/>
            <w:gridSpan w:val="2"/>
            <w:vAlign w:val="center"/>
          </w:tcPr>
          <w:p w:rsidR="004F34D9" w:rsidRPr="00123108" w:rsidRDefault="004F34D9">
            <w:pPr>
              <w:rPr>
                <w:rFonts w:ascii="宋体" w:hAnsi="宋体"/>
              </w:rPr>
            </w:pPr>
            <w:r w:rsidRPr="00123108">
              <w:rPr>
                <w:rFonts w:ascii="宋体" w:hAnsi="宋体" w:hint="eastAsia"/>
              </w:rPr>
              <w:t>饱和蒸汽压</w:t>
            </w:r>
            <w:r w:rsidRPr="00123108">
              <w:rPr>
                <w:rFonts w:ascii="宋体" w:hAnsi="宋体"/>
              </w:rPr>
              <w:t>(KPa)：</w:t>
            </w:r>
            <w:r w:rsidRPr="00123108">
              <w:rPr>
                <w:rFonts w:ascii="宋体" w:hAnsi="宋体" w:hint="eastAsia"/>
              </w:rPr>
              <w:t>0.044(50℃)</w:t>
            </w:r>
          </w:p>
        </w:tc>
        <w:tc>
          <w:tcPr>
            <w:tcW w:w="2507" w:type="pct"/>
            <w:vAlign w:val="center"/>
          </w:tcPr>
          <w:p w:rsidR="004F34D9" w:rsidRPr="00123108" w:rsidRDefault="004F34D9">
            <w:pPr>
              <w:spacing w:line="280" w:lineRule="exact"/>
              <w:jc w:val="left"/>
              <w:rPr>
                <w:rFonts w:ascii="宋体" w:hAnsi="宋体"/>
              </w:rPr>
            </w:pPr>
            <w:r w:rsidRPr="00123108">
              <w:rPr>
                <w:rFonts w:ascii="宋体" w:hAnsi="宋体" w:hint="eastAsia"/>
              </w:rPr>
              <w:t>燃烧热（</w:t>
            </w:r>
            <w:r w:rsidRPr="00123108">
              <w:rPr>
                <w:rFonts w:ascii="宋体" w:hAnsi="宋体"/>
              </w:rPr>
              <w:t>kj/mol）：</w:t>
            </w:r>
            <w:r w:rsidRPr="00123108">
              <w:rPr>
                <w:rFonts w:ascii="宋体" w:hAnsi="宋体" w:hint="eastAsia"/>
              </w:rPr>
              <w:t>无资料</w:t>
            </w:r>
          </w:p>
        </w:tc>
      </w:tr>
      <w:tr w:rsidR="004F34D9" w:rsidRPr="00123108">
        <w:trPr>
          <w:trHeight w:val="77"/>
        </w:trPr>
        <w:tc>
          <w:tcPr>
            <w:tcW w:w="392" w:type="pct"/>
            <w:vMerge/>
            <w:vAlign w:val="center"/>
          </w:tcPr>
          <w:p w:rsidR="004F34D9" w:rsidRPr="00123108" w:rsidRDefault="004F34D9">
            <w:pPr>
              <w:widowControl/>
              <w:spacing w:line="280" w:lineRule="exact"/>
              <w:jc w:val="center"/>
              <w:rPr>
                <w:rFonts w:ascii="宋体" w:hAnsi="宋体"/>
              </w:rPr>
            </w:pPr>
          </w:p>
        </w:tc>
        <w:tc>
          <w:tcPr>
            <w:tcW w:w="2101" w:type="pct"/>
            <w:gridSpan w:val="2"/>
            <w:vAlign w:val="center"/>
          </w:tcPr>
          <w:p w:rsidR="004F34D9" w:rsidRPr="00123108" w:rsidRDefault="004F34D9">
            <w:pPr>
              <w:rPr>
                <w:rFonts w:ascii="宋体" w:hAnsi="宋体"/>
              </w:rPr>
            </w:pPr>
            <w:r w:rsidRPr="00123108">
              <w:rPr>
                <w:rFonts w:ascii="宋体" w:hAnsi="宋体" w:hint="eastAsia"/>
              </w:rPr>
              <w:t>相对密度</w:t>
            </w:r>
            <w:r w:rsidRPr="00123108">
              <w:rPr>
                <w:rFonts w:ascii="宋体" w:hAnsi="宋体"/>
              </w:rPr>
              <w:t>(水=1):</w:t>
            </w:r>
            <w:r w:rsidRPr="00123108">
              <w:rPr>
                <w:rFonts w:ascii="宋体" w:hAnsi="宋体" w:hint="eastAsia"/>
              </w:rPr>
              <w:t>1.02</w:t>
            </w:r>
          </w:p>
        </w:tc>
        <w:tc>
          <w:tcPr>
            <w:tcW w:w="2507" w:type="pct"/>
            <w:vAlign w:val="center"/>
          </w:tcPr>
          <w:p w:rsidR="004F34D9" w:rsidRPr="00123108" w:rsidRDefault="004F34D9">
            <w:pPr>
              <w:tabs>
                <w:tab w:val="center" w:pos="3829"/>
              </w:tabs>
              <w:spacing w:line="280" w:lineRule="exact"/>
              <w:jc w:val="left"/>
              <w:rPr>
                <w:rFonts w:ascii="宋体" w:hAnsi="宋体"/>
              </w:rPr>
            </w:pPr>
            <w:r w:rsidRPr="00123108">
              <w:rPr>
                <w:rFonts w:ascii="宋体" w:hAnsi="宋体" w:hint="eastAsia"/>
              </w:rPr>
              <w:t>临界温度</w:t>
            </w:r>
            <w:r w:rsidRPr="00123108">
              <w:rPr>
                <w:rFonts w:ascii="宋体" w:hAnsi="宋体"/>
              </w:rPr>
              <w:t>(℃)：</w:t>
            </w:r>
            <w:r w:rsidRPr="00123108">
              <w:rPr>
                <w:rFonts w:ascii="宋体" w:hAnsi="宋体" w:hint="eastAsia"/>
              </w:rPr>
              <w:t>无资料</w:t>
            </w:r>
          </w:p>
        </w:tc>
      </w:tr>
      <w:tr w:rsidR="004F34D9" w:rsidRPr="00123108">
        <w:trPr>
          <w:trHeight w:val="220"/>
        </w:trPr>
        <w:tc>
          <w:tcPr>
            <w:tcW w:w="392" w:type="pct"/>
            <w:vMerge/>
            <w:vAlign w:val="center"/>
          </w:tcPr>
          <w:p w:rsidR="004F34D9" w:rsidRPr="00123108" w:rsidRDefault="004F34D9">
            <w:pPr>
              <w:widowControl/>
              <w:spacing w:line="280" w:lineRule="exact"/>
              <w:jc w:val="center"/>
              <w:rPr>
                <w:rFonts w:ascii="宋体" w:hAnsi="宋体"/>
              </w:rPr>
            </w:pPr>
          </w:p>
        </w:tc>
        <w:tc>
          <w:tcPr>
            <w:tcW w:w="2101" w:type="pct"/>
            <w:gridSpan w:val="2"/>
            <w:vAlign w:val="center"/>
          </w:tcPr>
          <w:p w:rsidR="004F34D9" w:rsidRPr="00123108" w:rsidRDefault="004F34D9">
            <w:pPr>
              <w:rPr>
                <w:rFonts w:ascii="宋体" w:hAnsi="宋体"/>
              </w:rPr>
            </w:pPr>
            <w:r w:rsidRPr="00123108">
              <w:rPr>
                <w:rFonts w:ascii="宋体" w:hAnsi="宋体" w:hint="eastAsia"/>
              </w:rPr>
              <w:t>相对密度</w:t>
            </w:r>
            <w:r w:rsidRPr="00123108">
              <w:rPr>
                <w:rFonts w:ascii="宋体" w:hAnsi="宋体"/>
              </w:rPr>
              <w:t>(空气=1):</w:t>
            </w:r>
            <w:r w:rsidRPr="00123108">
              <w:rPr>
                <w:rFonts w:ascii="宋体" w:hAnsi="宋体" w:hint="eastAsia"/>
              </w:rPr>
              <w:t>无资料</w:t>
            </w:r>
          </w:p>
        </w:tc>
        <w:tc>
          <w:tcPr>
            <w:tcW w:w="2507" w:type="pct"/>
            <w:vAlign w:val="center"/>
          </w:tcPr>
          <w:p w:rsidR="004F34D9" w:rsidRPr="00123108" w:rsidRDefault="004F34D9">
            <w:pPr>
              <w:tabs>
                <w:tab w:val="center" w:pos="3829"/>
              </w:tabs>
              <w:spacing w:line="280" w:lineRule="exact"/>
              <w:jc w:val="left"/>
              <w:rPr>
                <w:rFonts w:ascii="宋体" w:hAnsi="宋体"/>
              </w:rPr>
            </w:pPr>
            <w:r w:rsidRPr="00123108">
              <w:rPr>
                <w:rFonts w:ascii="宋体" w:hAnsi="宋体" w:hint="eastAsia"/>
              </w:rPr>
              <w:t>临界压力</w:t>
            </w:r>
            <w:r w:rsidRPr="00123108">
              <w:rPr>
                <w:rFonts w:ascii="宋体" w:hAnsi="宋体"/>
              </w:rPr>
              <w:t>(MPa)：</w:t>
            </w:r>
            <w:r w:rsidRPr="00123108">
              <w:rPr>
                <w:rFonts w:ascii="宋体" w:hAnsi="宋体" w:hint="eastAsia"/>
              </w:rPr>
              <w:t>无资料</w:t>
            </w:r>
          </w:p>
        </w:tc>
      </w:tr>
      <w:tr w:rsidR="004F34D9" w:rsidRPr="00123108">
        <w:trPr>
          <w:trHeight w:val="77"/>
        </w:trPr>
        <w:tc>
          <w:tcPr>
            <w:tcW w:w="392" w:type="pct"/>
            <w:vMerge w:val="restart"/>
            <w:vAlign w:val="center"/>
          </w:tcPr>
          <w:p w:rsidR="004F34D9" w:rsidRPr="00123108" w:rsidRDefault="004F34D9">
            <w:pPr>
              <w:spacing w:line="280" w:lineRule="exact"/>
              <w:jc w:val="center"/>
              <w:rPr>
                <w:rFonts w:ascii="宋体" w:hAnsi="宋体"/>
              </w:rPr>
            </w:pPr>
            <w:r w:rsidRPr="00123108">
              <w:rPr>
                <w:rFonts w:ascii="宋体" w:hAnsi="宋体" w:hint="eastAsia"/>
              </w:rPr>
              <w:t>燃烧爆炸危险性</w:t>
            </w:r>
          </w:p>
        </w:tc>
        <w:tc>
          <w:tcPr>
            <w:tcW w:w="2101" w:type="pct"/>
            <w:gridSpan w:val="2"/>
            <w:vAlign w:val="center"/>
          </w:tcPr>
          <w:p w:rsidR="004F34D9" w:rsidRPr="00123108" w:rsidRDefault="004F34D9">
            <w:pPr>
              <w:rPr>
                <w:rFonts w:ascii="宋体" w:hAnsi="宋体"/>
              </w:rPr>
            </w:pPr>
            <w:r w:rsidRPr="00123108">
              <w:rPr>
                <w:rFonts w:ascii="宋体" w:hAnsi="宋体" w:hint="eastAsia"/>
              </w:rPr>
              <w:t>引燃温度</w:t>
            </w:r>
            <w:r w:rsidRPr="00123108">
              <w:rPr>
                <w:rFonts w:ascii="宋体" w:hAnsi="宋体"/>
              </w:rPr>
              <w:t>(℃)：</w:t>
            </w:r>
            <w:r w:rsidRPr="00123108">
              <w:rPr>
                <w:rFonts w:ascii="宋体" w:hAnsi="宋体" w:hint="eastAsia"/>
              </w:rPr>
              <w:t>无资料</w:t>
            </w:r>
          </w:p>
        </w:tc>
        <w:tc>
          <w:tcPr>
            <w:tcW w:w="2507" w:type="pct"/>
            <w:vAlign w:val="center"/>
          </w:tcPr>
          <w:p w:rsidR="004F34D9" w:rsidRPr="00123108" w:rsidRDefault="004F34D9" w:rsidP="00E97DEC">
            <w:pPr>
              <w:spacing w:line="280" w:lineRule="exact"/>
              <w:jc w:val="left"/>
              <w:rPr>
                <w:rFonts w:ascii="宋体" w:hAnsi="宋体"/>
              </w:rPr>
            </w:pPr>
            <w:r w:rsidRPr="00123108">
              <w:rPr>
                <w:rFonts w:ascii="宋体" w:hAnsi="宋体" w:hint="eastAsia"/>
              </w:rPr>
              <w:t>闪点</w:t>
            </w:r>
            <w:r w:rsidRPr="00123108">
              <w:rPr>
                <w:rFonts w:ascii="宋体" w:hAnsi="宋体"/>
              </w:rPr>
              <w:t>(℃)：</w:t>
            </w:r>
            <w:r w:rsidR="00E97DEC" w:rsidRPr="00123108">
              <w:rPr>
                <w:rFonts w:ascii="宋体" w:hAnsi="宋体" w:hint="eastAsia"/>
              </w:rPr>
              <w:t>96</w:t>
            </w:r>
          </w:p>
        </w:tc>
      </w:tr>
      <w:tr w:rsidR="004F34D9" w:rsidRPr="00123108">
        <w:trPr>
          <w:trHeight w:val="83"/>
        </w:trPr>
        <w:tc>
          <w:tcPr>
            <w:tcW w:w="392" w:type="pct"/>
            <w:vMerge/>
            <w:vAlign w:val="center"/>
          </w:tcPr>
          <w:p w:rsidR="004F34D9" w:rsidRPr="00123108" w:rsidRDefault="004F34D9">
            <w:pPr>
              <w:widowControl/>
              <w:spacing w:line="280" w:lineRule="exact"/>
              <w:jc w:val="center"/>
              <w:rPr>
                <w:rFonts w:ascii="宋体" w:hAnsi="宋体"/>
              </w:rPr>
            </w:pPr>
          </w:p>
        </w:tc>
        <w:tc>
          <w:tcPr>
            <w:tcW w:w="2101" w:type="pct"/>
            <w:gridSpan w:val="2"/>
            <w:vAlign w:val="center"/>
          </w:tcPr>
          <w:p w:rsidR="004F34D9" w:rsidRPr="00123108" w:rsidRDefault="004F34D9">
            <w:pPr>
              <w:rPr>
                <w:rFonts w:ascii="宋体" w:hAnsi="宋体"/>
              </w:rPr>
            </w:pPr>
            <w:r w:rsidRPr="00123108">
              <w:rPr>
                <w:rFonts w:ascii="宋体" w:hAnsi="宋体" w:hint="eastAsia"/>
              </w:rPr>
              <w:t>爆炸下限［</w:t>
            </w:r>
            <w:r w:rsidRPr="00123108">
              <w:rPr>
                <w:rFonts w:ascii="宋体" w:hAnsi="宋体"/>
              </w:rPr>
              <w:t>%(V/V)］：</w:t>
            </w:r>
            <w:r w:rsidRPr="00123108">
              <w:rPr>
                <w:rFonts w:ascii="宋体" w:hAnsi="宋体" w:hint="eastAsia"/>
              </w:rPr>
              <w:t>无资料</w:t>
            </w:r>
          </w:p>
        </w:tc>
        <w:tc>
          <w:tcPr>
            <w:tcW w:w="2507" w:type="pct"/>
            <w:vAlign w:val="center"/>
          </w:tcPr>
          <w:p w:rsidR="004F34D9" w:rsidRPr="00123108" w:rsidRDefault="004F34D9">
            <w:pPr>
              <w:tabs>
                <w:tab w:val="center" w:pos="3829"/>
              </w:tabs>
              <w:spacing w:line="280" w:lineRule="exact"/>
              <w:jc w:val="left"/>
              <w:rPr>
                <w:rFonts w:ascii="宋体" w:hAnsi="宋体"/>
              </w:rPr>
            </w:pPr>
            <w:r w:rsidRPr="00123108">
              <w:rPr>
                <w:rFonts w:ascii="宋体" w:hAnsi="宋体" w:hint="eastAsia"/>
              </w:rPr>
              <w:t>最小点火能</w:t>
            </w:r>
            <w:r w:rsidRPr="00123108">
              <w:rPr>
                <w:rFonts w:ascii="宋体" w:hAnsi="宋体"/>
              </w:rPr>
              <w:t>(mj)：</w:t>
            </w:r>
            <w:r w:rsidRPr="00123108">
              <w:rPr>
                <w:rFonts w:ascii="宋体" w:hAnsi="宋体" w:hint="eastAsia"/>
              </w:rPr>
              <w:t>无资料</w:t>
            </w:r>
          </w:p>
        </w:tc>
      </w:tr>
      <w:tr w:rsidR="004F34D9" w:rsidRPr="00123108">
        <w:trPr>
          <w:trHeight w:val="226"/>
        </w:trPr>
        <w:tc>
          <w:tcPr>
            <w:tcW w:w="392" w:type="pct"/>
            <w:vMerge/>
            <w:vAlign w:val="center"/>
          </w:tcPr>
          <w:p w:rsidR="004F34D9" w:rsidRPr="00123108" w:rsidRDefault="004F34D9">
            <w:pPr>
              <w:widowControl/>
              <w:spacing w:line="280" w:lineRule="exact"/>
              <w:jc w:val="center"/>
              <w:rPr>
                <w:rFonts w:ascii="宋体" w:hAnsi="宋体"/>
              </w:rPr>
            </w:pPr>
          </w:p>
        </w:tc>
        <w:tc>
          <w:tcPr>
            <w:tcW w:w="2101" w:type="pct"/>
            <w:gridSpan w:val="2"/>
            <w:vAlign w:val="center"/>
          </w:tcPr>
          <w:p w:rsidR="004F34D9" w:rsidRPr="00123108" w:rsidRDefault="004F34D9">
            <w:pPr>
              <w:rPr>
                <w:rFonts w:ascii="宋体" w:hAnsi="宋体"/>
              </w:rPr>
            </w:pPr>
            <w:r w:rsidRPr="00123108">
              <w:rPr>
                <w:rFonts w:ascii="宋体" w:hAnsi="宋体" w:hint="eastAsia"/>
              </w:rPr>
              <w:t>爆炸上限［</w:t>
            </w:r>
            <w:r w:rsidRPr="00123108">
              <w:rPr>
                <w:rFonts w:ascii="宋体" w:hAnsi="宋体"/>
              </w:rPr>
              <w:t>%(V/V)］：</w:t>
            </w:r>
            <w:r w:rsidRPr="00123108">
              <w:rPr>
                <w:rFonts w:ascii="宋体" w:hAnsi="宋体" w:hint="eastAsia"/>
              </w:rPr>
              <w:t>无资料</w:t>
            </w:r>
          </w:p>
        </w:tc>
        <w:tc>
          <w:tcPr>
            <w:tcW w:w="2507" w:type="pct"/>
            <w:vAlign w:val="center"/>
          </w:tcPr>
          <w:p w:rsidR="004F34D9" w:rsidRPr="00123108" w:rsidRDefault="004F34D9">
            <w:pPr>
              <w:spacing w:line="280" w:lineRule="exact"/>
              <w:jc w:val="left"/>
              <w:rPr>
                <w:rFonts w:ascii="宋体" w:hAnsi="宋体"/>
              </w:rPr>
            </w:pPr>
            <w:r w:rsidRPr="00123108">
              <w:rPr>
                <w:rFonts w:ascii="宋体" w:hAnsi="宋体" w:hint="eastAsia"/>
              </w:rPr>
              <w:t>最大爆炸压力</w:t>
            </w:r>
            <w:r w:rsidRPr="00123108">
              <w:rPr>
                <w:rFonts w:ascii="宋体" w:hAnsi="宋体"/>
              </w:rPr>
              <w:t>(MPa)：</w:t>
            </w:r>
            <w:r w:rsidRPr="00123108">
              <w:rPr>
                <w:rFonts w:ascii="宋体" w:hAnsi="宋体" w:hint="eastAsia"/>
              </w:rPr>
              <w:t>无资料</w:t>
            </w:r>
          </w:p>
        </w:tc>
      </w:tr>
      <w:tr w:rsidR="004F34D9" w:rsidRPr="00123108">
        <w:trPr>
          <w:trHeight w:val="319"/>
        </w:trPr>
        <w:tc>
          <w:tcPr>
            <w:tcW w:w="392" w:type="pct"/>
            <w:vMerge/>
            <w:vAlign w:val="center"/>
          </w:tcPr>
          <w:p w:rsidR="004F34D9" w:rsidRPr="00123108" w:rsidRDefault="004F34D9">
            <w:pPr>
              <w:widowControl/>
              <w:spacing w:line="280" w:lineRule="exact"/>
              <w:jc w:val="center"/>
              <w:rPr>
                <w:rFonts w:ascii="宋体" w:hAnsi="宋体"/>
              </w:rPr>
            </w:pPr>
          </w:p>
        </w:tc>
        <w:tc>
          <w:tcPr>
            <w:tcW w:w="4608" w:type="pct"/>
            <w:gridSpan w:val="3"/>
            <w:vAlign w:val="center"/>
          </w:tcPr>
          <w:p w:rsidR="004F34D9" w:rsidRPr="00123108" w:rsidRDefault="004F34D9">
            <w:pPr>
              <w:rPr>
                <w:rFonts w:ascii="宋体" w:hAnsi="宋体"/>
              </w:rPr>
            </w:pPr>
            <w:r w:rsidRPr="00123108">
              <w:rPr>
                <w:rFonts w:ascii="宋体" w:hAnsi="宋体" w:hint="eastAsia"/>
              </w:rPr>
              <w:t>危险特性：易燃，其蒸气与空气可形成爆炸性混合物。干燥时经震动、撞击会引起爆炸。与还原剂、促进剂、有机物、易燃物、酸类或胺类物品接触会发生剧烈反应，有燃烧爆炸的危险。</w:t>
            </w:r>
          </w:p>
        </w:tc>
      </w:tr>
      <w:tr w:rsidR="004F34D9" w:rsidRPr="00123108">
        <w:trPr>
          <w:trHeight w:val="369"/>
        </w:trPr>
        <w:tc>
          <w:tcPr>
            <w:tcW w:w="392" w:type="pct"/>
            <w:vMerge/>
            <w:vAlign w:val="center"/>
          </w:tcPr>
          <w:p w:rsidR="004F34D9" w:rsidRPr="00123108" w:rsidRDefault="004F34D9">
            <w:pPr>
              <w:widowControl/>
              <w:spacing w:line="280" w:lineRule="exact"/>
              <w:jc w:val="center"/>
              <w:rPr>
                <w:rFonts w:ascii="宋体" w:hAnsi="宋体"/>
              </w:rPr>
            </w:pPr>
          </w:p>
        </w:tc>
        <w:tc>
          <w:tcPr>
            <w:tcW w:w="4608" w:type="pct"/>
            <w:gridSpan w:val="3"/>
            <w:vAlign w:val="center"/>
          </w:tcPr>
          <w:p w:rsidR="004F34D9" w:rsidRPr="00123108" w:rsidRDefault="004F34D9">
            <w:pPr>
              <w:rPr>
                <w:rFonts w:ascii="宋体" w:hAnsi="宋体"/>
              </w:rPr>
            </w:pPr>
            <w:r w:rsidRPr="00123108">
              <w:rPr>
                <w:rFonts w:ascii="宋体" w:hAnsi="宋体" w:hint="eastAsia"/>
              </w:rPr>
              <w:t>禁配物：还原剂、易燃或可燃物。</w:t>
            </w:r>
          </w:p>
          <w:p w:rsidR="004F34D9" w:rsidRPr="00123108" w:rsidRDefault="004F34D9">
            <w:pPr>
              <w:rPr>
                <w:rFonts w:ascii="宋体" w:hAnsi="宋体"/>
              </w:rPr>
            </w:pPr>
            <w:r w:rsidRPr="00123108">
              <w:rPr>
                <w:rFonts w:ascii="宋体" w:hAnsi="宋体" w:hint="eastAsia"/>
              </w:rPr>
              <w:t>消防措施：消防人员须佩戴防毒面具、穿全身消防服，在上风向灭火。遇大火，消防人员须在有防护掩蔽处操作。尽可能将容器从火场移至空旷处。喷水保持火场容器冷却，直到灭火结束。处在火场中的容器若已变色或从安全泄压装置中产生声音，必须马上撤离。灭火剂：雾状水、泡沫、干粉、二氧化碳、砂土。</w:t>
            </w:r>
          </w:p>
        </w:tc>
      </w:tr>
      <w:tr w:rsidR="004F34D9" w:rsidRPr="00123108">
        <w:trPr>
          <w:trHeight w:val="369"/>
        </w:trPr>
        <w:tc>
          <w:tcPr>
            <w:tcW w:w="392" w:type="pct"/>
            <w:vAlign w:val="center"/>
          </w:tcPr>
          <w:p w:rsidR="004F34D9" w:rsidRPr="00123108" w:rsidRDefault="004F34D9">
            <w:pPr>
              <w:spacing w:line="280" w:lineRule="exact"/>
              <w:jc w:val="center"/>
              <w:rPr>
                <w:rFonts w:ascii="宋体" w:hAnsi="宋体"/>
              </w:rPr>
            </w:pPr>
            <w:r w:rsidRPr="00123108">
              <w:rPr>
                <w:rFonts w:ascii="宋体" w:hAnsi="宋体" w:hint="eastAsia"/>
              </w:rPr>
              <w:t>毒性</w:t>
            </w:r>
          </w:p>
        </w:tc>
        <w:tc>
          <w:tcPr>
            <w:tcW w:w="4608" w:type="pct"/>
            <w:gridSpan w:val="3"/>
            <w:vAlign w:val="center"/>
          </w:tcPr>
          <w:p w:rsidR="004F34D9" w:rsidRPr="00123108" w:rsidRDefault="004F34D9">
            <w:pPr>
              <w:rPr>
                <w:rFonts w:ascii="宋体" w:hAnsi="宋体"/>
              </w:rPr>
            </w:pPr>
            <w:r w:rsidRPr="00123108">
              <w:rPr>
                <w:rFonts w:ascii="宋体" w:hAnsi="宋体" w:hint="eastAsia"/>
              </w:rPr>
              <w:t>急性毒性：</w:t>
            </w:r>
            <w:r w:rsidRPr="00123108">
              <w:rPr>
                <w:rFonts w:ascii="宋体" w:hAnsi="宋体"/>
              </w:rPr>
              <w:t>L</w:t>
            </w:r>
            <w:r w:rsidRPr="00123108">
              <w:rPr>
                <w:rFonts w:ascii="宋体" w:hAnsi="宋体" w:hint="eastAsia"/>
              </w:rPr>
              <w:t>D</w:t>
            </w:r>
            <w:r w:rsidRPr="00123108">
              <w:rPr>
                <w:rFonts w:ascii="宋体" w:hAnsi="宋体"/>
                <w:vertAlign w:val="subscript"/>
              </w:rPr>
              <w:t xml:space="preserve">50  </w:t>
            </w:r>
            <w:r w:rsidRPr="00123108">
              <w:rPr>
                <w:rFonts w:ascii="宋体" w:hAnsi="宋体" w:hint="eastAsia"/>
              </w:rPr>
              <w:t>1010</w:t>
            </w:r>
            <w:r w:rsidRPr="00123108">
              <w:rPr>
                <w:rFonts w:ascii="宋体" w:hAnsi="宋体"/>
              </w:rPr>
              <w:t>mg/</w:t>
            </w:r>
            <w:r w:rsidRPr="00123108">
              <w:rPr>
                <w:rFonts w:ascii="宋体" w:hAnsi="宋体" w:hint="eastAsia"/>
              </w:rPr>
              <w:t>kg</w:t>
            </w:r>
            <w:r w:rsidRPr="00123108">
              <w:rPr>
                <w:rFonts w:ascii="宋体" w:hAnsi="宋体"/>
              </w:rPr>
              <w:t>（</w:t>
            </w:r>
            <w:r w:rsidRPr="00123108">
              <w:rPr>
                <w:rFonts w:ascii="宋体" w:hAnsi="宋体" w:hint="eastAsia"/>
              </w:rPr>
              <w:t>大</w:t>
            </w:r>
            <w:r w:rsidRPr="00123108">
              <w:rPr>
                <w:rFonts w:ascii="宋体" w:hAnsi="宋体"/>
              </w:rPr>
              <w:t>鼠</w:t>
            </w:r>
            <w:r w:rsidRPr="00123108">
              <w:rPr>
                <w:rFonts w:ascii="宋体" w:hAnsi="宋体" w:hint="eastAsia"/>
              </w:rPr>
              <w:t>经口</w:t>
            </w:r>
            <w:r w:rsidRPr="00123108">
              <w:rPr>
                <w:rFonts w:ascii="宋体" w:hAnsi="宋体"/>
              </w:rPr>
              <w:t>）</w:t>
            </w:r>
            <w:r w:rsidRPr="00123108">
              <w:rPr>
                <w:rFonts w:ascii="宋体" w:hAnsi="宋体" w:hint="eastAsia"/>
              </w:rPr>
              <w:t xml:space="preserve">       </w:t>
            </w:r>
            <w:r w:rsidRPr="00123108">
              <w:rPr>
                <w:rFonts w:ascii="宋体" w:hAnsi="宋体"/>
              </w:rPr>
              <w:t>LC</w:t>
            </w:r>
            <w:r w:rsidRPr="00123108">
              <w:rPr>
                <w:rFonts w:ascii="宋体" w:hAnsi="宋体"/>
                <w:vertAlign w:val="subscript"/>
              </w:rPr>
              <w:t xml:space="preserve">50  </w:t>
            </w:r>
            <w:r w:rsidRPr="00123108">
              <w:rPr>
                <w:rFonts w:ascii="宋体" w:hAnsi="宋体" w:hint="eastAsia"/>
              </w:rPr>
              <w:t xml:space="preserve">无资料      致畸性：无资料。   </w:t>
            </w:r>
          </w:p>
          <w:p w:rsidR="004F34D9" w:rsidRPr="00123108" w:rsidRDefault="004F34D9">
            <w:pPr>
              <w:rPr>
                <w:rFonts w:ascii="宋体" w:hAnsi="宋体"/>
                <w:position w:val="6"/>
              </w:rPr>
            </w:pPr>
            <w:r w:rsidRPr="00123108">
              <w:rPr>
                <w:rFonts w:ascii="宋体" w:hAnsi="宋体" w:hint="eastAsia"/>
              </w:rPr>
              <w:t>车间卫生标准：中国MAC（</w:t>
            </w:r>
            <w:r w:rsidRPr="00123108">
              <w:rPr>
                <w:rFonts w:ascii="宋体" w:hAnsi="宋体"/>
              </w:rPr>
              <w:t>mg/m</w:t>
            </w:r>
            <w:r w:rsidRPr="00123108">
              <w:rPr>
                <w:rFonts w:ascii="宋体" w:hAnsi="宋体"/>
                <w:vertAlign w:val="superscript"/>
              </w:rPr>
              <w:t>3</w:t>
            </w:r>
            <w:r w:rsidRPr="00123108">
              <w:rPr>
                <w:rFonts w:ascii="宋体" w:hAnsi="宋体"/>
              </w:rPr>
              <w:t>）</w:t>
            </w:r>
            <w:r w:rsidRPr="00123108">
              <w:rPr>
                <w:rFonts w:ascii="宋体" w:hAnsi="宋体" w:hint="eastAsia"/>
              </w:rPr>
              <w:t>：未制定标准  前苏联MAC（</w:t>
            </w:r>
            <w:r w:rsidRPr="00123108">
              <w:rPr>
                <w:rFonts w:ascii="宋体" w:hAnsi="宋体"/>
              </w:rPr>
              <w:t>mg/m</w:t>
            </w:r>
            <w:r w:rsidRPr="00123108">
              <w:rPr>
                <w:rFonts w:ascii="宋体" w:hAnsi="宋体"/>
                <w:vertAlign w:val="superscript"/>
              </w:rPr>
              <w:t>3</w:t>
            </w:r>
            <w:r w:rsidRPr="00123108">
              <w:rPr>
                <w:rFonts w:ascii="宋体" w:hAnsi="宋体"/>
              </w:rPr>
              <w:t>）</w:t>
            </w:r>
            <w:r w:rsidRPr="00123108">
              <w:rPr>
                <w:rFonts w:ascii="宋体" w:hAnsi="宋体" w:hint="eastAsia"/>
              </w:rPr>
              <w:t>：未制定标准</w:t>
            </w:r>
          </w:p>
        </w:tc>
      </w:tr>
      <w:tr w:rsidR="004F34D9" w:rsidRPr="00123108">
        <w:trPr>
          <w:trHeight w:val="369"/>
        </w:trPr>
        <w:tc>
          <w:tcPr>
            <w:tcW w:w="392" w:type="pct"/>
            <w:vAlign w:val="center"/>
          </w:tcPr>
          <w:p w:rsidR="004F34D9" w:rsidRPr="00123108" w:rsidRDefault="004F34D9">
            <w:pPr>
              <w:widowControl/>
              <w:spacing w:line="280" w:lineRule="exact"/>
              <w:jc w:val="center"/>
              <w:rPr>
                <w:rFonts w:ascii="宋体" w:hAnsi="宋体"/>
              </w:rPr>
            </w:pPr>
            <w:r w:rsidRPr="00123108">
              <w:rPr>
                <w:rFonts w:ascii="宋体" w:hAnsi="宋体" w:hint="eastAsia"/>
              </w:rPr>
              <w:t>健康</w:t>
            </w:r>
          </w:p>
          <w:p w:rsidR="004F34D9" w:rsidRPr="00123108" w:rsidRDefault="004F34D9">
            <w:pPr>
              <w:widowControl/>
              <w:spacing w:line="280" w:lineRule="exact"/>
              <w:jc w:val="center"/>
              <w:rPr>
                <w:rFonts w:ascii="宋体" w:hAnsi="宋体"/>
              </w:rPr>
            </w:pPr>
            <w:r w:rsidRPr="00123108">
              <w:rPr>
                <w:rFonts w:ascii="宋体" w:hAnsi="宋体" w:hint="eastAsia"/>
              </w:rPr>
              <w:t>危害</w:t>
            </w:r>
          </w:p>
        </w:tc>
        <w:tc>
          <w:tcPr>
            <w:tcW w:w="4608" w:type="pct"/>
            <w:gridSpan w:val="3"/>
            <w:vAlign w:val="center"/>
          </w:tcPr>
          <w:p w:rsidR="004F34D9" w:rsidRPr="00123108" w:rsidRDefault="004F34D9">
            <w:pPr>
              <w:rPr>
                <w:rFonts w:ascii="宋体" w:hAnsi="宋体"/>
                <w:caps/>
              </w:rPr>
            </w:pPr>
            <w:r w:rsidRPr="00123108">
              <w:rPr>
                <w:rFonts w:ascii="宋体" w:hAnsi="宋体" w:hint="eastAsia"/>
                <w:caps/>
              </w:rPr>
              <w:t>侵入途径：吸入、食入、经皮吸收。</w:t>
            </w:r>
          </w:p>
          <w:p w:rsidR="004F34D9" w:rsidRPr="00123108" w:rsidRDefault="004F34D9">
            <w:pPr>
              <w:rPr>
                <w:rFonts w:ascii="宋体" w:hAnsi="宋体"/>
              </w:rPr>
            </w:pPr>
            <w:r w:rsidRPr="00123108">
              <w:rPr>
                <w:rFonts w:ascii="宋体" w:hAnsi="宋体" w:hint="eastAsia"/>
              </w:rPr>
              <w:t>本品对皮肤有刺激作用。蒸气或雾对眼睛、粘膜或上呼吸道有刺激作用。吸入、摄入或经皮吸收后对身体有害。</w:t>
            </w:r>
          </w:p>
        </w:tc>
      </w:tr>
      <w:tr w:rsidR="004F34D9" w:rsidRPr="00123108">
        <w:trPr>
          <w:trHeight w:val="369"/>
        </w:trPr>
        <w:tc>
          <w:tcPr>
            <w:tcW w:w="392" w:type="pct"/>
            <w:vAlign w:val="center"/>
          </w:tcPr>
          <w:p w:rsidR="004F34D9" w:rsidRPr="00123108" w:rsidRDefault="004F34D9">
            <w:pPr>
              <w:widowControl/>
              <w:spacing w:line="280" w:lineRule="exact"/>
              <w:jc w:val="center"/>
              <w:rPr>
                <w:rFonts w:ascii="宋体" w:hAnsi="宋体"/>
              </w:rPr>
            </w:pPr>
            <w:r w:rsidRPr="00123108">
              <w:rPr>
                <w:rFonts w:ascii="宋体" w:hAnsi="宋体" w:hint="eastAsia"/>
              </w:rPr>
              <w:t>急救</w:t>
            </w:r>
          </w:p>
        </w:tc>
        <w:tc>
          <w:tcPr>
            <w:tcW w:w="4608" w:type="pct"/>
            <w:gridSpan w:val="3"/>
            <w:vAlign w:val="center"/>
          </w:tcPr>
          <w:p w:rsidR="004F34D9" w:rsidRPr="00123108" w:rsidRDefault="004F34D9">
            <w:pPr>
              <w:rPr>
                <w:rFonts w:ascii="宋体" w:hAnsi="宋体"/>
              </w:rPr>
            </w:pPr>
            <w:r w:rsidRPr="00123108">
              <w:rPr>
                <w:rFonts w:ascii="宋体" w:hAnsi="宋体" w:hint="eastAsia"/>
              </w:rPr>
              <w:t>皮肤</w:t>
            </w:r>
            <w:r w:rsidRPr="00123108">
              <w:rPr>
                <w:rFonts w:ascii="宋体" w:hAnsi="宋体" w:hint="eastAsia"/>
                <w:caps/>
              </w:rPr>
              <w:t>接触：脱去污染的衣着，用大量流动清水冲洗。</w:t>
            </w:r>
            <w:r w:rsidRPr="00123108">
              <w:rPr>
                <w:rFonts w:ascii="宋体" w:hAnsi="宋体" w:hint="eastAsia"/>
              </w:rPr>
              <w:t>眼睛接触：提起眼睑，用流动清水或生理</w:t>
            </w:r>
            <w:r w:rsidRPr="00123108">
              <w:rPr>
                <w:rFonts w:ascii="宋体" w:hAnsi="宋体" w:hint="eastAsia"/>
                <w:spacing w:val="-4"/>
              </w:rPr>
              <w:t>盐水彻底冲冼。就医。</w:t>
            </w:r>
            <w:r w:rsidRPr="00123108">
              <w:rPr>
                <w:rFonts w:ascii="宋体" w:hAnsi="宋体" w:hint="eastAsia"/>
              </w:rPr>
              <w:t>吸入：脱离现场至空气新鲜处。如呼吸困难，给输氧。就医。食入：饮足量温水，催吐。就医。</w:t>
            </w:r>
          </w:p>
        </w:tc>
      </w:tr>
      <w:tr w:rsidR="004F34D9" w:rsidRPr="00123108">
        <w:trPr>
          <w:trHeight w:val="369"/>
        </w:trPr>
        <w:tc>
          <w:tcPr>
            <w:tcW w:w="392" w:type="pct"/>
            <w:vAlign w:val="center"/>
          </w:tcPr>
          <w:p w:rsidR="004F34D9" w:rsidRPr="00123108" w:rsidRDefault="004F34D9">
            <w:pPr>
              <w:widowControl/>
              <w:spacing w:line="280" w:lineRule="exact"/>
              <w:jc w:val="center"/>
              <w:rPr>
                <w:rFonts w:ascii="宋体" w:hAnsi="宋体"/>
              </w:rPr>
            </w:pPr>
            <w:r w:rsidRPr="00123108">
              <w:rPr>
                <w:rFonts w:ascii="宋体" w:hAnsi="宋体" w:hint="eastAsia"/>
              </w:rPr>
              <w:t>防护</w:t>
            </w:r>
          </w:p>
        </w:tc>
        <w:tc>
          <w:tcPr>
            <w:tcW w:w="4608" w:type="pct"/>
            <w:gridSpan w:val="3"/>
            <w:vAlign w:val="center"/>
          </w:tcPr>
          <w:p w:rsidR="004F34D9" w:rsidRPr="00123108" w:rsidRDefault="004F34D9">
            <w:pPr>
              <w:rPr>
                <w:rFonts w:ascii="宋体" w:hAnsi="宋体"/>
              </w:rPr>
            </w:pPr>
            <w:r w:rsidRPr="00123108">
              <w:rPr>
                <w:rFonts w:ascii="宋体" w:hAnsi="宋体" w:hint="eastAsia"/>
              </w:rPr>
              <w:t>呼吸系统防护：空气中粉尘浓度超标时，建议佩戴自吸过滤式防毒面具（半面罩）。紧急事态抢救或撤离时，应佩戴空气呼吸器。眼睛防护：戴化学安全防护眼镜。身体防护：穿胶布防毒衣。手防护：戴橡胶耐油手套。其他防护：工作现场严禁吸烟。工作完毕，淋浴更衣。特别注意眼和呼吸道的防护。</w:t>
            </w:r>
          </w:p>
        </w:tc>
      </w:tr>
      <w:tr w:rsidR="004F34D9" w:rsidRPr="00123108">
        <w:trPr>
          <w:trHeight w:val="1235"/>
        </w:trPr>
        <w:tc>
          <w:tcPr>
            <w:tcW w:w="392" w:type="pct"/>
            <w:vAlign w:val="center"/>
          </w:tcPr>
          <w:p w:rsidR="004F34D9" w:rsidRPr="00123108" w:rsidRDefault="004F34D9">
            <w:pPr>
              <w:keepNext/>
              <w:spacing w:line="280" w:lineRule="exact"/>
              <w:jc w:val="center"/>
              <w:rPr>
                <w:rFonts w:ascii="宋体" w:hAnsi="宋体"/>
              </w:rPr>
            </w:pPr>
            <w:r w:rsidRPr="00123108">
              <w:rPr>
                <w:rFonts w:ascii="宋体" w:hAnsi="宋体" w:hint="eastAsia"/>
              </w:rPr>
              <w:t>储运</w:t>
            </w:r>
          </w:p>
          <w:p w:rsidR="004F34D9" w:rsidRPr="00123108" w:rsidRDefault="004F34D9">
            <w:pPr>
              <w:widowControl/>
              <w:spacing w:line="280" w:lineRule="exact"/>
              <w:jc w:val="center"/>
              <w:rPr>
                <w:rFonts w:ascii="宋体" w:hAnsi="宋体"/>
              </w:rPr>
            </w:pPr>
            <w:r w:rsidRPr="00123108">
              <w:rPr>
                <w:rFonts w:ascii="宋体" w:hAnsi="宋体" w:hint="eastAsia"/>
              </w:rPr>
              <w:t>条件</w:t>
            </w:r>
          </w:p>
        </w:tc>
        <w:tc>
          <w:tcPr>
            <w:tcW w:w="4608" w:type="pct"/>
            <w:gridSpan w:val="3"/>
            <w:vAlign w:val="center"/>
          </w:tcPr>
          <w:p w:rsidR="004F34D9" w:rsidRPr="00123108" w:rsidRDefault="004F34D9">
            <w:pPr>
              <w:rPr>
                <w:rFonts w:ascii="宋体" w:hAnsi="宋体"/>
              </w:rPr>
            </w:pPr>
            <w:r w:rsidRPr="00123108">
              <w:rPr>
                <w:rFonts w:ascii="宋体" w:hAnsi="宋体" w:hint="eastAsia"/>
              </w:rPr>
              <w:t>储存于阴凉、通风的库房。远离火种、热源。库温不宜超过30℃。保持容器密封。应与易（可）燃物、还原剂、食用化学品分开存放，切忌混储。采用防爆型照明、通风设施。禁止使用易产生火花的机械设备和工具。储区应备有泄漏应急处理和合适的收容材料。禁止震动、撞击和磨擦。</w:t>
            </w:r>
          </w:p>
        </w:tc>
      </w:tr>
      <w:tr w:rsidR="004F34D9" w:rsidRPr="00123108">
        <w:trPr>
          <w:trHeight w:val="769"/>
        </w:trPr>
        <w:tc>
          <w:tcPr>
            <w:tcW w:w="392" w:type="pct"/>
            <w:vAlign w:val="center"/>
          </w:tcPr>
          <w:p w:rsidR="004F34D9" w:rsidRPr="00123108" w:rsidRDefault="004F34D9">
            <w:pPr>
              <w:widowControl/>
              <w:spacing w:line="280" w:lineRule="exact"/>
              <w:jc w:val="center"/>
              <w:rPr>
                <w:rFonts w:ascii="宋体" w:hAnsi="宋体"/>
              </w:rPr>
            </w:pPr>
            <w:r w:rsidRPr="00123108">
              <w:rPr>
                <w:rFonts w:ascii="宋体" w:hAnsi="宋体" w:hint="eastAsia"/>
              </w:rPr>
              <w:t>泄漏</w:t>
            </w:r>
          </w:p>
          <w:p w:rsidR="004F34D9" w:rsidRPr="00123108" w:rsidRDefault="004F34D9">
            <w:pPr>
              <w:widowControl/>
              <w:spacing w:line="280" w:lineRule="exact"/>
              <w:jc w:val="center"/>
              <w:rPr>
                <w:rFonts w:ascii="宋体" w:hAnsi="宋体"/>
              </w:rPr>
            </w:pPr>
            <w:r w:rsidRPr="00123108">
              <w:rPr>
                <w:rFonts w:ascii="宋体" w:hAnsi="宋体" w:hint="eastAsia"/>
              </w:rPr>
              <w:t>处理</w:t>
            </w:r>
          </w:p>
        </w:tc>
        <w:tc>
          <w:tcPr>
            <w:tcW w:w="4608" w:type="pct"/>
            <w:gridSpan w:val="3"/>
            <w:vAlign w:val="center"/>
          </w:tcPr>
          <w:p w:rsidR="004F34D9" w:rsidRPr="00123108" w:rsidRDefault="004F34D9">
            <w:pPr>
              <w:rPr>
                <w:rFonts w:ascii="宋体" w:hAnsi="宋体"/>
              </w:rPr>
            </w:pPr>
            <w:r w:rsidRPr="00123108">
              <w:rPr>
                <w:rFonts w:ascii="宋体" w:hAnsi="宋体" w:hint="eastAsia"/>
              </w:rPr>
              <w:t>迅速撤离泄漏污染区人员至安全区，并进行隔离，严格限制出入。切断火源。建议应急处理人员戴自给正压式呼吸器，穿防毒服。尽可能切断泄漏源。防止流入下水道、排洪沟等限制性空间。小量泄漏：用砂土、干燥石灰或苏打灰混合。也可以用不燃性分散剂制成的乳液刷洗，洗液稀释后放入废水系统。大量泄漏：构筑围堤或挖坑收容。用泡沫覆盖，降低蒸气灾害。用泵转移至槽车或专用收集器内，回收或运至废物处理场所处置。</w:t>
            </w:r>
          </w:p>
        </w:tc>
      </w:tr>
    </w:tbl>
    <w:p w:rsidR="004F34D9" w:rsidRPr="00123108" w:rsidRDefault="004F34D9">
      <w:pPr>
        <w:rPr>
          <w:rFonts w:ascii="宋体" w:hAnsi="宋体"/>
        </w:rPr>
      </w:pPr>
    </w:p>
    <w:p w:rsidR="004F34D9" w:rsidRPr="00123108" w:rsidRDefault="004F34D9">
      <w:pPr>
        <w:pStyle w:val="2fd"/>
        <w:ind w:firstLineChars="0" w:firstLine="0"/>
        <w:jc w:val="center"/>
        <w:rPr>
          <w:rFonts w:hint="eastAsia"/>
          <w:b/>
          <w:sz w:val="28"/>
          <w:szCs w:val="28"/>
        </w:rPr>
      </w:pPr>
    </w:p>
    <w:p w:rsidR="004F34D9" w:rsidRPr="00123108" w:rsidRDefault="004F34D9">
      <w:pPr>
        <w:pStyle w:val="2fd"/>
        <w:ind w:firstLineChars="0" w:firstLine="0"/>
        <w:jc w:val="center"/>
        <w:rPr>
          <w:rFonts w:hint="eastAsia"/>
          <w:b/>
          <w:sz w:val="28"/>
          <w:szCs w:val="28"/>
        </w:rPr>
      </w:pPr>
    </w:p>
    <w:p w:rsidR="004F34D9" w:rsidRPr="00123108" w:rsidRDefault="004F34D9">
      <w:pPr>
        <w:pStyle w:val="2fd"/>
        <w:ind w:firstLineChars="0" w:firstLine="0"/>
        <w:jc w:val="center"/>
        <w:rPr>
          <w:rFonts w:hint="eastAsia"/>
          <w:b/>
          <w:sz w:val="28"/>
          <w:szCs w:val="28"/>
        </w:rPr>
      </w:pPr>
    </w:p>
    <w:p w:rsidR="004F34D9" w:rsidRPr="00123108" w:rsidRDefault="004F34D9">
      <w:pPr>
        <w:pStyle w:val="2fd"/>
        <w:ind w:firstLineChars="0" w:firstLine="0"/>
        <w:jc w:val="center"/>
        <w:rPr>
          <w:rFonts w:hint="eastAsia"/>
          <w:b/>
          <w:sz w:val="28"/>
          <w:szCs w:val="28"/>
        </w:rPr>
      </w:pPr>
      <w:r w:rsidRPr="00123108">
        <w:rPr>
          <w:rFonts w:hint="eastAsia"/>
          <w:b/>
          <w:sz w:val="28"/>
          <w:szCs w:val="28"/>
        </w:rPr>
        <w:t>附表</w:t>
      </w:r>
      <w:r w:rsidRPr="00123108">
        <w:rPr>
          <w:rFonts w:hint="eastAsia"/>
          <w:b/>
          <w:sz w:val="28"/>
          <w:szCs w:val="28"/>
        </w:rPr>
        <w:t xml:space="preserve">4.1-5   </w:t>
      </w:r>
      <w:r w:rsidRPr="00123108">
        <w:rPr>
          <w:rFonts w:hint="eastAsia"/>
          <w:b/>
          <w:sz w:val="28"/>
          <w:szCs w:val="28"/>
        </w:rPr>
        <w:t>戊烷的理化及危险特性</w:t>
      </w:r>
    </w:p>
    <w:tbl>
      <w:tblPr>
        <w:tblW w:w="9174" w:type="dxa"/>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9"/>
        <w:gridCol w:w="3947"/>
        <w:gridCol w:w="2568"/>
        <w:gridCol w:w="2170"/>
      </w:tblGrid>
      <w:tr w:rsidR="004F34D9" w:rsidRPr="00123108">
        <w:trPr>
          <w:cantSplit/>
          <w:jc w:val="center"/>
        </w:trPr>
        <w:tc>
          <w:tcPr>
            <w:tcW w:w="489" w:type="dxa"/>
            <w:vMerge w:val="restart"/>
            <w:tcBorders>
              <w:top w:val="single" w:sz="4" w:space="0" w:color="auto"/>
              <w:left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lastRenderedPageBreak/>
              <w:t>标</w:t>
            </w:r>
          </w:p>
          <w:p w:rsidR="004F34D9" w:rsidRPr="00123108" w:rsidRDefault="004F34D9">
            <w:pPr>
              <w:spacing w:line="262" w:lineRule="exact"/>
              <w:rPr>
                <w:rFonts w:ascii="宋体" w:hAnsi="宋体"/>
              </w:rPr>
            </w:pPr>
            <w:r w:rsidRPr="00123108">
              <w:rPr>
                <w:rFonts w:ascii="宋体" w:hAnsi="宋体" w:hint="eastAsia"/>
              </w:rPr>
              <w:t>识</w:t>
            </w:r>
          </w:p>
        </w:tc>
        <w:tc>
          <w:tcPr>
            <w:tcW w:w="3947"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rPr>
            </w:pPr>
            <w:r w:rsidRPr="00123108">
              <w:rPr>
                <w:rFonts w:ascii="宋体" w:hAnsi="宋体" w:hint="eastAsia"/>
              </w:rPr>
              <w:t>中文名：</w:t>
            </w:r>
            <w:r w:rsidRPr="00123108">
              <w:rPr>
                <w:rFonts w:ascii="宋体" w:hAnsi="宋体" w:hint="eastAsia"/>
                <w:szCs w:val="18"/>
              </w:rPr>
              <w:t>正戊烷；戊烷</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英文名</w:t>
            </w:r>
            <w:r w:rsidRPr="00123108">
              <w:rPr>
                <w:rFonts w:ascii="宋体" w:hAnsi="宋体" w:hint="eastAsia"/>
                <w:lang w:val="en-GB"/>
              </w:rPr>
              <w:t>：</w:t>
            </w:r>
            <w:r w:rsidRPr="00123108">
              <w:rPr>
                <w:rFonts w:ascii="宋体" w:hAnsi="宋体" w:hint="eastAsia"/>
                <w:i/>
                <w:szCs w:val="18"/>
              </w:rPr>
              <w:t>n</w:t>
            </w:r>
            <w:r w:rsidRPr="00123108">
              <w:rPr>
                <w:rFonts w:ascii="宋体" w:hAnsi="宋体" w:hint="eastAsia"/>
                <w:szCs w:val="18"/>
              </w:rPr>
              <w:t>-pentane </w:t>
            </w:r>
          </w:p>
        </w:tc>
      </w:tr>
      <w:tr w:rsidR="004F34D9" w:rsidRPr="00123108">
        <w:trPr>
          <w:cantSplit/>
          <w:jc w:val="center"/>
        </w:trPr>
        <w:tc>
          <w:tcPr>
            <w:tcW w:w="489" w:type="dxa"/>
            <w:vMerge/>
            <w:tcBorders>
              <w:left w:val="single" w:sz="4" w:space="0" w:color="auto"/>
              <w:right w:val="single" w:sz="4" w:space="0" w:color="auto"/>
            </w:tcBorders>
            <w:vAlign w:val="center"/>
          </w:tcPr>
          <w:p w:rsidR="004F34D9" w:rsidRPr="00123108" w:rsidRDefault="004F34D9">
            <w:pPr>
              <w:spacing w:line="26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分子式</w:t>
            </w:r>
            <w:r w:rsidRPr="00123108">
              <w:rPr>
                <w:rFonts w:ascii="宋体" w:hAnsi="宋体" w:hint="eastAsia"/>
                <w:lang w:val="en-GB"/>
              </w:rPr>
              <w:t>：</w:t>
            </w:r>
            <w:r w:rsidRPr="00123108">
              <w:rPr>
                <w:rFonts w:ascii="宋体" w:hAnsi="宋体" w:hint="eastAsia"/>
                <w:szCs w:val="18"/>
              </w:rPr>
              <w:t>C</w:t>
            </w:r>
            <w:r w:rsidRPr="00123108">
              <w:rPr>
                <w:rFonts w:ascii="宋体" w:hAnsi="宋体" w:hint="eastAsia"/>
                <w:szCs w:val="18"/>
                <w:vertAlign w:val="subscript"/>
              </w:rPr>
              <w:t>5</w:t>
            </w:r>
            <w:r w:rsidRPr="00123108">
              <w:rPr>
                <w:rFonts w:ascii="宋体" w:hAnsi="宋体" w:hint="eastAsia"/>
                <w:szCs w:val="18"/>
              </w:rPr>
              <w:t>H</w:t>
            </w:r>
            <w:r w:rsidRPr="00123108">
              <w:rPr>
                <w:rFonts w:ascii="宋体" w:hAnsi="宋体" w:hint="eastAsia"/>
                <w:szCs w:val="18"/>
                <w:vertAlign w:val="subscript"/>
              </w:rPr>
              <w:t>12</w:t>
            </w:r>
          </w:p>
        </w:tc>
        <w:tc>
          <w:tcPr>
            <w:tcW w:w="2568"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分子量： 72.15</w:t>
            </w:r>
          </w:p>
        </w:tc>
        <w:tc>
          <w:tcPr>
            <w:tcW w:w="2170"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UN编号：1265</w:t>
            </w:r>
          </w:p>
        </w:tc>
      </w:tr>
      <w:tr w:rsidR="004F34D9" w:rsidRPr="00123108">
        <w:trPr>
          <w:cantSplit/>
          <w:jc w:val="center"/>
        </w:trPr>
        <w:tc>
          <w:tcPr>
            <w:tcW w:w="489" w:type="dxa"/>
            <w:vMerge/>
            <w:tcBorders>
              <w:left w:val="single" w:sz="4" w:space="0" w:color="auto"/>
              <w:right w:val="single" w:sz="4" w:space="0" w:color="auto"/>
            </w:tcBorders>
            <w:vAlign w:val="center"/>
          </w:tcPr>
          <w:p w:rsidR="004F34D9" w:rsidRPr="00123108" w:rsidRDefault="004F34D9">
            <w:pPr>
              <w:spacing w:line="26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危险类别：第3.1类低闪点易燃液体</w:t>
            </w:r>
          </w:p>
        </w:tc>
        <w:tc>
          <w:tcPr>
            <w:tcW w:w="2568"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szCs w:val="21"/>
              </w:rPr>
              <w:t>危化品目录序号：2796</w:t>
            </w:r>
          </w:p>
        </w:tc>
        <w:tc>
          <w:tcPr>
            <w:tcW w:w="2170"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CAS号：109-66-0</w:t>
            </w:r>
          </w:p>
        </w:tc>
      </w:tr>
      <w:tr w:rsidR="004F34D9" w:rsidRPr="00123108">
        <w:trPr>
          <w:cantSplit/>
          <w:jc w:val="center"/>
        </w:trPr>
        <w:tc>
          <w:tcPr>
            <w:tcW w:w="489" w:type="dxa"/>
            <w:vMerge/>
            <w:tcBorders>
              <w:left w:val="single" w:sz="4" w:space="0" w:color="auto"/>
              <w:bottom w:val="nil"/>
              <w:right w:val="single" w:sz="4" w:space="0" w:color="auto"/>
            </w:tcBorders>
            <w:vAlign w:val="center"/>
          </w:tcPr>
          <w:p w:rsidR="004F34D9" w:rsidRPr="00123108" w:rsidRDefault="004F34D9">
            <w:pPr>
              <w:spacing w:line="26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包装标志：易燃液体</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包装类别：Ⅰ类</w:t>
            </w:r>
          </w:p>
        </w:tc>
      </w:tr>
      <w:tr w:rsidR="004F34D9" w:rsidRPr="00123108">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理</w:t>
            </w:r>
          </w:p>
          <w:p w:rsidR="004F34D9" w:rsidRPr="00123108" w:rsidRDefault="004F34D9">
            <w:pPr>
              <w:spacing w:line="262" w:lineRule="exact"/>
              <w:rPr>
                <w:rFonts w:ascii="宋体" w:hAnsi="宋体"/>
              </w:rPr>
            </w:pPr>
            <w:r w:rsidRPr="00123108">
              <w:rPr>
                <w:rFonts w:ascii="宋体" w:hAnsi="宋体" w:hint="eastAsia"/>
              </w:rPr>
              <w:t>化</w:t>
            </w:r>
          </w:p>
          <w:p w:rsidR="004F34D9" w:rsidRPr="00123108" w:rsidRDefault="004F34D9">
            <w:pPr>
              <w:spacing w:line="262" w:lineRule="exact"/>
              <w:rPr>
                <w:rFonts w:ascii="宋体" w:hAnsi="宋体" w:hint="eastAsia"/>
              </w:rPr>
            </w:pPr>
            <w:r w:rsidRPr="00123108">
              <w:rPr>
                <w:rFonts w:ascii="宋体" w:hAnsi="宋体" w:hint="eastAsia"/>
              </w:rPr>
              <w:t>性</w:t>
            </w:r>
          </w:p>
          <w:p w:rsidR="004F34D9" w:rsidRPr="00123108" w:rsidRDefault="004F34D9">
            <w:pPr>
              <w:spacing w:line="262" w:lineRule="exact"/>
              <w:rPr>
                <w:rFonts w:ascii="宋体" w:hAnsi="宋体"/>
              </w:rPr>
            </w:pPr>
            <w:r w:rsidRPr="00123108">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外观与性状：</w:t>
            </w:r>
            <w:r w:rsidRPr="00123108">
              <w:rPr>
                <w:rFonts w:ascii="宋体" w:hAnsi="宋体" w:hint="eastAsia"/>
                <w:szCs w:val="18"/>
              </w:rPr>
              <w:t>无色液体，有微弱的薄荷香味。</w:t>
            </w:r>
          </w:p>
        </w:tc>
      </w:tr>
      <w:tr w:rsidR="004F34D9" w:rsidRPr="00123108">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溶解性 ：</w:t>
            </w:r>
            <w:r w:rsidRPr="00123108">
              <w:rPr>
                <w:rFonts w:ascii="宋体" w:hAnsi="宋体" w:hint="eastAsia"/>
                <w:szCs w:val="18"/>
              </w:rPr>
              <w:t>微溶于水，溶于乙醇、乙醚、丙酮、苯、氯仿等多数有机溶剂。</w:t>
            </w:r>
          </w:p>
        </w:tc>
      </w:tr>
      <w:tr w:rsidR="004F34D9" w:rsidRPr="00123108">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熔点（℃）：-129.8</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沸点（℃）：36.1</w:t>
            </w:r>
          </w:p>
        </w:tc>
      </w:tr>
      <w:tr w:rsidR="004F34D9" w:rsidRPr="00123108">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相对密度（水＝1）：0.63</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相对密度（空气＝1）：2.48</w:t>
            </w:r>
          </w:p>
        </w:tc>
      </w:tr>
      <w:tr w:rsidR="004F34D9" w:rsidRPr="00123108">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饱和蒸气压（kPa）：</w:t>
            </w:r>
            <w:r w:rsidRPr="00123108">
              <w:rPr>
                <w:rFonts w:ascii="宋体" w:hAnsi="宋体" w:hint="eastAsia"/>
                <w:szCs w:val="18"/>
              </w:rPr>
              <w:t>53.32</w:t>
            </w:r>
            <w:r w:rsidRPr="00123108">
              <w:rPr>
                <w:rFonts w:ascii="宋体" w:hAnsi="宋体" w:hint="eastAsia"/>
              </w:rPr>
              <w:t>（18.5℃）</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燃烧热（kJ/mol）：</w:t>
            </w:r>
            <w:r w:rsidRPr="00123108">
              <w:rPr>
                <w:rFonts w:ascii="宋体" w:hAnsi="宋体" w:hint="eastAsia"/>
                <w:szCs w:val="18"/>
              </w:rPr>
              <w:t>3506.1</w:t>
            </w:r>
          </w:p>
        </w:tc>
      </w:tr>
      <w:tr w:rsidR="004F34D9" w:rsidRPr="00123108">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临界温度（℃）：196.4</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临界压力（MPa）：3.37</w:t>
            </w:r>
          </w:p>
        </w:tc>
      </w:tr>
      <w:tr w:rsidR="004F34D9" w:rsidRPr="00123108">
        <w:trPr>
          <w:cantSplit/>
          <w:jc w:val="center"/>
        </w:trPr>
        <w:tc>
          <w:tcPr>
            <w:tcW w:w="489" w:type="dxa"/>
            <w:vMerge w:val="restart"/>
            <w:tcBorders>
              <w:top w:val="single" w:sz="4" w:space="0" w:color="auto"/>
              <w:left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燃</w:t>
            </w:r>
          </w:p>
          <w:p w:rsidR="004F34D9" w:rsidRPr="00123108" w:rsidRDefault="004F34D9">
            <w:pPr>
              <w:spacing w:line="262" w:lineRule="exact"/>
              <w:rPr>
                <w:rFonts w:ascii="宋体" w:hAnsi="宋体" w:hint="eastAsia"/>
              </w:rPr>
            </w:pPr>
            <w:r w:rsidRPr="00123108">
              <w:rPr>
                <w:rFonts w:ascii="宋体" w:hAnsi="宋体" w:hint="eastAsia"/>
              </w:rPr>
              <w:t>烧</w:t>
            </w:r>
          </w:p>
          <w:p w:rsidR="004F34D9" w:rsidRPr="00123108" w:rsidRDefault="004F34D9">
            <w:pPr>
              <w:spacing w:line="262" w:lineRule="exact"/>
              <w:rPr>
                <w:rFonts w:ascii="宋体" w:hAnsi="宋体" w:hint="eastAsia"/>
              </w:rPr>
            </w:pPr>
            <w:r w:rsidRPr="00123108">
              <w:rPr>
                <w:rFonts w:ascii="宋体" w:hAnsi="宋体" w:hint="eastAsia"/>
              </w:rPr>
              <w:t>爆</w:t>
            </w:r>
          </w:p>
          <w:p w:rsidR="004F34D9" w:rsidRPr="00123108" w:rsidRDefault="004F34D9">
            <w:pPr>
              <w:spacing w:line="262" w:lineRule="exact"/>
              <w:rPr>
                <w:rFonts w:ascii="宋体" w:hAnsi="宋体" w:hint="eastAsia"/>
              </w:rPr>
            </w:pPr>
            <w:r w:rsidRPr="00123108">
              <w:rPr>
                <w:rFonts w:ascii="宋体" w:hAnsi="宋体" w:hint="eastAsia"/>
              </w:rPr>
              <w:t>炸</w:t>
            </w:r>
          </w:p>
          <w:p w:rsidR="004F34D9" w:rsidRPr="00123108" w:rsidRDefault="004F34D9">
            <w:pPr>
              <w:spacing w:line="262" w:lineRule="exact"/>
              <w:rPr>
                <w:rFonts w:ascii="宋体" w:hAnsi="宋体" w:hint="eastAsia"/>
              </w:rPr>
            </w:pPr>
            <w:r w:rsidRPr="00123108">
              <w:rPr>
                <w:rFonts w:ascii="宋体" w:hAnsi="宋体" w:hint="eastAsia"/>
              </w:rPr>
              <w:t>危</w:t>
            </w:r>
          </w:p>
          <w:p w:rsidR="004F34D9" w:rsidRPr="00123108" w:rsidRDefault="004F34D9">
            <w:pPr>
              <w:spacing w:line="262" w:lineRule="exact"/>
              <w:rPr>
                <w:rFonts w:ascii="宋体" w:hAnsi="宋体" w:hint="eastAsia"/>
              </w:rPr>
            </w:pPr>
            <w:r w:rsidRPr="00123108">
              <w:rPr>
                <w:rFonts w:ascii="宋体" w:hAnsi="宋体" w:hint="eastAsia"/>
              </w:rPr>
              <w:t>险</w:t>
            </w:r>
          </w:p>
          <w:p w:rsidR="004F34D9" w:rsidRPr="00123108" w:rsidRDefault="004F34D9">
            <w:pPr>
              <w:spacing w:line="262" w:lineRule="exact"/>
              <w:rPr>
                <w:rFonts w:ascii="宋体" w:hAnsi="宋体"/>
              </w:rPr>
            </w:pPr>
            <w:r w:rsidRPr="00123108">
              <w:rPr>
                <w:rFonts w:ascii="宋体" w:hAnsi="宋体" w:hint="eastAsia"/>
              </w:rPr>
              <w:t>性</w:t>
            </w:r>
          </w:p>
        </w:tc>
        <w:tc>
          <w:tcPr>
            <w:tcW w:w="3947"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rPr>
            </w:pPr>
            <w:r w:rsidRPr="00123108">
              <w:rPr>
                <w:rFonts w:ascii="宋体" w:hAnsi="宋体" w:hint="eastAsia"/>
              </w:rPr>
              <w:t>燃烧性： 易燃</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rsidP="00512112">
            <w:pPr>
              <w:spacing w:line="262" w:lineRule="exact"/>
              <w:rPr>
                <w:rFonts w:ascii="宋体" w:hAnsi="宋体" w:hint="eastAsia"/>
              </w:rPr>
            </w:pPr>
            <w:r w:rsidRPr="00123108">
              <w:rPr>
                <w:rFonts w:ascii="宋体" w:hAnsi="宋体" w:hint="eastAsia"/>
              </w:rPr>
              <w:t>闪点（℃）：-</w:t>
            </w:r>
            <w:r w:rsidR="00512112" w:rsidRPr="00123108">
              <w:rPr>
                <w:rFonts w:ascii="宋体" w:hAnsi="宋体" w:hint="eastAsia"/>
              </w:rPr>
              <w:t>50</w:t>
            </w:r>
          </w:p>
        </w:tc>
      </w:tr>
      <w:tr w:rsidR="004F34D9" w:rsidRPr="00123108">
        <w:trPr>
          <w:cantSplit/>
          <w:jc w:val="center"/>
        </w:trPr>
        <w:tc>
          <w:tcPr>
            <w:tcW w:w="489" w:type="dxa"/>
            <w:vMerge/>
            <w:tcBorders>
              <w:top w:val="single" w:sz="4" w:space="0" w:color="auto"/>
              <w:left w:val="single" w:sz="4" w:space="0" w:color="auto"/>
              <w:right w:val="single" w:sz="4" w:space="0" w:color="auto"/>
            </w:tcBorders>
            <w:vAlign w:val="center"/>
          </w:tcPr>
          <w:p w:rsidR="004F34D9" w:rsidRPr="00123108" w:rsidRDefault="004F34D9">
            <w:pPr>
              <w:spacing w:line="262" w:lineRule="exact"/>
              <w:rPr>
                <w:rFonts w:ascii="宋体" w:hAnsi="宋体" w:hint="eastAsia"/>
              </w:rPr>
            </w:pPr>
          </w:p>
        </w:tc>
        <w:tc>
          <w:tcPr>
            <w:tcW w:w="3947"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rsidP="00512112">
            <w:pPr>
              <w:spacing w:line="262" w:lineRule="exact"/>
              <w:rPr>
                <w:rFonts w:ascii="宋体" w:hAnsi="宋体" w:hint="eastAsia"/>
                <w:vertAlign w:val="superscript"/>
              </w:rPr>
            </w:pPr>
            <w:r w:rsidRPr="00123108">
              <w:rPr>
                <w:rFonts w:ascii="宋体" w:hAnsi="宋体" w:hint="eastAsia"/>
              </w:rPr>
              <w:t>爆炸下限（%）：1.</w:t>
            </w:r>
            <w:r w:rsidR="00512112" w:rsidRPr="00123108">
              <w:rPr>
                <w:rFonts w:ascii="宋体" w:hAnsi="宋体" w:hint="eastAsia"/>
              </w:rPr>
              <w:t>4</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rsidP="00512112">
            <w:pPr>
              <w:spacing w:line="262" w:lineRule="exact"/>
              <w:rPr>
                <w:rFonts w:ascii="宋体" w:hAnsi="宋体" w:hint="eastAsia"/>
              </w:rPr>
            </w:pPr>
            <w:r w:rsidRPr="00123108">
              <w:rPr>
                <w:rFonts w:ascii="宋体" w:hAnsi="宋体" w:hint="eastAsia"/>
              </w:rPr>
              <w:t>爆炸上限（%）：</w:t>
            </w:r>
            <w:r w:rsidR="00512112" w:rsidRPr="00123108">
              <w:rPr>
                <w:rFonts w:ascii="宋体" w:hAnsi="宋体" w:hint="eastAsia"/>
              </w:rPr>
              <w:t>7.8</w:t>
            </w:r>
          </w:p>
        </w:tc>
      </w:tr>
      <w:tr w:rsidR="004F34D9" w:rsidRPr="00123108">
        <w:trPr>
          <w:cantSplit/>
          <w:jc w:val="center"/>
        </w:trPr>
        <w:tc>
          <w:tcPr>
            <w:tcW w:w="489" w:type="dxa"/>
            <w:vMerge/>
            <w:tcBorders>
              <w:top w:val="single" w:sz="4" w:space="0" w:color="auto"/>
              <w:left w:val="single" w:sz="4" w:space="0" w:color="auto"/>
              <w:right w:val="single" w:sz="4" w:space="0" w:color="auto"/>
            </w:tcBorders>
            <w:vAlign w:val="center"/>
          </w:tcPr>
          <w:p w:rsidR="004F34D9" w:rsidRPr="00123108" w:rsidRDefault="004F34D9">
            <w:pPr>
              <w:spacing w:line="262" w:lineRule="exact"/>
              <w:rPr>
                <w:rFonts w:ascii="宋体" w:hAnsi="宋体" w:hint="eastAsia"/>
              </w:rPr>
            </w:pPr>
          </w:p>
        </w:tc>
        <w:tc>
          <w:tcPr>
            <w:tcW w:w="3947"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引燃温度（℃）：260</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最小点火能（mJ）：</w:t>
            </w:r>
            <w:r w:rsidRPr="00123108">
              <w:rPr>
                <w:rFonts w:ascii="宋体" w:hAnsi="宋体" w:hint="eastAsia"/>
                <w:szCs w:val="18"/>
              </w:rPr>
              <w:t>0.51</w:t>
            </w:r>
          </w:p>
        </w:tc>
      </w:tr>
      <w:tr w:rsidR="004F34D9" w:rsidRPr="00123108">
        <w:trPr>
          <w:cantSplit/>
          <w:jc w:val="center"/>
        </w:trPr>
        <w:tc>
          <w:tcPr>
            <w:tcW w:w="489" w:type="dxa"/>
            <w:vMerge/>
            <w:tcBorders>
              <w:left w:val="single" w:sz="4" w:space="0" w:color="auto"/>
              <w:right w:val="single" w:sz="4" w:space="0" w:color="auto"/>
            </w:tcBorders>
            <w:vAlign w:val="center"/>
          </w:tcPr>
          <w:p w:rsidR="004F34D9" w:rsidRPr="00123108" w:rsidRDefault="004F34D9">
            <w:pPr>
              <w:spacing w:line="26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最大爆炸压力（MPa）：0.813</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稳定性： 稳定</w:t>
            </w:r>
          </w:p>
        </w:tc>
      </w:tr>
      <w:tr w:rsidR="004F34D9" w:rsidRPr="00123108">
        <w:trPr>
          <w:cantSplit/>
          <w:jc w:val="center"/>
        </w:trPr>
        <w:tc>
          <w:tcPr>
            <w:tcW w:w="489" w:type="dxa"/>
            <w:vMerge/>
            <w:tcBorders>
              <w:left w:val="single" w:sz="4" w:space="0" w:color="auto"/>
              <w:right w:val="single" w:sz="4" w:space="0" w:color="auto"/>
            </w:tcBorders>
            <w:vAlign w:val="center"/>
          </w:tcPr>
          <w:p w:rsidR="004F34D9" w:rsidRPr="00123108" w:rsidRDefault="004F34D9">
            <w:pPr>
              <w:spacing w:line="26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聚合危害：不聚合</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燃烧分解产物：</w:t>
            </w:r>
            <w:r w:rsidRPr="00123108">
              <w:rPr>
                <w:rFonts w:ascii="宋体" w:hAnsi="宋体" w:hint="eastAsia"/>
                <w:szCs w:val="18"/>
              </w:rPr>
              <w:t>一氧化碳、二氧化碳。</w:t>
            </w:r>
          </w:p>
        </w:tc>
      </w:tr>
      <w:tr w:rsidR="004F34D9" w:rsidRPr="00123108">
        <w:trPr>
          <w:cantSplit/>
          <w:jc w:val="center"/>
        </w:trPr>
        <w:tc>
          <w:tcPr>
            <w:tcW w:w="489" w:type="dxa"/>
            <w:vMerge/>
            <w:tcBorders>
              <w:left w:val="single" w:sz="4" w:space="0" w:color="auto"/>
              <w:right w:val="single" w:sz="4" w:space="0" w:color="auto"/>
            </w:tcBorders>
            <w:vAlign w:val="center"/>
          </w:tcPr>
          <w:p w:rsidR="004F34D9" w:rsidRPr="00123108" w:rsidRDefault="004F34D9">
            <w:pPr>
              <w:spacing w:line="26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 xml:space="preserve">避免接触的条件：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禁忌物：</w:t>
            </w:r>
            <w:r w:rsidRPr="00123108">
              <w:rPr>
                <w:rFonts w:ascii="宋体" w:hAnsi="宋体" w:hint="eastAsia"/>
                <w:szCs w:val="18"/>
              </w:rPr>
              <w:t>强氧化剂。</w:t>
            </w:r>
          </w:p>
        </w:tc>
      </w:tr>
      <w:tr w:rsidR="004F34D9" w:rsidRPr="00123108">
        <w:trPr>
          <w:cantSplit/>
          <w:trHeight w:val="980"/>
          <w:jc w:val="center"/>
        </w:trPr>
        <w:tc>
          <w:tcPr>
            <w:tcW w:w="489" w:type="dxa"/>
            <w:vMerge/>
            <w:tcBorders>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危险特性:</w:t>
            </w:r>
            <w:r w:rsidRPr="00123108">
              <w:rPr>
                <w:rFonts w:ascii="宋体" w:hAnsi="宋体" w:hint="eastAsia"/>
                <w:szCs w:val="18"/>
              </w:rPr>
              <w:t xml:space="preserve"> 极易燃，其蒸气与空气可形成爆炸性混合物，遇明火、高热极易燃烧爆炸。与氧化剂接触发生强烈反应, 甚至引起燃烧。液体比水轻，不溶于水，可随水漂流扩散到远处，遇明火即引起燃烧。在火场中，受热的容器有爆炸危险。其蒸气比空气重，能在较低处扩散到相当远的地方，遇火源会着火回燃。</w:t>
            </w:r>
          </w:p>
        </w:tc>
      </w:tr>
      <w:tr w:rsidR="004F34D9" w:rsidRPr="00123108">
        <w:trPr>
          <w:cantSplit/>
          <w:jc w:val="center"/>
        </w:trPr>
        <w:tc>
          <w:tcPr>
            <w:tcW w:w="489" w:type="dxa"/>
            <w:vMerge/>
            <w:tcBorders>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灭火方法：</w:t>
            </w:r>
            <w:r w:rsidRPr="00123108">
              <w:rPr>
                <w:rFonts w:ascii="宋体" w:hAnsi="宋体" w:hint="eastAsia"/>
                <w:szCs w:val="18"/>
              </w:rPr>
              <w:t>喷水冷却容器，可能的话将容器从火场移至空旷处。处在火场中的容器若已变色或从安全泄压装置中产生声音，必须马上撤离。灭火剂：泡沫、二氧化碳、干粉、砂土。用水灭火无效。</w:t>
            </w:r>
          </w:p>
        </w:tc>
      </w:tr>
      <w:tr w:rsidR="004F34D9" w:rsidRPr="00123108">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毒</w:t>
            </w:r>
          </w:p>
          <w:p w:rsidR="004F34D9" w:rsidRPr="00123108" w:rsidRDefault="004F34D9">
            <w:pPr>
              <w:spacing w:line="262" w:lineRule="exact"/>
              <w:rPr>
                <w:rFonts w:ascii="宋体" w:hAnsi="宋体"/>
              </w:rPr>
            </w:pPr>
            <w:r w:rsidRPr="00123108">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LD</w:t>
            </w:r>
            <w:r w:rsidRPr="00123108">
              <w:rPr>
                <w:rFonts w:ascii="宋体" w:hAnsi="宋体" w:hint="eastAsia"/>
                <w:vertAlign w:val="subscript"/>
              </w:rPr>
              <w:t>50</w:t>
            </w:r>
            <w:r w:rsidRPr="00123108">
              <w:rPr>
                <w:rFonts w:ascii="宋体" w:hAnsi="宋体" w:hint="eastAsia"/>
              </w:rPr>
              <w:t>：</w:t>
            </w:r>
            <w:r w:rsidRPr="00123108">
              <w:rPr>
                <w:rFonts w:ascii="宋体" w:hAnsi="宋体" w:hint="eastAsia"/>
                <w:szCs w:val="18"/>
              </w:rPr>
              <w:t>446 mg/kg(小鼠静脉)</w:t>
            </w:r>
            <w:r w:rsidRPr="00123108">
              <w:rPr>
                <w:rFonts w:ascii="宋体" w:hAnsi="宋体" w:hint="eastAsia"/>
              </w:rPr>
              <w:t xml:space="preserve"> </w:t>
            </w:r>
          </w:p>
          <w:p w:rsidR="004F34D9" w:rsidRPr="00123108" w:rsidRDefault="004F34D9">
            <w:pPr>
              <w:spacing w:line="262" w:lineRule="exact"/>
              <w:rPr>
                <w:rFonts w:ascii="宋体" w:hAnsi="宋体" w:hint="eastAsia"/>
              </w:rPr>
            </w:pPr>
            <w:r w:rsidRPr="00123108">
              <w:rPr>
                <w:rFonts w:ascii="宋体" w:hAnsi="宋体" w:hint="eastAsia"/>
              </w:rPr>
              <w:t>LD</w:t>
            </w:r>
            <w:r w:rsidRPr="00123108">
              <w:rPr>
                <w:rFonts w:ascii="宋体" w:hAnsi="宋体" w:hint="eastAsia"/>
                <w:vertAlign w:val="subscript"/>
              </w:rPr>
              <w:t>50</w:t>
            </w:r>
            <w:r w:rsidRPr="00123108">
              <w:rPr>
                <w:rFonts w:ascii="宋体" w:hAnsi="宋体" w:hint="eastAsia"/>
              </w:rPr>
              <w:t>：</w:t>
            </w:r>
          </w:p>
        </w:tc>
      </w:tr>
      <w:tr w:rsidR="004F34D9" w:rsidRPr="00123108">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侵入途经：吸入、食入、经皮吸收。</w:t>
            </w:r>
          </w:p>
        </w:tc>
      </w:tr>
      <w:tr w:rsidR="004F34D9" w:rsidRPr="00123108">
        <w:trPr>
          <w:cantSplit/>
          <w:trHeight w:val="671"/>
          <w:jc w:val="center"/>
        </w:trPr>
        <w:tc>
          <w:tcPr>
            <w:tcW w:w="489" w:type="dxa"/>
            <w:vMerge/>
            <w:tcBorders>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szCs w:val="18"/>
              </w:rPr>
              <w:t>高浓度可引起眼与呼吸道粘膜轻度刺激症状和麻醉状态，甚至意识丧失。慢性作用为眼和呼吸道的轻度刺激。可引起轻度皮炎。 </w:t>
            </w:r>
          </w:p>
        </w:tc>
      </w:tr>
      <w:tr w:rsidR="004F34D9" w:rsidRPr="00123108">
        <w:trPr>
          <w:cantSplit/>
          <w:jc w:val="center"/>
        </w:trPr>
        <w:tc>
          <w:tcPr>
            <w:tcW w:w="489" w:type="dxa"/>
            <w:tcBorders>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急</w:t>
            </w:r>
          </w:p>
          <w:p w:rsidR="004F34D9" w:rsidRPr="00123108" w:rsidRDefault="004F34D9">
            <w:pPr>
              <w:spacing w:line="262" w:lineRule="exact"/>
              <w:rPr>
                <w:rFonts w:ascii="宋体" w:hAnsi="宋体" w:hint="eastAsia"/>
              </w:rPr>
            </w:pPr>
            <w:r w:rsidRPr="00123108">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皮肤接触：</w:t>
            </w:r>
            <w:r w:rsidRPr="00123108">
              <w:rPr>
                <w:rFonts w:ascii="宋体" w:hAnsi="宋体" w:hint="eastAsia"/>
                <w:szCs w:val="18"/>
              </w:rPr>
              <w:t>脱去污染的衣着，用肥皂水和清水彻底冲洗皮肤。眼睛接触：提起眼睑，用流动清水或生理盐水冲洗。就医。吸入：迅速脱离现场至空气新鲜处。保持呼吸道通畅。如呼吸困难，给输氧。如呼吸停止，立即进行人工呼吸。就医。食入：饮足量温水，催吐。就医。</w:t>
            </w:r>
          </w:p>
        </w:tc>
      </w:tr>
      <w:tr w:rsidR="004F34D9" w:rsidRPr="00123108">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防</w:t>
            </w:r>
          </w:p>
          <w:p w:rsidR="004F34D9" w:rsidRPr="00123108" w:rsidRDefault="004F34D9">
            <w:pPr>
              <w:spacing w:line="262" w:lineRule="exact"/>
              <w:rPr>
                <w:rFonts w:ascii="宋体" w:hAnsi="宋体" w:hint="eastAsia"/>
              </w:rPr>
            </w:pPr>
            <w:r w:rsidRPr="00123108">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工程控制:</w:t>
            </w:r>
            <w:r w:rsidRPr="00123108">
              <w:rPr>
                <w:rFonts w:ascii="宋体" w:hAnsi="宋体" w:hint="eastAsia"/>
                <w:szCs w:val="18"/>
              </w:rPr>
              <w:t xml:space="preserve"> 生产过程密闭，全面通风。提供安全淋浴和洗眼设备。呼吸系统防护</w:t>
            </w:r>
            <w:r w:rsidRPr="00123108">
              <w:rPr>
                <w:rFonts w:ascii="宋体" w:hAnsi="宋体" w:hint="eastAsia"/>
              </w:rPr>
              <w:t>:</w:t>
            </w:r>
            <w:r w:rsidRPr="00123108">
              <w:rPr>
                <w:rFonts w:ascii="宋体" w:hAnsi="宋体" w:hint="eastAsia"/>
                <w:szCs w:val="18"/>
              </w:rPr>
              <w:t xml:space="preserve"> 一般不需特殊防护。空气中浓度较高时，建议佩戴自吸过滤式防毒面具（半面罩）。</w:t>
            </w:r>
            <w:r w:rsidRPr="00123108">
              <w:rPr>
                <w:rFonts w:ascii="宋体" w:hAnsi="宋体"/>
                <w:szCs w:val="18"/>
              </w:rPr>
              <w:t>眼睛防护</w:t>
            </w:r>
            <w:r w:rsidRPr="00123108">
              <w:rPr>
                <w:rFonts w:ascii="宋体" w:hAnsi="宋体" w:hint="eastAsia"/>
              </w:rPr>
              <w:t>:</w:t>
            </w:r>
            <w:r w:rsidRPr="00123108">
              <w:rPr>
                <w:rFonts w:ascii="宋体" w:hAnsi="宋体" w:hint="eastAsia"/>
                <w:szCs w:val="18"/>
              </w:rPr>
              <w:t xml:space="preserve"> 必要时，戴化学安全防护眼镜。</w:t>
            </w:r>
            <w:r w:rsidRPr="00123108">
              <w:rPr>
                <w:rFonts w:ascii="宋体" w:hAnsi="宋体"/>
                <w:szCs w:val="18"/>
              </w:rPr>
              <w:t>身体防护</w:t>
            </w:r>
            <w:r w:rsidRPr="00123108">
              <w:rPr>
                <w:rFonts w:ascii="宋体" w:hAnsi="宋体" w:hint="eastAsia"/>
              </w:rPr>
              <w:t>:</w:t>
            </w:r>
            <w:r w:rsidRPr="00123108">
              <w:rPr>
                <w:rFonts w:ascii="宋体" w:hAnsi="宋体" w:hint="eastAsia"/>
                <w:szCs w:val="18"/>
              </w:rPr>
              <w:t>穿防静电工作服。</w:t>
            </w:r>
            <w:r w:rsidRPr="00123108">
              <w:rPr>
                <w:rFonts w:ascii="宋体" w:hAnsi="宋体"/>
                <w:szCs w:val="18"/>
              </w:rPr>
              <w:t>手防护</w:t>
            </w:r>
            <w:r w:rsidRPr="00123108">
              <w:rPr>
                <w:rFonts w:ascii="宋体" w:hAnsi="宋体" w:hint="eastAsia"/>
              </w:rPr>
              <w:t>:</w:t>
            </w:r>
            <w:r w:rsidRPr="00123108">
              <w:rPr>
                <w:rFonts w:ascii="宋体" w:hAnsi="宋体" w:hint="eastAsia"/>
                <w:szCs w:val="18"/>
              </w:rPr>
              <w:t xml:space="preserve"> 戴橡胶耐油手套。其它</w:t>
            </w:r>
            <w:r w:rsidRPr="00123108">
              <w:rPr>
                <w:rFonts w:ascii="宋体" w:hAnsi="宋体" w:hint="eastAsia"/>
              </w:rPr>
              <w:t>:</w:t>
            </w:r>
            <w:r w:rsidRPr="00123108">
              <w:rPr>
                <w:rFonts w:ascii="宋体" w:hAnsi="宋体" w:hint="eastAsia"/>
                <w:szCs w:val="18"/>
              </w:rPr>
              <w:t xml:space="preserve"> 工作现场严禁吸烟。避免长期反复接触。</w:t>
            </w:r>
          </w:p>
        </w:tc>
      </w:tr>
      <w:tr w:rsidR="004F34D9" w:rsidRPr="00123108">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泄</w:t>
            </w:r>
          </w:p>
          <w:p w:rsidR="004F34D9" w:rsidRPr="00123108" w:rsidRDefault="004F34D9">
            <w:pPr>
              <w:spacing w:line="262" w:lineRule="exact"/>
              <w:rPr>
                <w:rFonts w:ascii="宋体" w:hAnsi="宋体" w:hint="eastAsia"/>
              </w:rPr>
            </w:pPr>
            <w:r w:rsidRPr="00123108">
              <w:rPr>
                <w:rFonts w:ascii="宋体" w:hAnsi="宋体" w:hint="eastAsia"/>
              </w:rPr>
              <w:t>漏</w:t>
            </w:r>
          </w:p>
          <w:p w:rsidR="004F34D9" w:rsidRPr="00123108" w:rsidRDefault="004F34D9">
            <w:pPr>
              <w:spacing w:line="262" w:lineRule="exact"/>
              <w:rPr>
                <w:rFonts w:ascii="宋体" w:hAnsi="宋体" w:hint="eastAsia"/>
              </w:rPr>
            </w:pPr>
            <w:r w:rsidRPr="00123108">
              <w:rPr>
                <w:rFonts w:ascii="宋体" w:hAnsi="宋体" w:hint="eastAsia"/>
              </w:rPr>
              <w:t>处</w:t>
            </w:r>
          </w:p>
          <w:p w:rsidR="004F34D9" w:rsidRPr="00123108" w:rsidRDefault="004F34D9">
            <w:pPr>
              <w:spacing w:line="262" w:lineRule="exact"/>
              <w:rPr>
                <w:rFonts w:ascii="宋体" w:hAnsi="宋体" w:hint="eastAsia"/>
                <w:bCs/>
              </w:rPr>
            </w:pPr>
            <w:r w:rsidRPr="00123108">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spacing w:line="262" w:lineRule="exact"/>
              <w:rPr>
                <w:rFonts w:ascii="宋体" w:hAnsi="宋体" w:hint="eastAsia"/>
                <w:szCs w:val="18"/>
              </w:rPr>
            </w:pPr>
            <w:r w:rsidRPr="00123108">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大量泄漏：构筑围堤或挖坑收容。用泡沫覆盖，降低蒸气灾害。用防爆泵转移至槽车或专用收集器内，回收或运至废物处理场所处置。</w:t>
            </w:r>
          </w:p>
        </w:tc>
      </w:tr>
      <w:tr w:rsidR="004F34D9" w:rsidRPr="00123108">
        <w:trPr>
          <w:cantSplit/>
          <w:jc w:val="center"/>
        </w:trPr>
        <w:tc>
          <w:tcPr>
            <w:tcW w:w="489" w:type="dxa"/>
            <w:tcBorders>
              <w:top w:val="single" w:sz="4" w:space="0" w:color="auto"/>
              <w:left w:val="single" w:sz="4" w:space="0" w:color="auto"/>
              <w:right w:val="single" w:sz="4" w:space="0" w:color="auto"/>
            </w:tcBorders>
            <w:vAlign w:val="center"/>
          </w:tcPr>
          <w:p w:rsidR="004F34D9" w:rsidRPr="00123108" w:rsidRDefault="004F34D9">
            <w:pPr>
              <w:spacing w:line="262" w:lineRule="exact"/>
              <w:rPr>
                <w:rFonts w:ascii="宋体" w:hAnsi="宋体" w:hint="eastAsia"/>
              </w:rPr>
            </w:pPr>
            <w:r w:rsidRPr="00123108">
              <w:rPr>
                <w:rFonts w:ascii="宋体" w:hAnsi="宋体" w:hint="eastAsia"/>
              </w:rPr>
              <w:t>储</w:t>
            </w:r>
          </w:p>
          <w:p w:rsidR="004F34D9" w:rsidRPr="00123108" w:rsidRDefault="004F34D9">
            <w:pPr>
              <w:spacing w:line="262" w:lineRule="exact"/>
              <w:rPr>
                <w:rFonts w:ascii="宋体" w:hAnsi="宋体" w:hint="eastAsia"/>
              </w:rPr>
            </w:pPr>
            <w:r w:rsidRPr="00123108">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4F34D9" w:rsidRPr="00123108" w:rsidRDefault="004F34D9">
            <w:pPr>
              <w:spacing w:line="262" w:lineRule="exact"/>
              <w:rPr>
                <w:rFonts w:ascii="宋体" w:hAnsi="宋体" w:hint="eastAsia"/>
                <w:szCs w:val="18"/>
              </w:rPr>
            </w:pPr>
            <w:r w:rsidRPr="00123108">
              <w:rPr>
                <w:rFonts w:ascii="宋体" w:hAnsi="宋体" w:hint="eastAsia"/>
                <w:szCs w:val="18"/>
              </w:rPr>
              <w:t>储存于阴凉、通风的库房。远离火种、热源。库温不宜超过30℃。保持容器密封。应与氧化剂分开存放，切忌混储。采用防爆型照明、通风设施。禁止使用易产生火花的机械设备和工具。储区应备有泄漏应急处理设备和合适的收容材料。</w:t>
            </w:r>
          </w:p>
          <w:p w:rsidR="004F34D9" w:rsidRPr="00123108" w:rsidRDefault="004F34D9">
            <w:pPr>
              <w:spacing w:line="262" w:lineRule="exact"/>
              <w:rPr>
                <w:rFonts w:ascii="宋体" w:hAnsi="宋体" w:hint="eastAsia"/>
                <w:szCs w:val="18"/>
              </w:rPr>
            </w:pPr>
            <w:r w:rsidRPr="00123108">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4F34D9" w:rsidRPr="00123108" w:rsidRDefault="004F34D9">
      <w:pPr>
        <w:pStyle w:val="2fd"/>
        <w:ind w:firstLineChars="0" w:firstLine="0"/>
        <w:jc w:val="center"/>
        <w:rPr>
          <w:rFonts w:ascii="黑体" w:eastAsia="黑体" w:hAnsi="黑体"/>
          <w:b/>
          <w:sz w:val="28"/>
          <w:szCs w:val="28"/>
        </w:rPr>
      </w:pPr>
      <w:r w:rsidRPr="00123108">
        <w:rPr>
          <w:rFonts w:ascii="黑体" w:eastAsia="黑体" w:hAnsi="黑体" w:hint="eastAsia"/>
          <w:b/>
          <w:sz w:val="28"/>
          <w:szCs w:val="28"/>
        </w:rPr>
        <w:t>附表4.1-6  过氧化苯甲酰的理化及危险特性</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1901"/>
        <w:gridCol w:w="2237"/>
        <w:gridCol w:w="4318"/>
      </w:tblGrid>
      <w:tr w:rsidR="004F34D9" w:rsidRPr="00123108">
        <w:trPr>
          <w:trHeight w:val="77"/>
        </w:trPr>
        <w:tc>
          <w:tcPr>
            <w:tcW w:w="392" w:type="pct"/>
            <w:vMerge w:val="restart"/>
            <w:vAlign w:val="center"/>
          </w:tcPr>
          <w:p w:rsidR="004F34D9" w:rsidRPr="00123108" w:rsidRDefault="004F34D9">
            <w:pPr>
              <w:rPr>
                <w:rFonts w:ascii="宋体" w:hAnsi="宋体"/>
              </w:rPr>
            </w:pPr>
            <w:r w:rsidRPr="00123108">
              <w:rPr>
                <w:rFonts w:ascii="宋体" w:hAnsi="宋体" w:hint="eastAsia"/>
              </w:rPr>
              <w:lastRenderedPageBreak/>
              <w:t>标识</w:t>
            </w:r>
          </w:p>
        </w:tc>
        <w:tc>
          <w:tcPr>
            <w:tcW w:w="2255" w:type="pct"/>
            <w:gridSpan w:val="2"/>
            <w:vAlign w:val="center"/>
          </w:tcPr>
          <w:p w:rsidR="004F34D9" w:rsidRPr="00123108" w:rsidRDefault="004F34D9">
            <w:pPr>
              <w:rPr>
                <w:rFonts w:ascii="宋体" w:hAnsi="宋体"/>
              </w:rPr>
            </w:pPr>
            <w:r w:rsidRPr="00123108">
              <w:rPr>
                <w:rFonts w:ascii="宋体" w:hAnsi="宋体" w:hint="eastAsia"/>
              </w:rPr>
              <w:t>中文名：过氧化（二）苯甲酰；过氧化苯甲酰</w:t>
            </w:r>
          </w:p>
        </w:tc>
        <w:tc>
          <w:tcPr>
            <w:tcW w:w="2353" w:type="pct"/>
            <w:vAlign w:val="center"/>
          </w:tcPr>
          <w:p w:rsidR="004F34D9" w:rsidRPr="00123108" w:rsidRDefault="004F34D9">
            <w:pPr>
              <w:rPr>
                <w:rFonts w:ascii="宋体" w:hAnsi="宋体"/>
                <w:lang w:val="pt-BR"/>
              </w:rPr>
            </w:pPr>
            <w:r w:rsidRPr="00123108">
              <w:rPr>
                <w:rFonts w:ascii="宋体" w:hAnsi="宋体" w:hint="eastAsia"/>
              </w:rPr>
              <w:t>英文名</w:t>
            </w:r>
            <w:r w:rsidRPr="00123108">
              <w:rPr>
                <w:rFonts w:ascii="宋体" w:hAnsi="宋体" w:hint="eastAsia"/>
                <w:lang w:val="pt-BR"/>
              </w:rPr>
              <w:t>：benzoyl peroxide;benzoyl superoxide</w:t>
            </w:r>
          </w:p>
        </w:tc>
      </w:tr>
      <w:tr w:rsidR="004F34D9" w:rsidRPr="00123108">
        <w:trPr>
          <w:trHeight w:val="77"/>
        </w:trPr>
        <w:tc>
          <w:tcPr>
            <w:tcW w:w="392" w:type="pct"/>
            <w:vMerge/>
            <w:vAlign w:val="center"/>
          </w:tcPr>
          <w:p w:rsidR="004F34D9" w:rsidRPr="00123108" w:rsidRDefault="004F34D9">
            <w:pPr>
              <w:rPr>
                <w:rFonts w:ascii="宋体" w:hAnsi="宋体"/>
                <w:lang w:val="pt-BR"/>
              </w:rPr>
            </w:pPr>
          </w:p>
        </w:tc>
        <w:tc>
          <w:tcPr>
            <w:tcW w:w="1036" w:type="pct"/>
            <w:vAlign w:val="center"/>
          </w:tcPr>
          <w:p w:rsidR="004F34D9" w:rsidRPr="00123108" w:rsidRDefault="004F34D9">
            <w:pPr>
              <w:rPr>
                <w:rFonts w:ascii="宋体" w:hAnsi="宋体"/>
              </w:rPr>
            </w:pPr>
            <w:r w:rsidRPr="00123108">
              <w:rPr>
                <w:rFonts w:ascii="宋体" w:hAnsi="宋体" w:hint="eastAsia"/>
              </w:rPr>
              <w:t>分子式</w:t>
            </w:r>
            <w:r w:rsidRPr="00123108">
              <w:rPr>
                <w:rFonts w:ascii="宋体" w:hAnsi="宋体"/>
              </w:rPr>
              <w:t xml:space="preserve"> ：</w:t>
            </w:r>
          </w:p>
        </w:tc>
        <w:tc>
          <w:tcPr>
            <w:tcW w:w="1219" w:type="pct"/>
            <w:vAlign w:val="center"/>
          </w:tcPr>
          <w:p w:rsidR="004F34D9" w:rsidRPr="00123108" w:rsidRDefault="004F34D9">
            <w:pPr>
              <w:rPr>
                <w:rFonts w:ascii="宋体" w:hAnsi="宋体"/>
              </w:rPr>
            </w:pPr>
            <w:r w:rsidRPr="00123108">
              <w:rPr>
                <w:rFonts w:ascii="宋体" w:hAnsi="宋体" w:hint="eastAsia"/>
              </w:rPr>
              <w:t>分子量：</w:t>
            </w:r>
            <w:r w:rsidRPr="00123108">
              <w:rPr>
                <w:rFonts w:ascii="宋体" w:hAnsi="宋体"/>
              </w:rPr>
              <w:t xml:space="preserve"> </w:t>
            </w:r>
          </w:p>
        </w:tc>
        <w:tc>
          <w:tcPr>
            <w:tcW w:w="2353" w:type="pct"/>
            <w:vAlign w:val="center"/>
          </w:tcPr>
          <w:p w:rsidR="004F34D9" w:rsidRPr="00123108" w:rsidRDefault="004F34D9">
            <w:pPr>
              <w:rPr>
                <w:rFonts w:ascii="宋体" w:hAnsi="宋体"/>
              </w:rPr>
            </w:pPr>
            <w:r w:rsidRPr="00123108">
              <w:rPr>
                <w:rFonts w:ascii="宋体" w:hAnsi="宋体"/>
              </w:rPr>
              <w:t>CAS号：</w:t>
            </w:r>
            <w:r w:rsidRPr="00123108">
              <w:rPr>
                <w:rFonts w:ascii="宋体" w:hAnsi="宋体" w:hint="eastAsia"/>
              </w:rPr>
              <w:t>94-36-0</w:t>
            </w:r>
          </w:p>
        </w:tc>
      </w:tr>
      <w:tr w:rsidR="004F34D9" w:rsidRPr="00123108">
        <w:trPr>
          <w:trHeight w:val="167"/>
        </w:trPr>
        <w:tc>
          <w:tcPr>
            <w:tcW w:w="392" w:type="pct"/>
            <w:vMerge/>
            <w:vAlign w:val="center"/>
          </w:tcPr>
          <w:p w:rsidR="004F34D9" w:rsidRPr="00123108" w:rsidRDefault="004F34D9">
            <w:pPr>
              <w:rPr>
                <w:rFonts w:ascii="宋体" w:hAnsi="宋体"/>
              </w:rPr>
            </w:pPr>
          </w:p>
        </w:tc>
        <w:tc>
          <w:tcPr>
            <w:tcW w:w="2255" w:type="pct"/>
            <w:gridSpan w:val="2"/>
            <w:vAlign w:val="center"/>
          </w:tcPr>
          <w:p w:rsidR="004F34D9" w:rsidRPr="00123108" w:rsidRDefault="004F34D9">
            <w:pPr>
              <w:rPr>
                <w:rFonts w:ascii="宋体" w:hAnsi="宋体"/>
              </w:rPr>
            </w:pPr>
            <w:r w:rsidRPr="00123108">
              <w:rPr>
                <w:rFonts w:ascii="宋体" w:hAnsi="宋体" w:hint="eastAsia"/>
              </w:rPr>
              <w:t>危险性类别：有机过氧化物</w:t>
            </w:r>
          </w:p>
        </w:tc>
        <w:tc>
          <w:tcPr>
            <w:tcW w:w="2353" w:type="pct"/>
            <w:vAlign w:val="center"/>
          </w:tcPr>
          <w:p w:rsidR="004F34D9" w:rsidRPr="00123108" w:rsidRDefault="004F34D9">
            <w:pPr>
              <w:rPr>
                <w:rFonts w:ascii="宋体" w:hAnsi="宋体"/>
              </w:rPr>
            </w:pPr>
            <w:r w:rsidRPr="00123108">
              <w:rPr>
                <w:rFonts w:ascii="宋体" w:hAnsi="宋体" w:hint="eastAsia"/>
                <w:szCs w:val="21"/>
              </w:rPr>
              <w:t>危化品目录序号：874</w:t>
            </w:r>
          </w:p>
        </w:tc>
      </w:tr>
      <w:tr w:rsidR="004F34D9" w:rsidRPr="00123108">
        <w:trPr>
          <w:trHeight w:val="77"/>
        </w:trPr>
        <w:tc>
          <w:tcPr>
            <w:tcW w:w="392" w:type="pct"/>
            <w:vMerge w:val="restart"/>
            <w:vAlign w:val="center"/>
          </w:tcPr>
          <w:p w:rsidR="004F34D9" w:rsidRPr="00123108" w:rsidRDefault="004F34D9">
            <w:pPr>
              <w:rPr>
                <w:rFonts w:ascii="宋体" w:hAnsi="宋体"/>
              </w:rPr>
            </w:pPr>
            <w:r w:rsidRPr="00123108">
              <w:rPr>
                <w:rFonts w:ascii="宋体" w:hAnsi="宋体" w:hint="eastAsia"/>
              </w:rPr>
              <w:t>理化性质</w:t>
            </w:r>
          </w:p>
        </w:tc>
        <w:tc>
          <w:tcPr>
            <w:tcW w:w="4608" w:type="pct"/>
            <w:gridSpan w:val="3"/>
            <w:vAlign w:val="center"/>
          </w:tcPr>
          <w:p w:rsidR="004F34D9" w:rsidRPr="00123108" w:rsidRDefault="004F34D9">
            <w:pPr>
              <w:rPr>
                <w:rFonts w:ascii="宋体" w:hAnsi="宋体"/>
              </w:rPr>
            </w:pPr>
            <w:r w:rsidRPr="00123108">
              <w:rPr>
                <w:rFonts w:ascii="宋体" w:hAnsi="宋体" w:hint="eastAsia"/>
              </w:rPr>
              <w:t>外观与形状：白色或淡黄色细粒，微有苦杏仁气味。</w:t>
            </w:r>
          </w:p>
        </w:tc>
      </w:tr>
      <w:tr w:rsidR="004F34D9" w:rsidRPr="00123108">
        <w:trPr>
          <w:trHeight w:val="77"/>
        </w:trPr>
        <w:tc>
          <w:tcPr>
            <w:tcW w:w="392" w:type="pct"/>
            <w:vMerge/>
            <w:vAlign w:val="center"/>
          </w:tcPr>
          <w:p w:rsidR="004F34D9" w:rsidRPr="00123108" w:rsidRDefault="004F34D9">
            <w:pPr>
              <w:rPr>
                <w:rFonts w:ascii="宋体" w:hAnsi="宋体"/>
              </w:rPr>
            </w:pPr>
          </w:p>
        </w:tc>
        <w:tc>
          <w:tcPr>
            <w:tcW w:w="4608" w:type="pct"/>
            <w:gridSpan w:val="3"/>
            <w:vAlign w:val="center"/>
          </w:tcPr>
          <w:p w:rsidR="004F34D9" w:rsidRPr="00123108" w:rsidRDefault="004F34D9">
            <w:pPr>
              <w:rPr>
                <w:rFonts w:ascii="宋体" w:hAnsi="宋体"/>
              </w:rPr>
            </w:pPr>
            <w:r w:rsidRPr="00123108">
              <w:rPr>
                <w:rFonts w:ascii="宋体" w:hAnsi="宋体" w:hint="eastAsia"/>
              </w:rPr>
              <w:t>溶解性：微溶于水，溶于乙醇、乙醚、丙酮、苯、二硫化碳等。</w:t>
            </w:r>
          </w:p>
        </w:tc>
      </w:tr>
      <w:tr w:rsidR="004F34D9" w:rsidRPr="00123108">
        <w:trPr>
          <w:trHeight w:val="200"/>
        </w:trPr>
        <w:tc>
          <w:tcPr>
            <w:tcW w:w="392" w:type="pct"/>
            <w:vMerge/>
            <w:vAlign w:val="center"/>
          </w:tcPr>
          <w:p w:rsidR="004F34D9" w:rsidRPr="00123108" w:rsidRDefault="004F34D9">
            <w:pPr>
              <w:rPr>
                <w:rFonts w:ascii="宋体" w:hAnsi="宋体"/>
              </w:rPr>
            </w:pPr>
          </w:p>
        </w:tc>
        <w:tc>
          <w:tcPr>
            <w:tcW w:w="2255" w:type="pct"/>
            <w:gridSpan w:val="2"/>
            <w:vAlign w:val="center"/>
          </w:tcPr>
          <w:p w:rsidR="004F34D9" w:rsidRPr="00123108" w:rsidRDefault="004F34D9">
            <w:pPr>
              <w:rPr>
                <w:rFonts w:ascii="宋体" w:hAnsi="宋体"/>
              </w:rPr>
            </w:pPr>
            <w:r w:rsidRPr="00123108">
              <w:rPr>
                <w:rFonts w:ascii="宋体" w:hAnsi="宋体" w:hint="eastAsia"/>
              </w:rPr>
              <w:t>熔点</w:t>
            </w:r>
            <w:r w:rsidRPr="00123108">
              <w:rPr>
                <w:rFonts w:ascii="宋体" w:hAnsi="宋体"/>
              </w:rPr>
              <w:t>(℃)：</w:t>
            </w:r>
            <w:r w:rsidRPr="00123108">
              <w:rPr>
                <w:rFonts w:ascii="宋体" w:hAnsi="宋体" w:hint="eastAsia"/>
              </w:rPr>
              <w:t>103（分解）</w:t>
            </w:r>
          </w:p>
        </w:tc>
        <w:tc>
          <w:tcPr>
            <w:tcW w:w="2353" w:type="pct"/>
            <w:vAlign w:val="center"/>
          </w:tcPr>
          <w:p w:rsidR="004F34D9" w:rsidRPr="00123108" w:rsidRDefault="004F34D9">
            <w:pPr>
              <w:rPr>
                <w:rFonts w:ascii="宋体" w:hAnsi="宋体"/>
              </w:rPr>
            </w:pPr>
            <w:r w:rsidRPr="00123108">
              <w:rPr>
                <w:rFonts w:ascii="宋体" w:hAnsi="宋体" w:hint="eastAsia"/>
              </w:rPr>
              <w:t>沸点</w:t>
            </w:r>
            <w:r w:rsidRPr="00123108">
              <w:rPr>
                <w:rFonts w:ascii="宋体" w:hAnsi="宋体"/>
              </w:rPr>
              <w:t>(℃)：</w:t>
            </w:r>
            <w:r w:rsidRPr="00123108">
              <w:rPr>
                <w:rFonts w:ascii="宋体" w:hAnsi="宋体" w:hint="eastAsia"/>
              </w:rPr>
              <w:t>分解（爆炸）</w:t>
            </w:r>
          </w:p>
        </w:tc>
      </w:tr>
      <w:tr w:rsidR="004F34D9" w:rsidRPr="00123108">
        <w:trPr>
          <w:trHeight w:val="77"/>
        </w:trPr>
        <w:tc>
          <w:tcPr>
            <w:tcW w:w="392" w:type="pct"/>
            <w:vMerge/>
            <w:vAlign w:val="center"/>
          </w:tcPr>
          <w:p w:rsidR="004F34D9" w:rsidRPr="00123108" w:rsidRDefault="004F34D9">
            <w:pPr>
              <w:rPr>
                <w:rFonts w:ascii="宋体" w:hAnsi="宋体"/>
              </w:rPr>
            </w:pPr>
          </w:p>
        </w:tc>
        <w:tc>
          <w:tcPr>
            <w:tcW w:w="2255" w:type="pct"/>
            <w:gridSpan w:val="2"/>
            <w:vAlign w:val="center"/>
          </w:tcPr>
          <w:p w:rsidR="004F34D9" w:rsidRPr="00123108" w:rsidRDefault="004F34D9">
            <w:pPr>
              <w:rPr>
                <w:rFonts w:ascii="宋体" w:hAnsi="宋体"/>
              </w:rPr>
            </w:pPr>
            <w:r w:rsidRPr="00123108">
              <w:rPr>
                <w:rFonts w:ascii="宋体" w:hAnsi="宋体" w:hint="eastAsia"/>
              </w:rPr>
              <w:t>饱和蒸汽压</w:t>
            </w:r>
            <w:r w:rsidRPr="00123108">
              <w:rPr>
                <w:rFonts w:ascii="宋体" w:hAnsi="宋体"/>
              </w:rPr>
              <w:t>(KPa)：</w:t>
            </w:r>
            <w:r w:rsidRPr="00123108">
              <w:rPr>
                <w:rFonts w:ascii="宋体" w:hAnsi="宋体" w:hint="eastAsia"/>
              </w:rPr>
              <w:t>无资料</w:t>
            </w:r>
          </w:p>
        </w:tc>
        <w:tc>
          <w:tcPr>
            <w:tcW w:w="2353" w:type="pct"/>
            <w:vAlign w:val="center"/>
          </w:tcPr>
          <w:p w:rsidR="004F34D9" w:rsidRPr="00123108" w:rsidRDefault="004F34D9">
            <w:pPr>
              <w:rPr>
                <w:rFonts w:ascii="宋体" w:hAnsi="宋体"/>
              </w:rPr>
            </w:pPr>
            <w:r w:rsidRPr="00123108">
              <w:rPr>
                <w:rFonts w:ascii="宋体" w:hAnsi="宋体" w:hint="eastAsia"/>
              </w:rPr>
              <w:t>燃烧热（</w:t>
            </w:r>
            <w:r w:rsidRPr="00123108">
              <w:rPr>
                <w:rFonts w:ascii="宋体" w:hAnsi="宋体"/>
              </w:rPr>
              <w:t>kj/mol）：</w:t>
            </w:r>
            <w:r w:rsidRPr="00123108">
              <w:rPr>
                <w:rFonts w:ascii="宋体" w:hAnsi="宋体" w:hint="eastAsia"/>
              </w:rPr>
              <w:t>6855.2</w:t>
            </w:r>
          </w:p>
        </w:tc>
      </w:tr>
      <w:tr w:rsidR="004F34D9" w:rsidRPr="00123108">
        <w:trPr>
          <w:trHeight w:val="77"/>
        </w:trPr>
        <w:tc>
          <w:tcPr>
            <w:tcW w:w="392" w:type="pct"/>
            <w:vMerge/>
            <w:vAlign w:val="center"/>
          </w:tcPr>
          <w:p w:rsidR="004F34D9" w:rsidRPr="00123108" w:rsidRDefault="004F34D9">
            <w:pPr>
              <w:rPr>
                <w:rFonts w:ascii="宋体" w:hAnsi="宋体"/>
              </w:rPr>
            </w:pPr>
          </w:p>
        </w:tc>
        <w:tc>
          <w:tcPr>
            <w:tcW w:w="2255" w:type="pct"/>
            <w:gridSpan w:val="2"/>
            <w:vAlign w:val="center"/>
          </w:tcPr>
          <w:p w:rsidR="004F34D9" w:rsidRPr="00123108" w:rsidRDefault="004F34D9">
            <w:pPr>
              <w:rPr>
                <w:rFonts w:ascii="宋体" w:hAnsi="宋体"/>
              </w:rPr>
            </w:pPr>
            <w:r w:rsidRPr="00123108">
              <w:rPr>
                <w:rFonts w:ascii="宋体" w:hAnsi="宋体" w:hint="eastAsia"/>
              </w:rPr>
              <w:t>相对密度</w:t>
            </w:r>
            <w:r w:rsidRPr="00123108">
              <w:rPr>
                <w:rFonts w:ascii="宋体" w:hAnsi="宋体"/>
              </w:rPr>
              <w:t>(水=1):</w:t>
            </w:r>
            <w:r w:rsidRPr="00123108">
              <w:rPr>
                <w:rFonts w:ascii="宋体" w:hAnsi="宋体" w:hint="eastAsia"/>
              </w:rPr>
              <w:t>1.33</w:t>
            </w:r>
          </w:p>
        </w:tc>
        <w:tc>
          <w:tcPr>
            <w:tcW w:w="2353" w:type="pct"/>
            <w:vAlign w:val="center"/>
          </w:tcPr>
          <w:p w:rsidR="004F34D9" w:rsidRPr="00123108" w:rsidRDefault="004F34D9">
            <w:pPr>
              <w:rPr>
                <w:rFonts w:ascii="宋体" w:hAnsi="宋体"/>
              </w:rPr>
            </w:pPr>
            <w:r w:rsidRPr="00123108">
              <w:rPr>
                <w:rFonts w:ascii="宋体" w:hAnsi="宋体" w:hint="eastAsia"/>
              </w:rPr>
              <w:t>临界温度</w:t>
            </w:r>
            <w:r w:rsidRPr="00123108">
              <w:rPr>
                <w:rFonts w:ascii="宋体" w:hAnsi="宋体"/>
              </w:rPr>
              <w:t>(℃)：</w:t>
            </w:r>
            <w:r w:rsidRPr="00123108">
              <w:rPr>
                <w:rFonts w:ascii="宋体" w:hAnsi="宋体" w:hint="eastAsia"/>
              </w:rPr>
              <w:t>无资料</w:t>
            </w:r>
          </w:p>
        </w:tc>
      </w:tr>
      <w:tr w:rsidR="004F34D9" w:rsidRPr="00123108">
        <w:trPr>
          <w:trHeight w:val="220"/>
        </w:trPr>
        <w:tc>
          <w:tcPr>
            <w:tcW w:w="392" w:type="pct"/>
            <w:vMerge/>
            <w:vAlign w:val="center"/>
          </w:tcPr>
          <w:p w:rsidR="004F34D9" w:rsidRPr="00123108" w:rsidRDefault="004F34D9">
            <w:pPr>
              <w:rPr>
                <w:rFonts w:ascii="宋体" w:hAnsi="宋体"/>
              </w:rPr>
            </w:pPr>
          </w:p>
        </w:tc>
        <w:tc>
          <w:tcPr>
            <w:tcW w:w="2255" w:type="pct"/>
            <w:gridSpan w:val="2"/>
            <w:vAlign w:val="center"/>
          </w:tcPr>
          <w:p w:rsidR="004F34D9" w:rsidRPr="00123108" w:rsidRDefault="004F34D9">
            <w:pPr>
              <w:rPr>
                <w:rFonts w:ascii="宋体" w:hAnsi="宋体"/>
              </w:rPr>
            </w:pPr>
            <w:r w:rsidRPr="00123108">
              <w:rPr>
                <w:rFonts w:ascii="宋体" w:hAnsi="宋体" w:hint="eastAsia"/>
              </w:rPr>
              <w:t>相对密度</w:t>
            </w:r>
            <w:r w:rsidRPr="00123108">
              <w:rPr>
                <w:rFonts w:ascii="宋体" w:hAnsi="宋体"/>
              </w:rPr>
              <w:t>(空气=1):</w:t>
            </w:r>
            <w:r w:rsidRPr="00123108">
              <w:rPr>
                <w:rFonts w:ascii="宋体" w:hAnsi="宋体" w:hint="eastAsia"/>
              </w:rPr>
              <w:t xml:space="preserve"> 无资料</w:t>
            </w:r>
          </w:p>
        </w:tc>
        <w:tc>
          <w:tcPr>
            <w:tcW w:w="2353" w:type="pct"/>
            <w:vAlign w:val="center"/>
          </w:tcPr>
          <w:p w:rsidR="004F34D9" w:rsidRPr="00123108" w:rsidRDefault="004F34D9">
            <w:pPr>
              <w:rPr>
                <w:rFonts w:ascii="宋体" w:hAnsi="宋体"/>
              </w:rPr>
            </w:pPr>
            <w:r w:rsidRPr="00123108">
              <w:rPr>
                <w:rFonts w:ascii="宋体" w:hAnsi="宋体" w:hint="eastAsia"/>
              </w:rPr>
              <w:t>临界压力</w:t>
            </w:r>
            <w:r w:rsidRPr="00123108">
              <w:rPr>
                <w:rFonts w:ascii="宋体" w:hAnsi="宋体"/>
              </w:rPr>
              <w:t>(MPa)：</w:t>
            </w:r>
            <w:r w:rsidRPr="00123108">
              <w:rPr>
                <w:rFonts w:ascii="宋体" w:hAnsi="宋体" w:hint="eastAsia"/>
              </w:rPr>
              <w:t>无资料</w:t>
            </w:r>
          </w:p>
        </w:tc>
      </w:tr>
      <w:tr w:rsidR="004F34D9" w:rsidRPr="00123108">
        <w:trPr>
          <w:trHeight w:val="77"/>
        </w:trPr>
        <w:tc>
          <w:tcPr>
            <w:tcW w:w="392" w:type="pct"/>
            <w:vMerge w:val="restart"/>
            <w:vAlign w:val="center"/>
          </w:tcPr>
          <w:p w:rsidR="004F34D9" w:rsidRPr="00123108" w:rsidRDefault="004F34D9">
            <w:pPr>
              <w:rPr>
                <w:rFonts w:ascii="宋体" w:hAnsi="宋体"/>
                <w:lang w:val="en-US" w:eastAsia="zh-CN"/>
              </w:rPr>
            </w:pPr>
            <w:r w:rsidRPr="00123108">
              <w:rPr>
                <w:rFonts w:ascii="宋体" w:hAnsi="宋体" w:hint="eastAsia"/>
                <w:lang w:val="en-US" w:eastAsia="zh-CN"/>
              </w:rPr>
              <w:t>燃烧爆炸危险性</w:t>
            </w:r>
          </w:p>
        </w:tc>
        <w:tc>
          <w:tcPr>
            <w:tcW w:w="2255" w:type="pct"/>
            <w:gridSpan w:val="2"/>
            <w:vAlign w:val="center"/>
          </w:tcPr>
          <w:p w:rsidR="004F34D9" w:rsidRPr="00123108" w:rsidRDefault="004F34D9">
            <w:pPr>
              <w:rPr>
                <w:rFonts w:ascii="宋体" w:hAnsi="宋体"/>
                <w:lang w:val="en-US" w:eastAsia="zh-CN"/>
              </w:rPr>
            </w:pPr>
            <w:r w:rsidRPr="00123108">
              <w:rPr>
                <w:rFonts w:ascii="宋体" w:hAnsi="宋体" w:hint="eastAsia"/>
                <w:lang w:val="en-US" w:eastAsia="zh-CN"/>
              </w:rPr>
              <w:t>引燃温度</w:t>
            </w:r>
            <w:r w:rsidRPr="00123108">
              <w:rPr>
                <w:rFonts w:ascii="宋体" w:hAnsi="宋体"/>
                <w:lang w:val="en-US" w:eastAsia="zh-CN"/>
              </w:rPr>
              <w:t>(℃)：</w:t>
            </w:r>
            <w:r w:rsidRPr="00123108">
              <w:rPr>
                <w:rFonts w:ascii="宋体" w:hAnsi="宋体" w:hint="eastAsia"/>
                <w:lang w:val="en-US" w:eastAsia="zh-CN"/>
              </w:rPr>
              <w:t>260</w:t>
            </w:r>
          </w:p>
        </w:tc>
        <w:tc>
          <w:tcPr>
            <w:tcW w:w="2353" w:type="pct"/>
            <w:vAlign w:val="center"/>
          </w:tcPr>
          <w:p w:rsidR="004F34D9" w:rsidRPr="00123108" w:rsidRDefault="004F34D9">
            <w:pPr>
              <w:rPr>
                <w:rFonts w:ascii="宋体" w:hAnsi="宋体"/>
                <w:lang w:val="en-US" w:eastAsia="zh-CN"/>
              </w:rPr>
            </w:pPr>
            <w:r w:rsidRPr="00123108">
              <w:rPr>
                <w:rFonts w:ascii="宋体" w:hAnsi="宋体" w:hint="eastAsia"/>
                <w:lang w:val="en-US" w:eastAsia="zh-CN"/>
              </w:rPr>
              <w:t>闪点</w:t>
            </w:r>
            <w:r w:rsidRPr="00123108">
              <w:rPr>
                <w:rFonts w:ascii="宋体" w:hAnsi="宋体"/>
                <w:lang w:val="en-US" w:eastAsia="zh-CN"/>
              </w:rPr>
              <w:t>(℃)：</w:t>
            </w:r>
            <w:r w:rsidRPr="00123108">
              <w:rPr>
                <w:rFonts w:ascii="宋体" w:hAnsi="宋体" w:hint="eastAsia"/>
                <w:lang w:val="en-US" w:eastAsia="zh-CN"/>
              </w:rPr>
              <w:t>无意义</w:t>
            </w:r>
          </w:p>
        </w:tc>
      </w:tr>
      <w:tr w:rsidR="004F34D9" w:rsidRPr="00123108">
        <w:trPr>
          <w:trHeight w:val="83"/>
        </w:trPr>
        <w:tc>
          <w:tcPr>
            <w:tcW w:w="392" w:type="pct"/>
            <w:vMerge/>
            <w:vAlign w:val="center"/>
          </w:tcPr>
          <w:p w:rsidR="004F34D9" w:rsidRPr="00123108" w:rsidRDefault="004F34D9">
            <w:pPr>
              <w:rPr>
                <w:rFonts w:ascii="宋体" w:hAnsi="宋体"/>
                <w:lang w:val="en-US" w:eastAsia="zh-CN"/>
              </w:rPr>
            </w:pPr>
          </w:p>
        </w:tc>
        <w:tc>
          <w:tcPr>
            <w:tcW w:w="2255" w:type="pct"/>
            <w:gridSpan w:val="2"/>
            <w:vAlign w:val="center"/>
          </w:tcPr>
          <w:p w:rsidR="004F34D9" w:rsidRPr="00123108" w:rsidRDefault="004F34D9">
            <w:pPr>
              <w:rPr>
                <w:rFonts w:ascii="宋体" w:hAnsi="宋体"/>
                <w:lang w:val="en-US" w:eastAsia="zh-CN"/>
              </w:rPr>
            </w:pPr>
            <w:r w:rsidRPr="00123108">
              <w:rPr>
                <w:rFonts w:ascii="宋体" w:hAnsi="宋体" w:hint="eastAsia"/>
                <w:lang w:val="en-US" w:eastAsia="zh-CN"/>
              </w:rPr>
              <w:t>爆炸下限［</w:t>
            </w:r>
            <w:r w:rsidRPr="00123108">
              <w:rPr>
                <w:rFonts w:ascii="宋体" w:hAnsi="宋体"/>
                <w:lang w:val="en-US" w:eastAsia="zh-CN"/>
              </w:rPr>
              <w:t>%(V/V)］：</w:t>
            </w:r>
            <w:r w:rsidRPr="00123108">
              <w:rPr>
                <w:rFonts w:ascii="宋体" w:hAnsi="宋体" w:hint="eastAsia"/>
                <w:lang w:val="en-US" w:eastAsia="zh-CN"/>
              </w:rPr>
              <w:t>无资料</w:t>
            </w:r>
          </w:p>
        </w:tc>
        <w:tc>
          <w:tcPr>
            <w:tcW w:w="2353" w:type="pct"/>
            <w:vAlign w:val="center"/>
          </w:tcPr>
          <w:p w:rsidR="004F34D9" w:rsidRPr="00123108" w:rsidRDefault="004F34D9">
            <w:pPr>
              <w:rPr>
                <w:rFonts w:ascii="宋体" w:hAnsi="宋体"/>
                <w:lang w:val="en-US" w:eastAsia="zh-CN"/>
              </w:rPr>
            </w:pPr>
            <w:r w:rsidRPr="00123108">
              <w:rPr>
                <w:rFonts w:ascii="宋体" w:hAnsi="宋体" w:hint="eastAsia"/>
                <w:lang w:val="en-US" w:eastAsia="zh-CN"/>
              </w:rPr>
              <w:t>最小点火能</w:t>
            </w:r>
            <w:r w:rsidRPr="00123108">
              <w:rPr>
                <w:rFonts w:ascii="宋体" w:hAnsi="宋体"/>
                <w:lang w:val="en-US" w:eastAsia="zh-CN"/>
              </w:rPr>
              <w:t>(mj)：</w:t>
            </w:r>
            <w:r w:rsidRPr="00123108">
              <w:rPr>
                <w:rFonts w:ascii="宋体" w:hAnsi="宋体" w:hint="eastAsia"/>
                <w:lang w:val="en-US" w:eastAsia="zh-CN"/>
              </w:rPr>
              <w:t>无资料</w:t>
            </w:r>
          </w:p>
        </w:tc>
      </w:tr>
      <w:tr w:rsidR="004F34D9" w:rsidRPr="00123108">
        <w:trPr>
          <w:trHeight w:val="226"/>
        </w:trPr>
        <w:tc>
          <w:tcPr>
            <w:tcW w:w="392" w:type="pct"/>
            <w:vMerge/>
            <w:vAlign w:val="center"/>
          </w:tcPr>
          <w:p w:rsidR="004F34D9" w:rsidRPr="00123108" w:rsidRDefault="004F34D9">
            <w:pPr>
              <w:rPr>
                <w:rFonts w:ascii="宋体" w:hAnsi="宋体"/>
                <w:lang w:val="en-US" w:eastAsia="zh-CN"/>
              </w:rPr>
            </w:pPr>
          </w:p>
        </w:tc>
        <w:tc>
          <w:tcPr>
            <w:tcW w:w="2255" w:type="pct"/>
            <w:gridSpan w:val="2"/>
            <w:vAlign w:val="center"/>
          </w:tcPr>
          <w:p w:rsidR="004F34D9" w:rsidRPr="00123108" w:rsidRDefault="004F34D9">
            <w:pPr>
              <w:rPr>
                <w:rFonts w:ascii="宋体" w:hAnsi="宋体"/>
                <w:lang w:val="en-US" w:eastAsia="zh-CN"/>
              </w:rPr>
            </w:pPr>
            <w:r w:rsidRPr="00123108">
              <w:rPr>
                <w:rFonts w:ascii="宋体" w:hAnsi="宋体" w:hint="eastAsia"/>
                <w:lang w:val="en-US" w:eastAsia="zh-CN"/>
              </w:rPr>
              <w:t>爆炸上限［</w:t>
            </w:r>
            <w:r w:rsidRPr="00123108">
              <w:rPr>
                <w:rFonts w:ascii="宋体" w:hAnsi="宋体"/>
                <w:lang w:val="en-US" w:eastAsia="zh-CN"/>
              </w:rPr>
              <w:t>%(V/V)］：</w:t>
            </w:r>
            <w:r w:rsidRPr="00123108">
              <w:rPr>
                <w:rFonts w:ascii="宋体" w:hAnsi="宋体" w:hint="eastAsia"/>
                <w:lang w:val="en-US" w:eastAsia="zh-CN"/>
              </w:rPr>
              <w:t>无资料</w:t>
            </w:r>
          </w:p>
        </w:tc>
        <w:tc>
          <w:tcPr>
            <w:tcW w:w="2353" w:type="pct"/>
            <w:vAlign w:val="center"/>
          </w:tcPr>
          <w:p w:rsidR="004F34D9" w:rsidRPr="00123108" w:rsidRDefault="004F34D9">
            <w:pPr>
              <w:rPr>
                <w:rFonts w:ascii="宋体" w:hAnsi="宋体"/>
                <w:lang w:val="en-US" w:eastAsia="zh-CN"/>
              </w:rPr>
            </w:pPr>
            <w:r w:rsidRPr="00123108">
              <w:rPr>
                <w:rFonts w:ascii="宋体" w:hAnsi="宋体" w:hint="eastAsia"/>
                <w:lang w:val="en-US" w:eastAsia="zh-CN"/>
              </w:rPr>
              <w:t>最大爆炸压力</w:t>
            </w:r>
            <w:r w:rsidRPr="00123108">
              <w:rPr>
                <w:rFonts w:ascii="宋体" w:hAnsi="宋体"/>
                <w:lang w:val="en-US" w:eastAsia="zh-CN"/>
              </w:rPr>
              <w:t>(MPa)：</w:t>
            </w:r>
            <w:r w:rsidRPr="00123108">
              <w:rPr>
                <w:rFonts w:ascii="宋体" w:hAnsi="宋体" w:hint="eastAsia"/>
                <w:lang w:val="en-US" w:eastAsia="zh-CN"/>
              </w:rPr>
              <w:t>0.813</w:t>
            </w:r>
          </w:p>
        </w:tc>
      </w:tr>
      <w:tr w:rsidR="004F34D9" w:rsidRPr="00123108">
        <w:trPr>
          <w:trHeight w:val="319"/>
        </w:trPr>
        <w:tc>
          <w:tcPr>
            <w:tcW w:w="392" w:type="pct"/>
            <w:vMerge/>
            <w:vAlign w:val="center"/>
          </w:tcPr>
          <w:p w:rsidR="004F34D9" w:rsidRPr="00123108" w:rsidRDefault="004F34D9">
            <w:pPr>
              <w:rPr>
                <w:rFonts w:ascii="宋体" w:hAnsi="宋体"/>
                <w:lang w:val="en-US" w:eastAsia="zh-CN"/>
              </w:rPr>
            </w:pPr>
          </w:p>
        </w:tc>
        <w:tc>
          <w:tcPr>
            <w:tcW w:w="4608" w:type="pct"/>
            <w:gridSpan w:val="3"/>
            <w:vAlign w:val="center"/>
          </w:tcPr>
          <w:p w:rsidR="004F34D9" w:rsidRPr="00123108" w:rsidRDefault="004F34D9">
            <w:pPr>
              <w:rPr>
                <w:rFonts w:ascii="宋体" w:hAnsi="宋体"/>
              </w:rPr>
            </w:pPr>
            <w:r w:rsidRPr="00123108">
              <w:rPr>
                <w:rFonts w:ascii="宋体" w:hAnsi="宋体" w:hint="eastAsia"/>
              </w:rPr>
              <w:t>危险特性：干燥状态下非常易燃，遇热、摩擦、震动或杂质污染均能引起爆炸性分解。急剧加热时可发生爆炸。与强酸、强碱、硫化物、还原剂、聚合用助催化剂和促进剂如二甲基苯胺、胺类或金属环烷酸盐接触会剧烈反应。</w:t>
            </w:r>
          </w:p>
        </w:tc>
      </w:tr>
      <w:tr w:rsidR="004F34D9" w:rsidRPr="00123108">
        <w:trPr>
          <w:trHeight w:val="369"/>
        </w:trPr>
        <w:tc>
          <w:tcPr>
            <w:tcW w:w="392" w:type="pct"/>
            <w:vMerge/>
            <w:vAlign w:val="center"/>
          </w:tcPr>
          <w:p w:rsidR="004F34D9" w:rsidRPr="00123108" w:rsidRDefault="004F34D9">
            <w:pPr>
              <w:rPr>
                <w:rFonts w:ascii="宋体" w:hAnsi="宋体"/>
              </w:rPr>
            </w:pPr>
          </w:p>
        </w:tc>
        <w:tc>
          <w:tcPr>
            <w:tcW w:w="4608" w:type="pct"/>
            <w:gridSpan w:val="3"/>
            <w:vAlign w:val="center"/>
          </w:tcPr>
          <w:p w:rsidR="004F34D9" w:rsidRPr="00123108" w:rsidRDefault="004F34D9">
            <w:pPr>
              <w:rPr>
                <w:rFonts w:ascii="宋体" w:hAnsi="宋体"/>
              </w:rPr>
            </w:pPr>
            <w:r w:rsidRPr="00123108">
              <w:rPr>
                <w:rFonts w:ascii="宋体" w:hAnsi="宋体" w:hint="eastAsia"/>
              </w:rPr>
              <w:t>禁配物：强还原剂、酸类、碱、醇类。</w:t>
            </w:r>
          </w:p>
          <w:p w:rsidR="004F34D9" w:rsidRPr="00123108" w:rsidRDefault="004F34D9">
            <w:pPr>
              <w:rPr>
                <w:rFonts w:ascii="宋体" w:hAnsi="宋体"/>
              </w:rPr>
            </w:pPr>
            <w:r w:rsidRPr="00123108">
              <w:rPr>
                <w:rFonts w:ascii="宋体" w:hAnsi="宋体" w:hint="eastAsia"/>
              </w:rPr>
              <w:t>消防措施：消防人员须在有防爆掩蔽处操作。灭火剂：雾状水、砂土。遇大火切勿轻易接近。在物料附近失火，须用水保持容器冷却。</w:t>
            </w:r>
          </w:p>
        </w:tc>
      </w:tr>
      <w:tr w:rsidR="004F34D9" w:rsidRPr="00123108">
        <w:trPr>
          <w:trHeight w:val="369"/>
        </w:trPr>
        <w:tc>
          <w:tcPr>
            <w:tcW w:w="392" w:type="pct"/>
            <w:vAlign w:val="center"/>
          </w:tcPr>
          <w:p w:rsidR="004F34D9" w:rsidRPr="00123108" w:rsidRDefault="004F34D9">
            <w:pPr>
              <w:rPr>
                <w:rFonts w:ascii="宋体" w:hAnsi="宋体"/>
              </w:rPr>
            </w:pPr>
            <w:r w:rsidRPr="00123108">
              <w:rPr>
                <w:rFonts w:ascii="宋体" w:hAnsi="宋体" w:hint="eastAsia"/>
              </w:rPr>
              <w:t>毒性</w:t>
            </w:r>
          </w:p>
        </w:tc>
        <w:tc>
          <w:tcPr>
            <w:tcW w:w="4608" w:type="pct"/>
            <w:gridSpan w:val="3"/>
            <w:vAlign w:val="center"/>
          </w:tcPr>
          <w:p w:rsidR="004F34D9" w:rsidRPr="00123108" w:rsidRDefault="004F34D9">
            <w:pPr>
              <w:rPr>
                <w:rFonts w:ascii="宋体" w:hAnsi="宋体"/>
              </w:rPr>
            </w:pPr>
            <w:r w:rsidRPr="00123108">
              <w:rPr>
                <w:rFonts w:ascii="宋体" w:hAnsi="宋体" w:hint="eastAsia"/>
              </w:rPr>
              <w:t>急性毒性：</w:t>
            </w:r>
            <w:r w:rsidRPr="00123108">
              <w:rPr>
                <w:rFonts w:ascii="宋体" w:hAnsi="宋体"/>
              </w:rPr>
              <w:t>L</w:t>
            </w:r>
            <w:r w:rsidRPr="00123108">
              <w:rPr>
                <w:rFonts w:ascii="宋体" w:hAnsi="宋体" w:hint="eastAsia"/>
              </w:rPr>
              <w:t>D</w:t>
            </w:r>
            <w:r w:rsidRPr="00123108">
              <w:rPr>
                <w:rFonts w:ascii="宋体" w:hAnsi="宋体"/>
                <w:vertAlign w:val="subscript"/>
              </w:rPr>
              <w:t xml:space="preserve">50  </w:t>
            </w:r>
            <w:r w:rsidRPr="00123108">
              <w:rPr>
                <w:rFonts w:ascii="宋体" w:hAnsi="宋体" w:hint="eastAsia"/>
              </w:rPr>
              <w:t>7710</w:t>
            </w:r>
            <w:r w:rsidRPr="00123108">
              <w:rPr>
                <w:rFonts w:ascii="宋体" w:hAnsi="宋体"/>
              </w:rPr>
              <w:t>mg/</w:t>
            </w:r>
            <w:r w:rsidRPr="00123108">
              <w:rPr>
                <w:rFonts w:ascii="宋体" w:hAnsi="宋体" w:hint="eastAsia"/>
              </w:rPr>
              <w:t>kg</w:t>
            </w:r>
            <w:r w:rsidRPr="00123108">
              <w:rPr>
                <w:rFonts w:ascii="宋体" w:hAnsi="宋体"/>
              </w:rPr>
              <w:t>（</w:t>
            </w:r>
            <w:r w:rsidRPr="00123108">
              <w:rPr>
                <w:rFonts w:ascii="宋体" w:hAnsi="宋体" w:hint="eastAsia"/>
              </w:rPr>
              <w:t>小</w:t>
            </w:r>
            <w:r w:rsidRPr="00123108">
              <w:rPr>
                <w:rFonts w:ascii="宋体" w:hAnsi="宋体"/>
              </w:rPr>
              <w:t>鼠</w:t>
            </w:r>
            <w:r w:rsidRPr="00123108">
              <w:rPr>
                <w:rFonts w:ascii="宋体" w:hAnsi="宋体" w:hint="eastAsia"/>
              </w:rPr>
              <w:t>静脉</w:t>
            </w:r>
            <w:r w:rsidRPr="00123108">
              <w:rPr>
                <w:rFonts w:ascii="宋体" w:hAnsi="宋体"/>
              </w:rPr>
              <w:t>）LC</w:t>
            </w:r>
            <w:r w:rsidRPr="00123108">
              <w:rPr>
                <w:rFonts w:ascii="宋体" w:hAnsi="宋体"/>
                <w:vertAlign w:val="subscript"/>
              </w:rPr>
              <w:t xml:space="preserve">50  </w:t>
            </w:r>
            <w:r w:rsidRPr="00123108">
              <w:rPr>
                <w:rFonts w:ascii="宋体" w:hAnsi="宋体" w:hint="eastAsia"/>
              </w:rPr>
              <w:t>无资料  致畸性：无资料。</w:t>
            </w:r>
          </w:p>
          <w:p w:rsidR="004F34D9" w:rsidRPr="00123108" w:rsidRDefault="004F34D9">
            <w:pPr>
              <w:rPr>
                <w:rFonts w:ascii="宋体" w:hAnsi="宋体"/>
                <w:position w:val="6"/>
              </w:rPr>
            </w:pPr>
            <w:r w:rsidRPr="00123108">
              <w:rPr>
                <w:rFonts w:ascii="宋体" w:hAnsi="宋体" w:hint="eastAsia"/>
              </w:rPr>
              <w:t>车间卫生标准：中国MAC（</w:t>
            </w:r>
            <w:r w:rsidRPr="00123108">
              <w:rPr>
                <w:rFonts w:ascii="宋体" w:hAnsi="宋体"/>
              </w:rPr>
              <w:t>mg/m</w:t>
            </w:r>
            <w:r w:rsidRPr="00123108">
              <w:rPr>
                <w:rFonts w:ascii="宋体" w:hAnsi="宋体"/>
                <w:vertAlign w:val="superscript"/>
              </w:rPr>
              <w:t>3</w:t>
            </w:r>
            <w:r w:rsidRPr="00123108">
              <w:rPr>
                <w:rFonts w:ascii="宋体" w:hAnsi="宋体"/>
              </w:rPr>
              <w:t>）</w:t>
            </w:r>
            <w:r w:rsidRPr="00123108">
              <w:rPr>
                <w:rFonts w:ascii="宋体" w:hAnsi="宋体" w:hint="eastAsia"/>
              </w:rPr>
              <w:t>：未制定标准  前苏联MAC（</w:t>
            </w:r>
            <w:r w:rsidRPr="00123108">
              <w:rPr>
                <w:rFonts w:ascii="宋体" w:hAnsi="宋体"/>
              </w:rPr>
              <w:t>mg/m</w:t>
            </w:r>
            <w:r w:rsidRPr="00123108">
              <w:rPr>
                <w:rFonts w:ascii="宋体" w:hAnsi="宋体"/>
                <w:vertAlign w:val="superscript"/>
              </w:rPr>
              <w:t>3</w:t>
            </w:r>
            <w:r w:rsidRPr="00123108">
              <w:rPr>
                <w:rFonts w:ascii="宋体" w:hAnsi="宋体"/>
              </w:rPr>
              <w:t>）</w:t>
            </w:r>
            <w:r w:rsidRPr="00123108">
              <w:rPr>
                <w:rFonts w:ascii="宋体" w:hAnsi="宋体" w:hint="eastAsia"/>
              </w:rPr>
              <w:t>：未制定标准</w:t>
            </w:r>
          </w:p>
        </w:tc>
      </w:tr>
      <w:tr w:rsidR="004F34D9" w:rsidRPr="00123108">
        <w:trPr>
          <w:trHeight w:val="369"/>
        </w:trPr>
        <w:tc>
          <w:tcPr>
            <w:tcW w:w="392" w:type="pct"/>
            <w:vAlign w:val="center"/>
          </w:tcPr>
          <w:p w:rsidR="004F34D9" w:rsidRPr="00123108" w:rsidRDefault="004F34D9">
            <w:pPr>
              <w:rPr>
                <w:rFonts w:ascii="宋体" w:hAnsi="宋体"/>
              </w:rPr>
            </w:pPr>
            <w:r w:rsidRPr="00123108">
              <w:rPr>
                <w:rFonts w:ascii="宋体" w:hAnsi="宋体" w:hint="eastAsia"/>
              </w:rPr>
              <w:t>健康</w:t>
            </w:r>
          </w:p>
          <w:p w:rsidR="004F34D9" w:rsidRPr="00123108" w:rsidRDefault="004F34D9">
            <w:pPr>
              <w:rPr>
                <w:rFonts w:ascii="宋体" w:hAnsi="宋体"/>
              </w:rPr>
            </w:pPr>
            <w:r w:rsidRPr="00123108">
              <w:rPr>
                <w:rFonts w:ascii="宋体" w:hAnsi="宋体" w:hint="eastAsia"/>
              </w:rPr>
              <w:t>危害</w:t>
            </w:r>
          </w:p>
        </w:tc>
        <w:tc>
          <w:tcPr>
            <w:tcW w:w="4608" w:type="pct"/>
            <w:gridSpan w:val="3"/>
            <w:vAlign w:val="center"/>
          </w:tcPr>
          <w:p w:rsidR="004F34D9" w:rsidRPr="00123108" w:rsidRDefault="004F34D9">
            <w:pPr>
              <w:rPr>
                <w:rFonts w:ascii="宋体" w:hAnsi="宋体"/>
              </w:rPr>
            </w:pPr>
            <w:r w:rsidRPr="00123108">
              <w:rPr>
                <w:rFonts w:ascii="宋体" w:hAnsi="宋体" w:hint="eastAsia"/>
              </w:rPr>
              <w:t>侵入途径：吸入、食入、经皮吸收。</w:t>
            </w:r>
          </w:p>
          <w:p w:rsidR="004F34D9" w:rsidRPr="00123108" w:rsidRDefault="004F34D9">
            <w:pPr>
              <w:rPr>
                <w:rFonts w:ascii="宋体" w:hAnsi="宋体"/>
              </w:rPr>
            </w:pPr>
            <w:r w:rsidRPr="00123108">
              <w:rPr>
                <w:rFonts w:ascii="宋体" w:hAnsi="宋体" w:hint="eastAsia"/>
              </w:rPr>
              <w:t>本品对上呼吸道有刺激性。对皮肤有强烈刺激及致敏作用。进入眼内可造成损害。</w:t>
            </w:r>
          </w:p>
        </w:tc>
      </w:tr>
      <w:tr w:rsidR="004F34D9" w:rsidRPr="00123108">
        <w:trPr>
          <w:trHeight w:val="369"/>
        </w:trPr>
        <w:tc>
          <w:tcPr>
            <w:tcW w:w="392" w:type="pct"/>
            <w:vAlign w:val="center"/>
          </w:tcPr>
          <w:p w:rsidR="004F34D9" w:rsidRPr="00123108" w:rsidRDefault="004F34D9">
            <w:pPr>
              <w:rPr>
                <w:rFonts w:ascii="宋体" w:hAnsi="宋体"/>
              </w:rPr>
            </w:pPr>
            <w:r w:rsidRPr="00123108">
              <w:rPr>
                <w:rFonts w:ascii="宋体" w:hAnsi="宋体" w:hint="eastAsia"/>
              </w:rPr>
              <w:t>急救</w:t>
            </w:r>
          </w:p>
        </w:tc>
        <w:tc>
          <w:tcPr>
            <w:tcW w:w="4608" w:type="pct"/>
            <w:gridSpan w:val="3"/>
            <w:vAlign w:val="center"/>
          </w:tcPr>
          <w:p w:rsidR="004F34D9" w:rsidRPr="00123108" w:rsidRDefault="004F34D9">
            <w:pPr>
              <w:rPr>
                <w:rFonts w:ascii="宋体" w:hAnsi="宋体"/>
              </w:rPr>
            </w:pPr>
            <w:r w:rsidRPr="00123108">
              <w:rPr>
                <w:rFonts w:ascii="宋体" w:hAnsi="宋体" w:hint="eastAsia"/>
              </w:rPr>
              <w:t>皮肤接触：立即脱去污染的衣着，用大量流动清水至少15分钟。就医。</w:t>
            </w:r>
          </w:p>
          <w:p w:rsidR="004F34D9" w:rsidRPr="00123108" w:rsidRDefault="004F34D9">
            <w:pPr>
              <w:rPr>
                <w:rFonts w:ascii="宋体" w:hAnsi="宋体"/>
                <w:spacing w:val="-4"/>
              </w:rPr>
            </w:pPr>
            <w:r w:rsidRPr="00123108">
              <w:rPr>
                <w:rFonts w:ascii="宋体" w:hAnsi="宋体" w:hint="eastAsia"/>
                <w:spacing w:val="-4"/>
              </w:rPr>
              <w:t>眼睛接触：立即提起眼睑，用大量流动清水或生理盐水彻底冲冼至15分钟。就医。</w:t>
            </w:r>
          </w:p>
          <w:p w:rsidR="004F34D9" w:rsidRPr="00123108" w:rsidRDefault="004F34D9">
            <w:pPr>
              <w:rPr>
                <w:rFonts w:ascii="宋体" w:hAnsi="宋体"/>
              </w:rPr>
            </w:pPr>
            <w:r w:rsidRPr="00123108">
              <w:rPr>
                <w:rFonts w:ascii="宋体" w:hAnsi="宋体" w:hint="eastAsia"/>
              </w:rPr>
              <w:t>吸入：迅速脱离现场至空气新鲜处。保持呼吸道通畅。如呼吸困难，给输氧。如呼吸停止，立即进行人工呼吸。就医。</w:t>
            </w:r>
          </w:p>
          <w:p w:rsidR="004F34D9" w:rsidRPr="00123108" w:rsidRDefault="004F34D9">
            <w:pPr>
              <w:rPr>
                <w:rFonts w:ascii="宋体" w:hAnsi="宋体"/>
              </w:rPr>
            </w:pPr>
            <w:r w:rsidRPr="00123108">
              <w:rPr>
                <w:rFonts w:ascii="宋体" w:hAnsi="宋体" w:hint="eastAsia"/>
              </w:rPr>
              <w:t>食入：用水漱口，给饮牛奶或蛋清。就医。</w:t>
            </w:r>
          </w:p>
        </w:tc>
      </w:tr>
      <w:tr w:rsidR="004F34D9" w:rsidRPr="00123108">
        <w:trPr>
          <w:trHeight w:val="369"/>
        </w:trPr>
        <w:tc>
          <w:tcPr>
            <w:tcW w:w="392" w:type="pct"/>
            <w:vAlign w:val="center"/>
          </w:tcPr>
          <w:p w:rsidR="004F34D9" w:rsidRPr="00123108" w:rsidRDefault="004F34D9">
            <w:pPr>
              <w:rPr>
                <w:rFonts w:ascii="宋体" w:hAnsi="宋体"/>
              </w:rPr>
            </w:pPr>
            <w:r w:rsidRPr="00123108">
              <w:rPr>
                <w:rFonts w:ascii="宋体" w:hAnsi="宋体" w:hint="eastAsia"/>
              </w:rPr>
              <w:t>防护</w:t>
            </w:r>
          </w:p>
        </w:tc>
        <w:tc>
          <w:tcPr>
            <w:tcW w:w="4608" w:type="pct"/>
            <w:gridSpan w:val="3"/>
            <w:vAlign w:val="center"/>
          </w:tcPr>
          <w:p w:rsidR="004F34D9" w:rsidRPr="00123108" w:rsidRDefault="004F34D9">
            <w:pPr>
              <w:rPr>
                <w:rFonts w:ascii="宋体" w:hAnsi="宋体"/>
              </w:rPr>
            </w:pPr>
            <w:r w:rsidRPr="00123108">
              <w:rPr>
                <w:rFonts w:ascii="宋体" w:hAnsi="宋体" w:hint="eastAsia"/>
              </w:rPr>
              <w:t>呼吸系统防护：可能接触其粉尘时，应该佩戴头罩型电动送风过滤防尘呼吸器。眼睛防护：呼吸系统防护中已作防护。身体防护：穿聚乙烯防毒服。手防护：戴橡胶手套。其他防护：工作现场严禁吸烟。工作完毕，沐浴更衣。注意个人清洁卫生。</w:t>
            </w:r>
          </w:p>
        </w:tc>
      </w:tr>
      <w:tr w:rsidR="004F34D9" w:rsidRPr="00123108">
        <w:trPr>
          <w:trHeight w:val="1117"/>
        </w:trPr>
        <w:tc>
          <w:tcPr>
            <w:tcW w:w="392" w:type="pct"/>
            <w:vAlign w:val="center"/>
          </w:tcPr>
          <w:p w:rsidR="004F34D9" w:rsidRPr="00123108" w:rsidRDefault="004F34D9">
            <w:pPr>
              <w:rPr>
                <w:rFonts w:ascii="宋体" w:hAnsi="宋体"/>
                <w:lang w:val="en-US" w:eastAsia="zh-CN"/>
              </w:rPr>
            </w:pPr>
            <w:r w:rsidRPr="00123108">
              <w:rPr>
                <w:rFonts w:ascii="宋体" w:hAnsi="宋体" w:hint="eastAsia"/>
                <w:lang w:val="en-US" w:eastAsia="zh-CN"/>
              </w:rPr>
              <w:t>储运</w:t>
            </w:r>
          </w:p>
          <w:p w:rsidR="004F34D9" w:rsidRPr="00123108" w:rsidRDefault="004F34D9">
            <w:pPr>
              <w:rPr>
                <w:rFonts w:ascii="宋体" w:hAnsi="宋体"/>
                <w:lang w:val="en-US" w:eastAsia="zh-CN"/>
              </w:rPr>
            </w:pPr>
            <w:r w:rsidRPr="00123108">
              <w:rPr>
                <w:rFonts w:ascii="宋体" w:hAnsi="宋体" w:hint="eastAsia"/>
                <w:lang w:val="en-US" w:eastAsia="zh-CN"/>
              </w:rPr>
              <w:t>条件</w:t>
            </w:r>
          </w:p>
        </w:tc>
        <w:tc>
          <w:tcPr>
            <w:tcW w:w="4608" w:type="pct"/>
            <w:gridSpan w:val="3"/>
            <w:vAlign w:val="center"/>
          </w:tcPr>
          <w:p w:rsidR="004F34D9" w:rsidRPr="00123108" w:rsidRDefault="004F34D9">
            <w:pPr>
              <w:rPr>
                <w:rFonts w:ascii="宋体" w:hAnsi="宋体"/>
              </w:rPr>
            </w:pPr>
            <w:r w:rsidRPr="00123108">
              <w:rPr>
                <w:rFonts w:ascii="宋体" w:hAnsi="宋体" w:hint="eastAsia"/>
              </w:rPr>
              <w:t>储存时以水作稳定剂，一般含水</w:t>
            </w:r>
            <w:r w:rsidRPr="00123108">
              <w:rPr>
                <w:rFonts w:ascii="宋体" w:hAnsi="宋体"/>
              </w:rPr>
              <w:t>30</w:t>
            </w:r>
            <w:r w:rsidRPr="00123108">
              <w:rPr>
                <w:rFonts w:ascii="宋体" w:hAnsi="宋体" w:hint="eastAsia"/>
              </w:rPr>
              <w:t>％。库温不宜超过</w:t>
            </w:r>
            <w:r w:rsidRPr="00123108">
              <w:rPr>
                <w:rFonts w:ascii="宋体" w:hAnsi="宋体"/>
              </w:rPr>
              <w:t>30</w:t>
            </w:r>
            <w:r w:rsidRPr="00123108">
              <w:rPr>
                <w:rFonts w:ascii="宋体" w:hAnsi="宋体" w:hint="eastAsia"/>
              </w:rPr>
              <w:t>℃。应与还原剂、酸类、碱类、醇类分开存放，切忌混储。不宜久存，以免变质。采用防爆型照明、通风设施。禁止使用易产生火花的机械设备和工具。储区应备有合适的材料收容泄漏物。禁止震动、撞击和摩擦。</w:t>
            </w:r>
          </w:p>
        </w:tc>
      </w:tr>
      <w:tr w:rsidR="004F34D9" w:rsidRPr="00123108">
        <w:trPr>
          <w:trHeight w:val="769"/>
        </w:trPr>
        <w:tc>
          <w:tcPr>
            <w:tcW w:w="392" w:type="pct"/>
            <w:vAlign w:val="center"/>
          </w:tcPr>
          <w:p w:rsidR="004F34D9" w:rsidRPr="00123108" w:rsidRDefault="004F34D9">
            <w:pPr>
              <w:rPr>
                <w:rFonts w:ascii="宋体" w:hAnsi="宋体"/>
              </w:rPr>
            </w:pPr>
            <w:r w:rsidRPr="00123108">
              <w:rPr>
                <w:rFonts w:ascii="宋体" w:hAnsi="宋体" w:hint="eastAsia"/>
              </w:rPr>
              <w:t>泄漏</w:t>
            </w:r>
          </w:p>
          <w:p w:rsidR="004F34D9" w:rsidRPr="00123108" w:rsidRDefault="004F34D9">
            <w:pPr>
              <w:rPr>
                <w:rFonts w:ascii="宋体" w:hAnsi="宋体"/>
              </w:rPr>
            </w:pPr>
            <w:r w:rsidRPr="00123108">
              <w:rPr>
                <w:rFonts w:ascii="宋体" w:hAnsi="宋体" w:hint="eastAsia"/>
              </w:rPr>
              <w:t>处理</w:t>
            </w:r>
          </w:p>
        </w:tc>
        <w:tc>
          <w:tcPr>
            <w:tcW w:w="4608" w:type="pct"/>
            <w:gridSpan w:val="3"/>
            <w:vAlign w:val="center"/>
          </w:tcPr>
          <w:p w:rsidR="004F34D9" w:rsidRPr="00123108" w:rsidRDefault="004F34D9">
            <w:pPr>
              <w:rPr>
                <w:rFonts w:ascii="宋体" w:hAnsi="宋体"/>
              </w:rPr>
            </w:pPr>
            <w:r w:rsidRPr="00123108">
              <w:rPr>
                <w:rFonts w:ascii="宋体" w:hAnsi="宋体" w:hint="eastAsia"/>
              </w:rPr>
              <w:t>隔离泄漏污染区，限制出入。切断火源。建议应急处理人员戴防尘面具</w:t>
            </w:r>
            <w:r w:rsidRPr="00123108">
              <w:rPr>
                <w:rFonts w:ascii="宋体" w:hAnsi="宋体"/>
              </w:rPr>
              <w:t>(</w:t>
            </w:r>
            <w:r w:rsidRPr="00123108">
              <w:rPr>
                <w:rFonts w:ascii="宋体" w:hAnsi="宋体" w:hint="eastAsia"/>
              </w:rPr>
              <w:t>全面罩</w:t>
            </w:r>
            <w:r w:rsidRPr="00123108">
              <w:rPr>
                <w:rFonts w:ascii="宋体" w:hAnsi="宋体"/>
              </w:rPr>
              <w:t>)</w:t>
            </w:r>
            <w:r w:rsidRPr="00123108">
              <w:rPr>
                <w:rFonts w:ascii="宋体" w:hAnsi="宋体" w:hint="eastAsia"/>
              </w:rPr>
              <w:t>，穿防毒服。不要直接接触泄漏物。小量泄漏：用惰性、潮湿的不燃材料混合吸收。大量泄漏：用水润湿，与有关技术部门联系，确定清除方法。</w:t>
            </w:r>
          </w:p>
        </w:tc>
      </w:tr>
    </w:tbl>
    <w:p w:rsidR="004F34D9" w:rsidRPr="00123108" w:rsidRDefault="004F34D9">
      <w:pPr>
        <w:rPr>
          <w:rFonts w:ascii="宋体" w:hAnsi="宋体"/>
        </w:rPr>
      </w:pPr>
    </w:p>
    <w:p w:rsidR="004F34D9" w:rsidRPr="00123108" w:rsidRDefault="004F34D9">
      <w:pPr>
        <w:pStyle w:val="2fd"/>
        <w:ind w:firstLineChars="0" w:firstLine="0"/>
        <w:jc w:val="center"/>
        <w:rPr>
          <w:rFonts w:hint="eastAsia"/>
          <w:b/>
          <w:sz w:val="28"/>
          <w:szCs w:val="28"/>
        </w:rPr>
      </w:pPr>
      <w:bookmarkStart w:id="1977" w:name="_Toc70995114"/>
      <w:bookmarkStart w:id="1978" w:name="_Toc70996359"/>
    </w:p>
    <w:p w:rsidR="004F34D9" w:rsidRPr="00123108" w:rsidRDefault="004F34D9">
      <w:pPr>
        <w:pStyle w:val="2fd"/>
        <w:ind w:firstLineChars="0" w:firstLine="0"/>
        <w:jc w:val="center"/>
        <w:rPr>
          <w:rFonts w:hint="eastAsia"/>
          <w:b/>
          <w:sz w:val="28"/>
          <w:szCs w:val="28"/>
        </w:rPr>
      </w:pPr>
    </w:p>
    <w:p w:rsidR="004F34D9" w:rsidRPr="00123108" w:rsidRDefault="004F34D9">
      <w:pPr>
        <w:pStyle w:val="2fd"/>
        <w:ind w:firstLineChars="0" w:firstLine="0"/>
        <w:jc w:val="center"/>
        <w:rPr>
          <w:rFonts w:hint="eastAsia"/>
          <w:b/>
          <w:sz w:val="28"/>
          <w:szCs w:val="28"/>
        </w:rPr>
      </w:pPr>
    </w:p>
    <w:p w:rsidR="004F34D9" w:rsidRPr="00123108" w:rsidRDefault="004F34D9">
      <w:pPr>
        <w:pStyle w:val="2fd"/>
        <w:ind w:firstLineChars="0" w:firstLine="0"/>
        <w:jc w:val="center"/>
        <w:rPr>
          <w:rFonts w:hint="eastAsia"/>
          <w:b/>
          <w:sz w:val="28"/>
          <w:szCs w:val="28"/>
        </w:rPr>
      </w:pPr>
    </w:p>
    <w:p w:rsidR="004F34D9" w:rsidRPr="00123108" w:rsidRDefault="004F34D9">
      <w:pPr>
        <w:pStyle w:val="2fd"/>
        <w:ind w:firstLineChars="0" w:firstLine="0"/>
        <w:jc w:val="center"/>
        <w:rPr>
          <w:rFonts w:hint="eastAsia"/>
          <w:b/>
          <w:sz w:val="28"/>
          <w:szCs w:val="28"/>
        </w:rPr>
      </w:pPr>
    </w:p>
    <w:p w:rsidR="004F34D9" w:rsidRPr="00123108" w:rsidRDefault="004F34D9">
      <w:pPr>
        <w:pStyle w:val="2fd"/>
        <w:ind w:firstLineChars="0" w:firstLine="0"/>
        <w:jc w:val="center"/>
        <w:rPr>
          <w:rFonts w:ascii="黑体" w:eastAsia="黑体" w:hAnsi="黑体"/>
        </w:rPr>
      </w:pPr>
      <w:r w:rsidRPr="00123108">
        <w:rPr>
          <w:rFonts w:ascii="黑体" w:eastAsia="黑体" w:hAnsi="黑体" w:hint="eastAsia"/>
        </w:rPr>
        <w:t xml:space="preserve">附表4.1-7 </w:t>
      </w:r>
      <w:bookmarkEnd w:id="1977"/>
      <w:bookmarkEnd w:id="1978"/>
      <w:r w:rsidRPr="00123108">
        <w:rPr>
          <w:rFonts w:ascii="黑体" w:eastAsia="黑体" w:hAnsi="黑体" w:hint="eastAsia"/>
        </w:rPr>
        <w:t>二甲苯的危险特性</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2013"/>
        <w:gridCol w:w="752"/>
        <w:gridCol w:w="752"/>
        <w:gridCol w:w="752"/>
        <w:gridCol w:w="4472"/>
      </w:tblGrid>
      <w:tr w:rsidR="004F34D9" w:rsidRPr="00123108">
        <w:trPr>
          <w:cantSplit/>
          <w:jc w:val="center"/>
        </w:trPr>
        <w:tc>
          <w:tcPr>
            <w:tcW w:w="236" w:type="pct"/>
            <w:vMerge w:val="restart"/>
            <w:vAlign w:val="center"/>
          </w:tcPr>
          <w:p w:rsidR="004F34D9" w:rsidRPr="00123108" w:rsidRDefault="004F34D9">
            <w:pPr>
              <w:spacing w:line="320" w:lineRule="exact"/>
              <w:jc w:val="center"/>
              <w:rPr>
                <w:rFonts w:ascii="宋体" w:hAnsi="宋体"/>
              </w:rPr>
            </w:pPr>
            <w:r w:rsidRPr="00123108">
              <w:rPr>
                <w:rFonts w:ascii="宋体" w:hAnsi="宋体" w:hint="eastAsia"/>
              </w:rPr>
              <w:lastRenderedPageBreak/>
              <w:t>标志</w:t>
            </w:r>
          </w:p>
        </w:tc>
        <w:tc>
          <w:tcPr>
            <w:tcW w:w="1097" w:type="pct"/>
            <w:vAlign w:val="center"/>
          </w:tcPr>
          <w:p w:rsidR="004F34D9" w:rsidRPr="00123108" w:rsidRDefault="004F34D9">
            <w:pPr>
              <w:spacing w:line="320" w:lineRule="exact"/>
              <w:rPr>
                <w:rFonts w:ascii="宋体" w:hAnsi="宋体"/>
              </w:rPr>
            </w:pPr>
            <w:r w:rsidRPr="00123108">
              <w:rPr>
                <w:rFonts w:ascii="宋体" w:hAnsi="宋体" w:hint="eastAsia"/>
              </w:rPr>
              <w:t>中文名  二甲苯</w:t>
            </w:r>
          </w:p>
        </w:tc>
        <w:tc>
          <w:tcPr>
            <w:tcW w:w="1230" w:type="pct"/>
            <w:gridSpan w:val="3"/>
            <w:vAlign w:val="center"/>
          </w:tcPr>
          <w:p w:rsidR="004F34D9" w:rsidRPr="00123108" w:rsidRDefault="004F34D9">
            <w:pPr>
              <w:spacing w:line="320" w:lineRule="exact"/>
              <w:rPr>
                <w:rFonts w:ascii="宋体" w:hAnsi="宋体"/>
              </w:rPr>
            </w:pPr>
            <w:r w:rsidRPr="00123108">
              <w:rPr>
                <w:rFonts w:ascii="宋体" w:hAnsi="宋体" w:hint="eastAsia"/>
              </w:rPr>
              <w:t xml:space="preserve">英文名  xylene  </w:t>
            </w:r>
          </w:p>
        </w:tc>
        <w:tc>
          <w:tcPr>
            <w:tcW w:w="2437" w:type="pct"/>
            <w:vAlign w:val="center"/>
          </w:tcPr>
          <w:p w:rsidR="004F34D9" w:rsidRPr="00123108" w:rsidRDefault="004F34D9">
            <w:pPr>
              <w:spacing w:line="320" w:lineRule="exact"/>
              <w:rPr>
                <w:rFonts w:ascii="宋体" w:hAnsi="宋体"/>
              </w:rPr>
            </w:pPr>
            <w:r w:rsidRPr="00123108">
              <w:rPr>
                <w:rFonts w:ascii="宋体" w:hAnsi="宋体" w:hint="eastAsia"/>
              </w:rPr>
              <w:t>CAS号  108-38-3</w:t>
            </w:r>
          </w:p>
        </w:tc>
      </w:tr>
      <w:tr w:rsidR="004F34D9" w:rsidRPr="00123108">
        <w:trPr>
          <w:cantSplit/>
          <w:jc w:val="center"/>
        </w:trPr>
        <w:tc>
          <w:tcPr>
            <w:tcW w:w="236" w:type="pct"/>
            <w:vMerge/>
            <w:vAlign w:val="center"/>
          </w:tcPr>
          <w:p w:rsidR="004F34D9" w:rsidRPr="00123108" w:rsidRDefault="004F34D9">
            <w:pPr>
              <w:spacing w:line="320" w:lineRule="exact"/>
              <w:jc w:val="center"/>
              <w:rPr>
                <w:rFonts w:ascii="宋体" w:hAnsi="宋体"/>
              </w:rPr>
            </w:pPr>
          </w:p>
        </w:tc>
        <w:tc>
          <w:tcPr>
            <w:tcW w:w="1097" w:type="pct"/>
            <w:vAlign w:val="center"/>
          </w:tcPr>
          <w:p w:rsidR="004F34D9" w:rsidRPr="00123108" w:rsidRDefault="004F34D9">
            <w:pPr>
              <w:spacing w:line="320" w:lineRule="exact"/>
              <w:rPr>
                <w:rFonts w:ascii="宋体" w:hAnsi="宋体"/>
                <w:vertAlign w:val="subscript"/>
              </w:rPr>
            </w:pPr>
            <w:r w:rsidRPr="00123108">
              <w:rPr>
                <w:rFonts w:ascii="宋体" w:hAnsi="宋体" w:hint="eastAsia"/>
              </w:rPr>
              <w:t>分子式 C</w:t>
            </w:r>
            <w:r w:rsidRPr="00123108">
              <w:rPr>
                <w:rFonts w:ascii="宋体" w:hAnsi="宋体" w:hint="eastAsia"/>
                <w:vertAlign w:val="subscript"/>
              </w:rPr>
              <w:t>8</w:t>
            </w:r>
            <w:r w:rsidRPr="00123108">
              <w:rPr>
                <w:rFonts w:ascii="宋体" w:hAnsi="宋体" w:hint="eastAsia"/>
              </w:rPr>
              <w:t>H</w:t>
            </w:r>
            <w:r w:rsidRPr="00123108">
              <w:rPr>
                <w:rFonts w:ascii="宋体" w:hAnsi="宋体" w:hint="eastAsia"/>
                <w:vertAlign w:val="subscript"/>
              </w:rPr>
              <w:t>10</w:t>
            </w:r>
          </w:p>
        </w:tc>
        <w:tc>
          <w:tcPr>
            <w:tcW w:w="1230" w:type="pct"/>
            <w:gridSpan w:val="3"/>
            <w:vAlign w:val="center"/>
          </w:tcPr>
          <w:p w:rsidR="004F34D9" w:rsidRPr="00123108" w:rsidRDefault="004F34D9">
            <w:pPr>
              <w:spacing w:line="320" w:lineRule="exact"/>
              <w:rPr>
                <w:rFonts w:ascii="宋体" w:hAnsi="宋体"/>
              </w:rPr>
            </w:pPr>
            <w:r w:rsidRPr="00123108">
              <w:rPr>
                <w:rFonts w:ascii="宋体" w:hAnsi="宋体" w:hint="eastAsia"/>
              </w:rPr>
              <w:t>分子量 106.17</w:t>
            </w:r>
          </w:p>
        </w:tc>
        <w:tc>
          <w:tcPr>
            <w:tcW w:w="2437" w:type="pct"/>
            <w:vAlign w:val="center"/>
          </w:tcPr>
          <w:p w:rsidR="004F34D9" w:rsidRPr="00123108" w:rsidRDefault="004F34D9">
            <w:pPr>
              <w:spacing w:line="320" w:lineRule="exact"/>
              <w:rPr>
                <w:rFonts w:ascii="宋体" w:hAnsi="宋体"/>
              </w:rPr>
            </w:pPr>
            <w:r w:rsidRPr="00123108">
              <w:rPr>
                <w:rFonts w:ascii="宋体" w:hAnsi="宋体" w:hint="eastAsia"/>
              </w:rPr>
              <w:t>危险性类别 ：高闪点易燃液体</w:t>
            </w:r>
          </w:p>
        </w:tc>
      </w:tr>
      <w:tr w:rsidR="004F34D9" w:rsidRPr="00123108">
        <w:trPr>
          <w:cantSplit/>
          <w:jc w:val="center"/>
        </w:trPr>
        <w:tc>
          <w:tcPr>
            <w:tcW w:w="236" w:type="pct"/>
            <w:vMerge w:val="restart"/>
            <w:vAlign w:val="center"/>
          </w:tcPr>
          <w:p w:rsidR="004F34D9" w:rsidRPr="00123108" w:rsidRDefault="004F34D9">
            <w:pPr>
              <w:spacing w:line="320" w:lineRule="exact"/>
              <w:jc w:val="center"/>
              <w:rPr>
                <w:rFonts w:ascii="宋体" w:hAnsi="宋体"/>
              </w:rPr>
            </w:pPr>
            <w:r w:rsidRPr="00123108">
              <w:rPr>
                <w:rFonts w:ascii="宋体" w:hAnsi="宋体" w:hint="eastAsia"/>
              </w:rPr>
              <w:t>理化性质</w:t>
            </w:r>
          </w:p>
        </w:tc>
        <w:tc>
          <w:tcPr>
            <w:tcW w:w="4764" w:type="pct"/>
            <w:gridSpan w:val="5"/>
            <w:vAlign w:val="center"/>
          </w:tcPr>
          <w:p w:rsidR="004F34D9" w:rsidRPr="00123108" w:rsidRDefault="004F34D9" w:rsidP="00814380">
            <w:pPr>
              <w:spacing w:line="320" w:lineRule="exact"/>
              <w:rPr>
                <w:rFonts w:ascii="宋体" w:hAnsi="宋体"/>
              </w:rPr>
            </w:pPr>
            <w:r w:rsidRPr="00123108">
              <w:rPr>
                <w:rFonts w:ascii="宋体" w:hAnsi="宋体" w:hint="eastAsia"/>
              </w:rPr>
              <w:t>外观与性状  无色透明液体，</w:t>
            </w:r>
            <w:r w:rsidR="00814380" w:rsidRPr="00123108">
              <w:rPr>
                <w:rFonts w:ascii="宋体" w:hAnsi="宋体" w:hint="eastAsia"/>
              </w:rPr>
              <w:t>有强烈芳香气味</w:t>
            </w:r>
            <w:r w:rsidRPr="00123108">
              <w:rPr>
                <w:rFonts w:ascii="宋体" w:hAnsi="宋体" w:hint="eastAsia"/>
              </w:rPr>
              <w:t>。</w:t>
            </w:r>
          </w:p>
        </w:tc>
      </w:tr>
      <w:tr w:rsidR="004F34D9" w:rsidRPr="00123108">
        <w:trPr>
          <w:cantSplit/>
          <w:jc w:val="center"/>
        </w:trPr>
        <w:tc>
          <w:tcPr>
            <w:tcW w:w="236" w:type="pct"/>
            <w:vMerge/>
            <w:vAlign w:val="center"/>
          </w:tcPr>
          <w:p w:rsidR="004F34D9" w:rsidRPr="00123108" w:rsidRDefault="004F34D9">
            <w:pPr>
              <w:spacing w:line="320" w:lineRule="exact"/>
              <w:jc w:val="center"/>
              <w:rPr>
                <w:rFonts w:ascii="宋体" w:hAnsi="宋体"/>
              </w:rPr>
            </w:pPr>
          </w:p>
        </w:tc>
        <w:tc>
          <w:tcPr>
            <w:tcW w:w="4764" w:type="pct"/>
            <w:gridSpan w:val="5"/>
            <w:vAlign w:val="center"/>
          </w:tcPr>
          <w:p w:rsidR="004F34D9" w:rsidRPr="00123108" w:rsidRDefault="004F34D9">
            <w:pPr>
              <w:spacing w:line="320" w:lineRule="exact"/>
              <w:rPr>
                <w:rFonts w:ascii="宋体" w:hAnsi="宋体"/>
              </w:rPr>
            </w:pPr>
            <w:r w:rsidRPr="00123108">
              <w:rPr>
                <w:rFonts w:ascii="宋体" w:hAnsi="宋体" w:hint="eastAsia"/>
              </w:rPr>
              <w:t>溶解性  不溶于水，可溶于乙醇、乙醚、氯仿等多数有机溶剂。</w:t>
            </w:r>
          </w:p>
        </w:tc>
      </w:tr>
      <w:tr w:rsidR="004F34D9" w:rsidRPr="00123108">
        <w:trPr>
          <w:cantSplit/>
          <w:jc w:val="center"/>
        </w:trPr>
        <w:tc>
          <w:tcPr>
            <w:tcW w:w="236" w:type="pct"/>
            <w:vMerge/>
            <w:vAlign w:val="center"/>
          </w:tcPr>
          <w:p w:rsidR="004F34D9" w:rsidRPr="00123108" w:rsidRDefault="004F34D9">
            <w:pPr>
              <w:spacing w:line="320" w:lineRule="exact"/>
              <w:jc w:val="center"/>
              <w:rPr>
                <w:rFonts w:ascii="宋体" w:hAnsi="宋体"/>
              </w:rPr>
            </w:pPr>
          </w:p>
        </w:tc>
        <w:tc>
          <w:tcPr>
            <w:tcW w:w="4764" w:type="pct"/>
            <w:gridSpan w:val="5"/>
            <w:vAlign w:val="center"/>
          </w:tcPr>
          <w:p w:rsidR="004F34D9" w:rsidRPr="00123108" w:rsidRDefault="004F34D9">
            <w:pPr>
              <w:spacing w:line="320" w:lineRule="exact"/>
              <w:rPr>
                <w:rFonts w:ascii="宋体" w:hAnsi="宋体"/>
              </w:rPr>
            </w:pPr>
            <w:r w:rsidRPr="00123108">
              <w:rPr>
                <w:rFonts w:ascii="宋体" w:hAnsi="宋体" w:hint="eastAsia"/>
              </w:rPr>
              <w:t>饱和蒸气压（KPa）  1.33（28.3℃）</w:t>
            </w:r>
          </w:p>
        </w:tc>
      </w:tr>
      <w:tr w:rsidR="004F34D9" w:rsidRPr="00123108">
        <w:trPr>
          <w:cantSplit/>
          <w:jc w:val="center"/>
        </w:trPr>
        <w:tc>
          <w:tcPr>
            <w:tcW w:w="236" w:type="pct"/>
            <w:vMerge/>
            <w:vAlign w:val="center"/>
          </w:tcPr>
          <w:p w:rsidR="004F34D9" w:rsidRPr="00123108" w:rsidRDefault="004F34D9">
            <w:pPr>
              <w:spacing w:line="320" w:lineRule="exact"/>
              <w:jc w:val="center"/>
              <w:rPr>
                <w:rFonts w:ascii="宋体" w:hAnsi="宋体"/>
              </w:rPr>
            </w:pPr>
          </w:p>
        </w:tc>
        <w:tc>
          <w:tcPr>
            <w:tcW w:w="2327" w:type="pct"/>
            <w:gridSpan w:val="4"/>
            <w:vAlign w:val="center"/>
          </w:tcPr>
          <w:p w:rsidR="004F34D9" w:rsidRPr="00123108" w:rsidRDefault="004F34D9">
            <w:pPr>
              <w:spacing w:line="320" w:lineRule="exact"/>
              <w:rPr>
                <w:rFonts w:ascii="宋体" w:hAnsi="宋体"/>
              </w:rPr>
            </w:pPr>
            <w:r w:rsidRPr="00123108">
              <w:rPr>
                <w:rFonts w:ascii="宋体" w:hAnsi="宋体" w:hint="eastAsia"/>
              </w:rPr>
              <w:t>临界温度（℃）  343.9</w:t>
            </w:r>
          </w:p>
        </w:tc>
        <w:tc>
          <w:tcPr>
            <w:tcW w:w="2437" w:type="pct"/>
            <w:vAlign w:val="center"/>
          </w:tcPr>
          <w:p w:rsidR="004F34D9" w:rsidRPr="00123108" w:rsidRDefault="004F34D9" w:rsidP="00814380">
            <w:pPr>
              <w:spacing w:line="320" w:lineRule="exact"/>
              <w:rPr>
                <w:rFonts w:ascii="宋体" w:hAnsi="宋体"/>
              </w:rPr>
            </w:pPr>
            <w:r w:rsidRPr="00123108">
              <w:rPr>
                <w:rFonts w:ascii="宋体" w:hAnsi="宋体" w:hint="eastAsia"/>
              </w:rPr>
              <w:t>临界压力(MPa)    3.</w:t>
            </w:r>
            <w:r w:rsidR="00814380" w:rsidRPr="00123108">
              <w:rPr>
                <w:rFonts w:ascii="宋体" w:hAnsi="宋体" w:hint="eastAsia"/>
              </w:rPr>
              <w:t>7</w:t>
            </w:r>
          </w:p>
        </w:tc>
      </w:tr>
      <w:tr w:rsidR="004F34D9" w:rsidRPr="00123108">
        <w:trPr>
          <w:cantSplit/>
          <w:jc w:val="center"/>
        </w:trPr>
        <w:tc>
          <w:tcPr>
            <w:tcW w:w="236" w:type="pct"/>
            <w:vMerge/>
            <w:vAlign w:val="center"/>
          </w:tcPr>
          <w:p w:rsidR="004F34D9" w:rsidRPr="00123108" w:rsidRDefault="004F34D9">
            <w:pPr>
              <w:spacing w:line="320" w:lineRule="exact"/>
              <w:jc w:val="center"/>
              <w:rPr>
                <w:rFonts w:ascii="宋体" w:hAnsi="宋体"/>
              </w:rPr>
            </w:pPr>
          </w:p>
        </w:tc>
        <w:tc>
          <w:tcPr>
            <w:tcW w:w="2327" w:type="pct"/>
            <w:gridSpan w:val="4"/>
            <w:vAlign w:val="center"/>
          </w:tcPr>
          <w:p w:rsidR="004F34D9" w:rsidRPr="00123108" w:rsidRDefault="004F34D9" w:rsidP="003F01A1">
            <w:pPr>
              <w:spacing w:line="320" w:lineRule="exact"/>
              <w:rPr>
                <w:rFonts w:ascii="宋体" w:hAnsi="宋体"/>
              </w:rPr>
            </w:pPr>
            <w:r w:rsidRPr="00123108">
              <w:rPr>
                <w:rFonts w:ascii="宋体" w:hAnsi="宋体" w:hint="eastAsia"/>
              </w:rPr>
              <w:t>熔点（℃）  -</w:t>
            </w:r>
            <w:r w:rsidR="003F01A1" w:rsidRPr="00123108">
              <w:rPr>
                <w:rFonts w:ascii="宋体" w:hAnsi="宋体" w:hint="eastAsia"/>
              </w:rPr>
              <w:t>25.5</w:t>
            </w:r>
          </w:p>
        </w:tc>
        <w:tc>
          <w:tcPr>
            <w:tcW w:w="2437" w:type="pct"/>
            <w:vAlign w:val="center"/>
          </w:tcPr>
          <w:p w:rsidR="004F34D9" w:rsidRPr="00123108" w:rsidRDefault="004F34D9" w:rsidP="003F01A1">
            <w:pPr>
              <w:spacing w:line="320" w:lineRule="exact"/>
              <w:rPr>
                <w:rFonts w:ascii="宋体" w:hAnsi="宋体"/>
              </w:rPr>
            </w:pPr>
            <w:r w:rsidRPr="00123108">
              <w:rPr>
                <w:rFonts w:ascii="宋体" w:hAnsi="宋体" w:hint="eastAsia"/>
              </w:rPr>
              <w:t xml:space="preserve">沸点（℃）   </w:t>
            </w:r>
            <w:r w:rsidR="003F01A1" w:rsidRPr="00123108">
              <w:rPr>
                <w:rFonts w:ascii="宋体" w:hAnsi="宋体" w:hint="eastAsia"/>
              </w:rPr>
              <w:t>144.4</w:t>
            </w:r>
          </w:p>
        </w:tc>
      </w:tr>
      <w:tr w:rsidR="004F34D9" w:rsidRPr="00123108">
        <w:trPr>
          <w:cantSplit/>
          <w:jc w:val="center"/>
        </w:trPr>
        <w:tc>
          <w:tcPr>
            <w:tcW w:w="236" w:type="pct"/>
            <w:vMerge/>
            <w:vAlign w:val="center"/>
          </w:tcPr>
          <w:p w:rsidR="004F34D9" w:rsidRPr="00123108" w:rsidRDefault="004F34D9">
            <w:pPr>
              <w:spacing w:line="320" w:lineRule="exact"/>
              <w:jc w:val="center"/>
              <w:rPr>
                <w:rFonts w:ascii="宋体" w:hAnsi="宋体"/>
              </w:rPr>
            </w:pPr>
          </w:p>
        </w:tc>
        <w:tc>
          <w:tcPr>
            <w:tcW w:w="4764" w:type="pct"/>
            <w:gridSpan w:val="5"/>
            <w:vAlign w:val="center"/>
          </w:tcPr>
          <w:p w:rsidR="004F34D9" w:rsidRPr="00123108" w:rsidRDefault="004F34D9" w:rsidP="00814380">
            <w:pPr>
              <w:spacing w:line="320" w:lineRule="exact"/>
              <w:rPr>
                <w:rFonts w:ascii="宋体" w:hAnsi="宋体"/>
              </w:rPr>
            </w:pPr>
            <w:r w:rsidRPr="00123108">
              <w:rPr>
                <w:rFonts w:ascii="宋体" w:hAnsi="宋体" w:hint="eastAsia"/>
              </w:rPr>
              <w:t xml:space="preserve">燃烧热（KJ/mol）   </w:t>
            </w:r>
            <w:r w:rsidR="00814380" w:rsidRPr="00123108">
              <w:rPr>
                <w:rFonts w:ascii="宋体" w:hAnsi="宋体" w:hint="eastAsia"/>
              </w:rPr>
              <w:t>4830.7</w:t>
            </w:r>
          </w:p>
        </w:tc>
      </w:tr>
      <w:tr w:rsidR="004F34D9" w:rsidRPr="00123108">
        <w:trPr>
          <w:cantSplit/>
          <w:jc w:val="center"/>
        </w:trPr>
        <w:tc>
          <w:tcPr>
            <w:tcW w:w="236" w:type="pct"/>
            <w:vMerge/>
            <w:vAlign w:val="center"/>
          </w:tcPr>
          <w:p w:rsidR="004F34D9" w:rsidRPr="00123108" w:rsidRDefault="004F34D9">
            <w:pPr>
              <w:spacing w:line="320" w:lineRule="exact"/>
              <w:jc w:val="center"/>
              <w:rPr>
                <w:rFonts w:ascii="宋体" w:hAnsi="宋体"/>
              </w:rPr>
            </w:pPr>
          </w:p>
        </w:tc>
        <w:tc>
          <w:tcPr>
            <w:tcW w:w="2327" w:type="pct"/>
            <w:gridSpan w:val="4"/>
            <w:vAlign w:val="center"/>
          </w:tcPr>
          <w:p w:rsidR="004F34D9" w:rsidRPr="00123108" w:rsidRDefault="004F34D9" w:rsidP="00814380">
            <w:pPr>
              <w:spacing w:line="320" w:lineRule="exact"/>
              <w:rPr>
                <w:rFonts w:ascii="宋体" w:hAnsi="宋体"/>
              </w:rPr>
            </w:pPr>
            <w:r w:rsidRPr="00123108">
              <w:rPr>
                <w:rFonts w:ascii="宋体" w:hAnsi="宋体" w:hint="eastAsia"/>
              </w:rPr>
              <w:t>相对密度（水=1） 0.86    (空气=1)  3.</w:t>
            </w:r>
            <w:r w:rsidR="00814380" w:rsidRPr="00123108">
              <w:rPr>
                <w:rFonts w:ascii="宋体" w:hAnsi="宋体" w:hint="eastAsia"/>
              </w:rPr>
              <w:t>7</w:t>
            </w:r>
          </w:p>
        </w:tc>
        <w:tc>
          <w:tcPr>
            <w:tcW w:w="2437" w:type="pct"/>
            <w:vAlign w:val="center"/>
          </w:tcPr>
          <w:p w:rsidR="004F34D9" w:rsidRPr="00123108" w:rsidRDefault="004F34D9">
            <w:pPr>
              <w:spacing w:line="320" w:lineRule="exact"/>
              <w:rPr>
                <w:rFonts w:ascii="宋体" w:hAnsi="宋体"/>
              </w:rPr>
            </w:pPr>
            <w:r w:rsidRPr="00123108">
              <w:rPr>
                <w:rFonts w:ascii="宋体" w:hAnsi="宋体" w:hint="eastAsia"/>
                <w:szCs w:val="21"/>
              </w:rPr>
              <w:t>危化品目录序号：355</w:t>
            </w:r>
          </w:p>
        </w:tc>
      </w:tr>
      <w:tr w:rsidR="004F34D9" w:rsidRPr="00123108">
        <w:trPr>
          <w:cantSplit/>
          <w:jc w:val="center"/>
        </w:trPr>
        <w:tc>
          <w:tcPr>
            <w:tcW w:w="236" w:type="pct"/>
            <w:vMerge w:val="restart"/>
            <w:vAlign w:val="center"/>
          </w:tcPr>
          <w:p w:rsidR="004F34D9" w:rsidRPr="00123108" w:rsidRDefault="004F34D9">
            <w:pPr>
              <w:spacing w:line="320" w:lineRule="exact"/>
              <w:jc w:val="center"/>
              <w:rPr>
                <w:rFonts w:ascii="宋体" w:hAnsi="宋体"/>
              </w:rPr>
            </w:pPr>
            <w:r w:rsidRPr="00123108">
              <w:rPr>
                <w:rFonts w:ascii="宋体" w:hAnsi="宋体" w:hint="eastAsia"/>
              </w:rPr>
              <w:t>燃烧爆炸危险性</w:t>
            </w:r>
          </w:p>
        </w:tc>
        <w:tc>
          <w:tcPr>
            <w:tcW w:w="1097" w:type="pct"/>
            <w:vAlign w:val="center"/>
          </w:tcPr>
          <w:p w:rsidR="004F34D9" w:rsidRPr="00123108" w:rsidRDefault="004F34D9">
            <w:pPr>
              <w:spacing w:line="320" w:lineRule="exact"/>
              <w:rPr>
                <w:rFonts w:ascii="宋体" w:hAnsi="宋体"/>
              </w:rPr>
            </w:pPr>
            <w:r w:rsidRPr="00123108">
              <w:rPr>
                <w:rFonts w:ascii="宋体" w:hAnsi="宋体" w:hint="eastAsia"/>
              </w:rPr>
              <w:t>燃烧性    易燃</w:t>
            </w:r>
          </w:p>
        </w:tc>
        <w:tc>
          <w:tcPr>
            <w:tcW w:w="1230" w:type="pct"/>
            <w:gridSpan w:val="3"/>
            <w:vAlign w:val="center"/>
          </w:tcPr>
          <w:p w:rsidR="004F34D9" w:rsidRPr="00123108" w:rsidRDefault="004F34D9" w:rsidP="00814380">
            <w:pPr>
              <w:spacing w:line="320" w:lineRule="exact"/>
              <w:rPr>
                <w:rFonts w:ascii="宋体" w:hAnsi="宋体"/>
              </w:rPr>
            </w:pPr>
            <w:r w:rsidRPr="00123108">
              <w:rPr>
                <w:rFonts w:ascii="宋体" w:hAnsi="宋体" w:hint="eastAsia"/>
              </w:rPr>
              <w:t xml:space="preserve">引燃温度（℃） </w:t>
            </w:r>
            <w:r w:rsidR="00814380" w:rsidRPr="00123108">
              <w:rPr>
                <w:rFonts w:ascii="宋体" w:hAnsi="宋体" w:hint="eastAsia"/>
              </w:rPr>
              <w:t>527</w:t>
            </w:r>
          </w:p>
        </w:tc>
        <w:tc>
          <w:tcPr>
            <w:tcW w:w="2437" w:type="pct"/>
            <w:vAlign w:val="center"/>
          </w:tcPr>
          <w:p w:rsidR="004F34D9" w:rsidRPr="00123108" w:rsidRDefault="004F34D9" w:rsidP="00814380">
            <w:pPr>
              <w:spacing w:line="320" w:lineRule="exact"/>
              <w:rPr>
                <w:rFonts w:ascii="宋体" w:hAnsi="宋体"/>
              </w:rPr>
            </w:pPr>
            <w:r w:rsidRPr="00123108">
              <w:rPr>
                <w:rFonts w:ascii="宋体" w:hAnsi="宋体" w:hint="eastAsia"/>
              </w:rPr>
              <w:t xml:space="preserve">闪点（℃）  </w:t>
            </w:r>
            <w:r w:rsidR="00814380" w:rsidRPr="00123108">
              <w:rPr>
                <w:rFonts w:ascii="宋体" w:hAnsi="宋体" w:hint="eastAsia"/>
              </w:rPr>
              <w:t>25</w:t>
            </w:r>
          </w:p>
        </w:tc>
      </w:tr>
      <w:tr w:rsidR="004F34D9" w:rsidRPr="00123108">
        <w:trPr>
          <w:cantSplit/>
          <w:jc w:val="center"/>
        </w:trPr>
        <w:tc>
          <w:tcPr>
            <w:tcW w:w="236" w:type="pct"/>
            <w:vMerge/>
            <w:vAlign w:val="center"/>
          </w:tcPr>
          <w:p w:rsidR="004F34D9" w:rsidRPr="00123108" w:rsidRDefault="004F34D9">
            <w:pPr>
              <w:spacing w:line="320" w:lineRule="exact"/>
              <w:jc w:val="center"/>
              <w:rPr>
                <w:rFonts w:ascii="宋体" w:hAnsi="宋体"/>
              </w:rPr>
            </w:pPr>
          </w:p>
        </w:tc>
        <w:tc>
          <w:tcPr>
            <w:tcW w:w="2327" w:type="pct"/>
            <w:gridSpan w:val="4"/>
            <w:vAlign w:val="center"/>
          </w:tcPr>
          <w:p w:rsidR="004F34D9" w:rsidRPr="00123108" w:rsidRDefault="004F34D9" w:rsidP="00814380">
            <w:pPr>
              <w:spacing w:line="320" w:lineRule="exact"/>
              <w:rPr>
                <w:rFonts w:ascii="宋体" w:hAnsi="宋体"/>
              </w:rPr>
            </w:pPr>
            <w:r w:rsidRPr="00123108">
              <w:rPr>
                <w:rFonts w:ascii="宋体" w:hAnsi="宋体" w:hint="eastAsia"/>
              </w:rPr>
              <w:t>爆炸下限（%）    1.</w:t>
            </w:r>
            <w:r w:rsidR="00814380" w:rsidRPr="00123108">
              <w:rPr>
                <w:rFonts w:ascii="宋体" w:hAnsi="宋体" w:hint="eastAsia"/>
              </w:rPr>
              <w:t>1</w:t>
            </w:r>
          </w:p>
        </w:tc>
        <w:tc>
          <w:tcPr>
            <w:tcW w:w="2437" w:type="pct"/>
            <w:vAlign w:val="center"/>
          </w:tcPr>
          <w:p w:rsidR="004F34D9" w:rsidRPr="00123108" w:rsidRDefault="004F34D9">
            <w:pPr>
              <w:spacing w:line="320" w:lineRule="exact"/>
              <w:rPr>
                <w:rFonts w:ascii="宋体" w:hAnsi="宋体"/>
              </w:rPr>
            </w:pPr>
            <w:r w:rsidRPr="00123108">
              <w:rPr>
                <w:rFonts w:ascii="宋体" w:hAnsi="宋体" w:hint="eastAsia"/>
              </w:rPr>
              <w:t>爆炸上限（%）  7.0</w:t>
            </w:r>
          </w:p>
        </w:tc>
      </w:tr>
      <w:tr w:rsidR="004F34D9" w:rsidRPr="00123108">
        <w:trPr>
          <w:cantSplit/>
          <w:jc w:val="center"/>
        </w:trPr>
        <w:tc>
          <w:tcPr>
            <w:tcW w:w="236" w:type="pct"/>
            <w:vMerge/>
            <w:vAlign w:val="center"/>
          </w:tcPr>
          <w:p w:rsidR="004F34D9" w:rsidRPr="00123108" w:rsidRDefault="004F34D9">
            <w:pPr>
              <w:spacing w:line="320" w:lineRule="exact"/>
              <w:jc w:val="center"/>
              <w:rPr>
                <w:rFonts w:ascii="宋体" w:hAnsi="宋体"/>
              </w:rPr>
            </w:pPr>
          </w:p>
        </w:tc>
        <w:tc>
          <w:tcPr>
            <w:tcW w:w="1917" w:type="pct"/>
            <w:gridSpan w:val="3"/>
            <w:vAlign w:val="center"/>
          </w:tcPr>
          <w:p w:rsidR="004F34D9" w:rsidRPr="00123108" w:rsidRDefault="004F34D9">
            <w:pPr>
              <w:spacing w:line="320" w:lineRule="exact"/>
              <w:rPr>
                <w:rFonts w:ascii="宋体" w:hAnsi="宋体"/>
              </w:rPr>
            </w:pPr>
            <w:r w:rsidRPr="00123108">
              <w:rPr>
                <w:rFonts w:ascii="宋体" w:hAnsi="宋体" w:hint="eastAsia"/>
              </w:rPr>
              <w:t>最小点火能（mJ） 无资料</w:t>
            </w:r>
          </w:p>
        </w:tc>
        <w:tc>
          <w:tcPr>
            <w:tcW w:w="2847" w:type="pct"/>
            <w:gridSpan w:val="2"/>
            <w:vAlign w:val="center"/>
          </w:tcPr>
          <w:p w:rsidR="004F34D9" w:rsidRPr="00123108" w:rsidRDefault="004F34D9">
            <w:pPr>
              <w:spacing w:line="320" w:lineRule="exact"/>
              <w:rPr>
                <w:rFonts w:ascii="宋体" w:hAnsi="宋体"/>
              </w:rPr>
            </w:pPr>
            <w:r w:rsidRPr="00123108">
              <w:rPr>
                <w:rFonts w:ascii="宋体" w:hAnsi="宋体" w:hint="eastAsia"/>
              </w:rPr>
              <w:t>最大爆炸压力（MPa）   0.764</w:t>
            </w:r>
          </w:p>
        </w:tc>
      </w:tr>
      <w:tr w:rsidR="004F34D9" w:rsidRPr="00123108">
        <w:trPr>
          <w:cantSplit/>
          <w:jc w:val="center"/>
        </w:trPr>
        <w:tc>
          <w:tcPr>
            <w:tcW w:w="236" w:type="pct"/>
            <w:vMerge/>
            <w:vAlign w:val="center"/>
          </w:tcPr>
          <w:p w:rsidR="004F34D9" w:rsidRPr="00123108" w:rsidRDefault="004F34D9">
            <w:pPr>
              <w:spacing w:line="320" w:lineRule="exact"/>
              <w:jc w:val="center"/>
              <w:rPr>
                <w:rFonts w:ascii="宋体" w:hAnsi="宋体"/>
              </w:rPr>
            </w:pPr>
          </w:p>
        </w:tc>
        <w:tc>
          <w:tcPr>
            <w:tcW w:w="4764" w:type="pct"/>
            <w:gridSpan w:val="5"/>
            <w:vAlign w:val="center"/>
          </w:tcPr>
          <w:p w:rsidR="004F34D9" w:rsidRPr="00123108" w:rsidRDefault="004F34D9">
            <w:pPr>
              <w:spacing w:line="320" w:lineRule="exact"/>
              <w:rPr>
                <w:rFonts w:ascii="宋体" w:hAnsi="宋体"/>
              </w:rPr>
            </w:pPr>
            <w:r w:rsidRPr="00123108">
              <w:rPr>
                <w:rFonts w:ascii="宋体" w:hAnsi="宋体" w:hint="eastAsia"/>
              </w:rPr>
              <w:t>危险特性：易燃，其蒸气可与空气形成爆炸性混合物。遇明火、高热能引起燃烧爆炸。与氧化剂能发生强烈反应。流速过快，容易产生和积聚静电。其蒸气比空气重，能在较低处扩散到相当远的地方，遇明火会引着回燃。</w:t>
            </w:r>
          </w:p>
        </w:tc>
      </w:tr>
      <w:tr w:rsidR="004F34D9" w:rsidRPr="00123108">
        <w:trPr>
          <w:cantSplit/>
          <w:jc w:val="center"/>
        </w:trPr>
        <w:tc>
          <w:tcPr>
            <w:tcW w:w="236" w:type="pct"/>
            <w:vMerge/>
            <w:vAlign w:val="center"/>
          </w:tcPr>
          <w:p w:rsidR="004F34D9" w:rsidRPr="00123108" w:rsidRDefault="004F34D9">
            <w:pPr>
              <w:spacing w:line="320" w:lineRule="exact"/>
              <w:jc w:val="center"/>
              <w:rPr>
                <w:rFonts w:ascii="宋体" w:hAnsi="宋体"/>
              </w:rPr>
            </w:pPr>
          </w:p>
        </w:tc>
        <w:tc>
          <w:tcPr>
            <w:tcW w:w="4764" w:type="pct"/>
            <w:gridSpan w:val="5"/>
            <w:vAlign w:val="center"/>
          </w:tcPr>
          <w:p w:rsidR="004F34D9" w:rsidRPr="00123108" w:rsidRDefault="004F34D9">
            <w:pPr>
              <w:spacing w:line="320" w:lineRule="exact"/>
              <w:rPr>
                <w:rFonts w:ascii="宋体" w:hAnsi="宋体"/>
              </w:rPr>
            </w:pPr>
            <w:r w:rsidRPr="00123108">
              <w:rPr>
                <w:rFonts w:ascii="宋体" w:hAnsi="宋体" w:hint="eastAsia"/>
              </w:rPr>
              <w:t xml:space="preserve">消防措施：喷水冷却容器，可能的话将容器从火场移至空旷处。灭火剂：泡沫、干粉、二氧化碳、砂土。用水灭火无效。 </w:t>
            </w:r>
          </w:p>
        </w:tc>
      </w:tr>
      <w:tr w:rsidR="004F34D9" w:rsidRPr="00123108">
        <w:trPr>
          <w:cantSplit/>
          <w:jc w:val="center"/>
        </w:trPr>
        <w:tc>
          <w:tcPr>
            <w:tcW w:w="236" w:type="pct"/>
            <w:vAlign w:val="center"/>
          </w:tcPr>
          <w:p w:rsidR="004F34D9" w:rsidRPr="00123108" w:rsidRDefault="004F34D9">
            <w:pPr>
              <w:spacing w:line="320" w:lineRule="exact"/>
              <w:jc w:val="center"/>
              <w:rPr>
                <w:rFonts w:ascii="宋体" w:hAnsi="宋体"/>
              </w:rPr>
            </w:pPr>
            <w:r w:rsidRPr="00123108">
              <w:rPr>
                <w:rFonts w:ascii="宋体" w:hAnsi="宋体" w:hint="eastAsia"/>
              </w:rPr>
              <w:t>健康危害</w:t>
            </w:r>
          </w:p>
        </w:tc>
        <w:tc>
          <w:tcPr>
            <w:tcW w:w="4764" w:type="pct"/>
            <w:gridSpan w:val="5"/>
            <w:vAlign w:val="center"/>
          </w:tcPr>
          <w:p w:rsidR="004F34D9" w:rsidRPr="00123108" w:rsidRDefault="004F34D9">
            <w:pPr>
              <w:spacing w:line="320" w:lineRule="exact"/>
              <w:rPr>
                <w:rFonts w:ascii="宋体" w:hAnsi="宋体"/>
              </w:rPr>
            </w:pPr>
            <w:r w:rsidRPr="00123108">
              <w:rPr>
                <w:rFonts w:ascii="宋体" w:hAnsi="宋体" w:hint="eastAsia"/>
              </w:rPr>
              <w:t xml:space="preserve">  侵入途径有吸入、食入、经皮吸收。对眼和上呼吸道有刺激作用，高浓度时对中枢神经系统有麻醉作用。吸本品较高浓度可出现眼及上呼吸道明显的刺激症状、眼结膜及咽部充血、头晕、头痛、恶心、呕吐、胸闷、四肢无力等。重症者可有躁动、抽搐、昏迷。长期接触可发生神经衰弱综合症，肝肿大，女工月经异常等。</w:t>
            </w:r>
          </w:p>
        </w:tc>
      </w:tr>
      <w:tr w:rsidR="004F34D9" w:rsidRPr="00123108">
        <w:trPr>
          <w:cantSplit/>
          <w:jc w:val="center"/>
        </w:trPr>
        <w:tc>
          <w:tcPr>
            <w:tcW w:w="236" w:type="pct"/>
            <w:vAlign w:val="center"/>
          </w:tcPr>
          <w:p w:rsidR="004F34D9" w:rsidRPr="00123108" w:rsidRDefault="004F34D9">
            <w:pPr>
              <w:spacing w:line="320" w:lineRule="exact"/>
              <w:jc w:val="center"/>
              <w:rPr>
                <w:rFonts w:ascii="宋体" w:hAnsi="宋体"/>
              </w:rPr>
            </w:pPr>
            <w:r w:rsidRPr="00123108">
              <w:rPr>
                <w:rFonts w:ascii="宋体" w:hAnsi="宋体" w:hint="eastAsia"/>
              </w:rPr>
              <w:t>泄漏应急处理</w:t>
            </w:r>
          </w:p>
        </w:tc>
        <w:tc>
          <w:tcPr>
            <w:tcW w:w="4764" w:type="pct"/>
            <w:gridSpan w:val="5"/>
            <w:vAlign w:val="center"/>
          </w:tcPr>
          <w:p w:rsidR="004F34D9" w:rsidRPr="00123108" w:rsidRDefault="004F34D9">
            <w:pPr>
              <w:pStyle w:val="a9"/>
              <w:spacing w:line="320" w:lineRule="exact"/>
              <w:ind w:firstLine="0"/>
              <w:rPr>
                <w:rFonts w:hAnsi="宋体"/>
                <w:sz w:val="21"/>
                <w:szCs w:val="24"/>
              </w:rPr>
            </w:pPr>
            <w:r w:rsidRPr="00123108">
              <w:rPr>
                <w:rFonts w:hAnsi="宋体" w:hint="eastAsia"/>
                <w:sz w:val="21"/>
                <w:szCs w:val="24"/>
              </w:rPr>
              <w:t>迅速撤离污染区人员到上风处，并进行隔离严格限制进出。切断火源。建议应急处理人员戴自给正压式呼吸器，穿消防防护服。尽可能切断泄漏源。防止进入下水道、排洪等限制性空间。小量泄漏：用活性炭或其他惰性材料吸收。也可以用不燃性分散剂制成的乳液刷洗，洗液稀释后放入废水系统。大量泄漏：构筑围堤或挖坑收容。用泡沫覆盖，抑制蒸发。用防爆泵转移至槽车或专用收集器内，回收或运至废物处理场所处置。</w:t>
            </w:r>
          </w:p>
        </w:tc>
      </w:tr>
      <w:tr w:rsidR="004F34D9" w:rsidRPr="00123108">
        <w:trPr>
          <w:cantSplit/>
          <w:jc w:val="center"/>
        </w:trPr>
        <w:tc>
          <w:tcPr>
            <w:tcW w:w="236" w:type="pct"/>
            <w:vAlign w:val="center"/>
          </w:tcPr>
          <w:p w:rsidR="004F34D9" w:rsidRPr="00123108" w:rsidRDefault="004F34D9">
            <w:pPr>
              <w:spacing w:line="320" w:lineRule="exact"/>
              <w:jc w:val="center"/>
              <w:rPr>
                <w:rFonts w:ascii="宋体" w:hAnsi="宋体"/>
              </w:rPr>
            </w:pPr>
            <w:r w:rsidRPr="00123108">
              <w:rPr>
                <w:rFonts w:ascii="宋体" w:hAnsi="宋体" w:hint="eastAsia"/>
              </w:rPr>
              <w:t>急救措施</w:t>
            </w:r>
          </w:p>
        </w:tc>
        <w:tc>
          <w:tcPr>
            <w:tcW w:w="4764" w:type="pct"/>
            <w:gridSpan w:val="5"/>
            <w:vAlign w:val="center"/>
          </w:tcPr>
          <w:p w:rsidR="004F34D9" w:rsidRPr="00123108" w:rsidRDefault="004F34D9">
            <w:pPr>
              <w:spacing w:line="320" w:lineRule="exact"/>
              <w:rPr>
                <w:rFonts w:ascii="宋体" w:hAnsi="宋体"/>
              </w:rPr>
            </w:pPr>
            <w:r w:rsidRPr="00123108">
              <w:rPr>
                <w:rFonts w:ascii="宋体" w:hAnsi="宋体" w:hint="eastAsia"/>
              </w:rPr>
              <w:t>皮肤接触：立即脱去被污染的衣着，用肥皂水或清水冲洗。眼睛接触：立即提起眼睑，用大量流动清水彻底冲洗，就医。吸入：迅速脱离现场至空气新鲜处。保持呼吸道通畅。如呼吸困难，给输氧。如呼吸停止，立即进行人工呼吸，就医。食入：饮足量温水，催吐，就医。</w:t>
            </w:r>
          </w:p>
        </w:tc>
      </w:tr>
      <w:tr w:rsidR="004F34D9" w:rsidRPr="00123108">
        <w:trPr>
          <w:cantSplit/>
          <w:jc w:val="center"/>
        </w:trPr>
        <w:tc>
          <w:tcPr>
            <w:tcW w:w="236" w:type="pct"/>
            <w:vMerge w:val="restart"/>
            <w:vAlign w:val="center"/>
          </w:tcPr>
          <w:p w:rsidR="004F34D9" w:rsidRPr="00123108" w:rsidRDefault="004F34D9">
            <w:pPr>
              <w:spacing w:line="320" w:lineRule="exact"/>
              <w:jc w:val="center"/>
              <w:rPr>
                <w:rFonts w:ascii="宋体" w:hAnsi="宋体"/>
              </w:rPr>
            </w:pPr>
            <w:r w:rsidRPr="00123108">
              <w:rPr>
                <w:rFonts w:ascii="宋体" w:hAnsi="宋体" w:hint="eastAsia"/>
              </w:rPr>
              <w:t>储运</w:t>
            </w:r>
          </w:p>
        </w:tc>
        <w:tc>
          <w:tcPr>
            <w:tcW w:w="1507" w:type="pct"/>
            <w:gridSpan w:val="2"/>
            <w:vAlign w:val="center"/>
          </w:tcPr>
          <w:p w:rsidR="004F34D9" w:rsidRPr="00123108" w:rsidRDefault="004F34D9">
            <w:pPr>
              <w:spacing w:line="320" w:lineRule="exact"/>
              <w:rPr>
                <w:rFonts w:ascii="宋体" w:hAnsi="宋体"/>
              </w:rPr>
            </w:pPr>
            <w:r w:rsidRPr="00123108">
              <w:rPr>
                <w:rFonts w:ascii="宋体" w:hAnsi="宋体" w:hint="eastAsia"/>
              </w:rPr>
              <w:t>UN编号  1307</w:t>
            </w:r>
          </w:p>
        </w:tc>
        <w:tc>
          <w:tcPr>
            <w:tcW w:w="820" w:type="pct"/>
            <w:gridSpan w:val="2"/>
            <w:vAlign w:val="center"/>
          </w:tcPr>
          <w:p w:rsidR="004F34D9" w:rsidRPr="00123108" w:rsidRDefault="004F34D9">
            <w:pPr>
              <w:spacing w:line="320" w:lineRule="exact"/>
              <w:rPr>
                <w:rFonts w:ascii="宋体" w:hAnsi="宋体"/>
              </w:rPr>
            </w:pPr>
            <w:r w:rsidRPr="00123108">
              <w:rPr>
                <w:rFonts w:ascii="宋体" w:hAnsi="宋体" w:hint="eastAsia"/>
              </w:rPr>
              <w:t>包装标志   7</w:t>
            </w:r>
          </w:p>
        </w:tc>
        <w:tc>
          <w:tcPr>
            <w:tcW w:w="2437" w:type="pct"/>
            <w:vAlign w:val="center"/>
          </w:tcPr>
          <w:p w:rsidR="004F34D9" w:rsidRPr="00123108" w:rsidRDefault="004F34D9">
            <w:pPr>
              <w:spacing w:line="320" w:lineRule="exact"/>
              <w:rPr>
                <w:rFonts w:ascii="宋体" w:hAnsi="宋体"/>
              </w:rPr>
            </w:pPr>
          </w:p>
        </w:tc>
      </w:tr>
      <w:tr w:rsidR="004F34D9" w:rsidRPr="00123108">
        <w:trPr>
          <w:cantSplit/>
          <w:jc w:val="center"/>
        </w:trPr>
        <w:tc>
          <w:tcPr>
            <w:tcW w:w="236" w:type="pct"/>
            <w:vMerge/>
            <w:vAlign w:val="center"/>
          </w:tcPr>
          <w:p w:rsidR="004F34D9" w:rsidRPr="00123108" w:rsidRDefault="004F34D9">
            <w:pPr>
              <w:spacing w:line="320" w:lineRule="exact"/>
              <w:jc w:val="center"/>
              <w:rPr>
                <w:rFonts w:ascii="宋体" w:hAnsi="宋体"/>
              </w:rPr>
            </w:pPr>
          </w:p>
        </w:tc>
        <w:tc>
          <w:tcPr>
            <w:tcW w:w="4764" w:type="pct"/>
            <w:gridSpan w:val="5"/>
            <w:vAlign w:val="center"/>
          </w:tcPr>
          <w:p w:rsidR="004F34D9" w:rsidRPr="00123108" w:rsidRDefault="004F34D9" w:rsidP="00E97DEC">
            <w:pPr>
              <w:spacing w:line="320" w:lineRule="exact"/>
              <w:rPr>
                <w:rFonts w:ascii="宋体" w:hAnsi="宋体"/>
              </w:rPr>
            </w:pPr>
            <w:r w:rsidRPr="00123108">
              <w:rPr>
                <w:rFonts w:ascii="宋体" w:hAnsi="宋体" w:hint="eastAsia"/>
              </w:rPr>
              <w:t>包装分类和方法：Ⅲ 小开口钢桶；螺纹口玻璃瓶、铁盖压口玻璃瓶、塑料瓶或金属桶（罐）外木板箱。</w:t>
            </w:r>
          </w:p>
        </w:tc>
      </w:tr>
      <w:tr w:rsidR="004F34D9" w:rsidRPr="00123108">
        <w:trPr>
          <w:cantSplit/>
          <w:jc w:val="center"/>
        </w:trPr>
        <w:tc>
          <w:tcPr>
            <w:tcW w:w="236" w:type="pct"/>
            <w:vMerge/>
            <w:vAlign w:val="center"/>
          </w:tcPr>
          <w:p w:rsidR="004F34D9" w:rsidRPr="00123108" w:rsidRDefault="004F34D9">
            <w:pPr>
              <w:spacing w:line="320" w:lineRule="exact"/>
              <w:jc w:val="center"/>
              <w:rPr>
                <w:rFonts w:ascii="宋体" w:hAnsi="宋体"/>
              </w:rPr>
            </w:pPr>
          </w:p>
        </w:tc>
        <w:tc>
          <w:tcPr>
            <w:tcW w:w="4764" w:type="pct"/>
            <w:gridSpan w:val="5"/>
            <w:vAlign w:val="center"/>
          </w:tcPr>
          <w:p w:rsidR="004F34D9" w:rsidRPr="00123108" w:rsidRDefault="004F34D9" w:rsidP="00E97DEC">
            <w:pPr>
              <w:spacing w:line="320" w:lineRule="exact"/>
              <w:rPr>
                <w:rFonts w:ascii="宋体" w:hAnsi="宋体"/>
              </w:rPr>
            </w:pPr>
            <w:r w:rsidRPr="00123108">
              <w:rPr>
                <w:rFonts w:ascii="宋体" w:hAnsi="宋体" w:hint="eastAsia"/>
              </w:rPr>
              <w:t>运输注意事项：灌装时应注意流速（不超过3m/s），且有接地装置，防止静电积聚。搬运时要轻装轻卸，防止包装及容器损坏。</w:t>
            </w:r>
          </w:p>
        </w:tc>
      </w:tr>
      <w:tr w:rsidR="004F34D9" w:rsidRPr="00123108">
        <w:trPr>
          <w:cantSplit/>
          <w:jc w:val="center"/>
        </w:trPr>
        <w:tc>
          <w:tcPr>
            <w:tcW w:w="236" w:type="pct"/>
            <w:vMerge/>
            <w:vAlign w:val="center"/>
          </w:tcPr>
          <w:p w:rsidR="004F34D9" w:rsidRPr="00123108" w:rsidRDefault="004F34D9">
            <w:pPr>
              <w:spacing w:line="320" w:lineRule="exact"/>
              <w:jc w:val="center"/>
              <w:rPr>
                <w:rFonts w:ascii="宋体" w:hAnsi="宋体"/>
              </w:rPr>
            </w:pPr>
          </w:p>
        </w:tc>
        <w:tc>
          <w:tcPr>
            <w:tcW w:w="4764" w:type="pct"/>
            <w:gridSpan w:val="5"/>
            <w:vAlign w:val="center"/>
          </w:tcPr>
          <w:p w:rsidR="004F34D9" w:rsidRPr="00123108" w:rsidRDefault="004F34D9" w:rsidP="00E97DEC">
            <w:pPr>
              <w:spacing w:line="320" w:lineRule="exact"/>
              <w:rPr>
                <w:rFonts w:ascii="宋体" w:hAnsi="宋体"/>
              </w:rPr>
            </w:pPr>
            <w:r w:rsidRPr="00123108">
              <w:rPr>
                <w:rFonts w:ascii="宋体" w:hAnsi="宋体" w:hint="eastAsia"/>
              </w:rPr>
              <w:t>储存注意事项：储存于阴凉、通风仓间内。仓内温度不宜超过30℃。远离火种、热源。防止阳光直射。保持容器密封。应与氧化剂分开存放。储存间内的照明、通风等设施应采用防爆型，开关设在仓外。配备相应品种和数量的消防器材。罐储时要有防火放爆措施。露天储罐夏季要有降温措施。禁止使用易产生火花的机械设备和工具。</w:t>
            </w:r>
          </w:p>
        </w:tc>
      </w:tr>
    </w:tbl>
    <w:p w:rsidR="004F34D9" w:rsidRPr="00123108" w:rsidRDefault="004F34D9">
      <w:pPr>
        <w:rPr>
          <w:rFonts w:ascii="宋体" w:hAnsi="宋体"/>
        </w:rPr>
      </w:pPr>
    </w:p>
    <w:p w:rsidR="004F34D9" w:rsidRPr="00123108" w:rsidRDefault="004F34D9">
      <w:pPr>
        <w:jc w:val="center"/>
        <w:rPr>
          <w:rFonts w:ascii="黑体" w:eastAsia="黑体" w:hAnsi="黑体" w:hint="eastAsia"/>
          <w:sz w:val="28"/>
          <w:szCs w:val="28"/>
        </w:rPr>
      </w:pPr>
      <w:bookmarkStart w:id="1979" w:name="_Toc381015511"/>
      <w:r w:rsidRPr="00123108">
        <w:rPr>
          <w:rFonts w:ascii="黑体" w:eastAsia="黑体" w:hAnsi="黑体" w:hint="eastAsia"/>
          <w:sz w:val="28"/>
          <w:szCs w:val="28"/>
        </w:rPr>
        <w:t>附表4.1-8氢氧化钠溶液（液碱）的理化及危险特性表</w:t>
      </w:r>
      <w:bookmarkEnd w:id="1979"/>
    </w:p>
    <w:tbl>
      <w:tblPr>
        <w:tblW w:w="917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3707"/>
        <w:gridCol w:w="2427"/>
        <w:gridCol w:w="2552"/>
      </w:tblGrid>
      <w:tr w:rsidR="004F34D9" w:rsidRPr="00123108">
        <w:trPr>
          <w:cantSplit/>
          <w:trHeight w:val="20"/>
          <w:jc w:val="center"/>
        </w:trPr>
        <w:tc>
          <w:tcPr>
            <w:tcW w:w="488" w:type="dxa"/>
            <w:vMerge w:val="restart"/>
            <w:vAlign w:val="center"/>
          </w:tcPr>
          <w:p w:rsidR="004F34D9" w:rsidRPr="00123108" w:rsidRDefault="004F34D9">
            <w:pPr>
              <w:spacing w:line="320" w:lineRule="exact"/>
              <w:rPr>
                <w:rFonts w:ascii="宋体" w:hAnsi="宋体" w:hint="eastAsia"/>
              </w:rPr>
            </w:pPr>
            <w:r w:rsidRPr="00123108">
              <w:rPr>
                <w:rFonts w:ascii="宋体" w:hAnsi="宋体" w:hint="eastAsia"/>
              </w:rPr>
              <w:t xml:space="preserve">标  </w:t>
            </w:r>
            <w:r w:rsidRPr="00123108">
              <w:rPr>
                <w:rFonts w:ascii="宋体" w:hAnsi="宋体" w:hint="eastAsia"/>
              </w:rPr>
              <w:lastRenderedPageBreak/>
              <w:t>识</w:t>
            </w:r>
          </w:p>
        </w:tc>
        <w:tc>
          <w:tcPr>
            <w:tcW w:w="3707" w:type="dxa"/>
            <w:vAlign w:val="center"/>
          </w:tcPr>
          <w:p w:rsidR="004F34D9" w:rsidRPr="00123108" w:rsidRDefault="004F34D9">
            <w:pPr>
              <w:spacing w:line="320" w:lineRule="exact"/>
              <w:rPr>
                <w:rFonts w:ascii="宋体" w:hAnsi="宋体" w:hint="eastAsia"/>
              </w:rPr>
            </w:pPr>
            <w:r w:rsidRPr="00123108">
              <w:rPr>
                <w:rFonts w:ascii="宋体" w:hAnsi="宋体" w:hint="eastAsia"/>
              </w:rPr>
              <w:lastRenderedPageBreak/>
              <w:t>中文名：氢氧化钠（水溶液）；液碱</w:t>
            </w:r>
          </w:p>
        </w:tc>
        <w:tc>
          <w:tcPr>
            <w:tcW w:w="4979" w:type="dxa"/>
            <w:gridSpan w:val="2"/>
            <w:vAlign w:val="center"/>
          </w:tcPr>
          <w:p w:rsidR="004F34D9" w:rsidRPr="00123108" w:rsidRDefault="004F34D9">
            <w:pPr>
              <w:spacing w:line="320" w:lineRule="exact"/>
              <w:rPr>
                <w:rFonts w:ascii="宋体" w:hAnsi="宋体" w:hint="eastAsia"/>
                <w:spacing w:val="-20"/>
              </w:rPr>
            </w:pPr>
            <w:r w:rsidRPr="00123108">
              <w:rPr>
                <w:rFonts w:ascii="宋体" w:hAnsi="宋体" w:hint="eastAsia"/>
                <w:spacing w:val="-20"/>
              </w:rPr>
              <w:t>英文名</w:t>
            </w:r>
            <w:r w:rsidRPr="00123108">
              <w:rPr>
                <w:rFonts w:ascii="宋体" w:hAnsi="宋体" w:hint="eastAsia"/>
                <w:spacing w:val="-20"/>
                <w:lang w:val="en-GB"/>
              </w:rPr>
              <w:t>：</w:t>
            </w:r>
            <w:r w:rsidRPr="00123108">
              <w:rPr>
                <w:rFonts w:ascii="宋体" w:hAnsi="宋体" w:hint="eastAsia"/>
                <w:spacing w:val="-20"/>
              </w:rPr>
              <w:t>sodiun hydroxide</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rPr>
            </w:pPr>
          </w:p>
        </w:tc>
        <w:tc>
          <w:tcPr>
            <w:tcW w:w="3707" w:type="dxa"/>
            <w:vAlign w:val="center"/>
          </w:tcPr>
          <w:p w:rsidR="004F34D9" w:rsidRPr="00123108" w:rsidRDefault="004F34D9">
            <w:pPr>
              <w:spacing w:line="320" w:lineRule="exact"/>
              <w:rPr>
                <w:rFonts w:ascii="宋体" w:hAnsi="宋体" w:hint="eastAsia"/>
              </w:rPr>
            </w:pPr>
            <w:r w:rsidRPr="00123108">
              <w:rPr>
                <w:rFonts w:ascii="宋体" w:hAnsi="宋体" w:hint="eastAsia"/>
              </w:rPr>
              <w:t>分子式</w:t>
            </w:r>
            <w:r w:rsidRPr="00123108">
              <w:rPr>
                <w:rFonts w:ascii="宋体" w:hAnsi="宋体" w:hint="eastAsia"/>
                <w:lang w:val="en-GB"/>
              </w:rPr>
              <w:t>：</w:t>
            </w:r>
            <w:r w:rsidRPr="00123108">
              <w:rPr>
                <w:rFonts w:ascii="宋体" w:hAnsi="宋体"/>
              </w:rPr>
              <w:t>NaOH</w:t>
            </w:r>
          </w:p>
        </w:tc>
        <w:tc>
          <w:tcPr>
            <w:tcW w:w="2427" w:type="dxa"/>
            <w:vAlign w:val="center"/>
          </w:tcPr>
          <w:p w:rsidR="004F34D9" w:rsidRPr="00123108" w:rsidRDefault="004F34D9">
            <w:pPr>
              <w:spacing w:line="320" w:lineRule="exact"/>
              <w:rPr>
                <w:rFonts w:ascii="宋体" w:hAnsi="宋体" w:hint="eastAsia"/>
              </w:rPr>
            </w:pPr>
            <w:r w:rsidRPr="00123108">
              <w:rPr>
                <w:rFonts w:ascii="宋体" w:hAnsi="宋体" w:hint="eastAsia"/>
              </w:rPr>
              <w:t xml:space="preserve">分子量：40.1 </w:t>
            </w:r>
          </w:p>
        </w:tc>
        <w:tc>
          <w:tcPr>
            <w:tcW w:w="2552" w:type="dxa"/>
            <w:vAlign w:val="center"/>
          </w:tcPr>
          <w:p w:rsidR="004F34D9" w:rsidRPr="00123108" w:rsidRDefault="004F34D9">
            <w:pPr>
              <w:spacing w:line="320" w:lineRule="exact"/>
              <w:rPr>
                <w:rFonts w:ascii="宋体" w:hAnsi="宋体" w:hint="eastAsia"/>
              </w:rPr>
            </w:pPr>
            <w:r w:rsidRPr="00123108">
              <w:rPr>
                <w:rFonts w:ascii="宋体" w:hAnsi="宋体" w:hint="eastAsia"/>
              </w:rPr>
              <w:t>UN编号：1824</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rPr>
            </w:pPr>
          </w:p>
        </w:tc>
        <w:tc>
          <w:tcPr>
            <w:tcW w:w="3707" w:type="dxa"/>
            <w:vAlign w:val="center"/>
          </w:tcPr>
          <w:p w:rsidR="004F34D9" w:rsidRPr="00123108" w:rsidRDefault="004F34D9">
            <w:pPr>
              <w:spacing w:line="320" w:lineRule="exact"/>
              <w:rPr>
                <w:rFonts w:ascii="宋体" w:hAnsi="宋体" w:hint="eastAsia"/>
              </w:rPr>
            </w:pPr>
            <w:r w:rsidRPr="00123108">
              <w:rPr>
                <w:rFonts w:ascii="宋体" w:hAnsi="宋体" w:hint="eastAsia"/>
              </w:rPr>
              <w:t>危险类别：第8</w:t>
            </w:r>
            <w:r w:rsidRPr="00123108">
              <w:rPr>
                <w:rFonts w:ascii="宋体" w:hAnsi="宋体"/>
              </w:rPr>
              <w:t>.</w:t>
            </w:r>
            <w:r w:rsidRPr="00123108">
              <w:rPr>
                <w:rFonts w:ascii="宋体" w:hAnsi="宋体" w:hint="eastAsia"/>
              </w:rPr>
              <w:t>2类碱性腐蚀品</w:t>
            </w:r>
          </w:p>
        </w:tc>
        <w:tc>
          <w:tcPr>
            <w:tcW w:w="2427" w:type="dxa"/>
            <w:vAlign w:val="center"/>
          </w:tcPr>
          <w:p w:rsidR="004F34D9" w:rsidRPr="00123108" w:rsidRDefault="004F34D9">
            <w:pPr>
              <w:spacing w:line="320" w:lineRule="exact"/>
              <w:rPr>
                <w:rFonts w:ascii="宋体" w:hAnsi="宋体" w:hint="eastAsia"/>
              </w:rPr>
            </w:pPr>
            <w:r w:rsidRPr="00123108">
              <w:rPr>
                <w:rFonts w:ascii="宋体" w:hAnsi="宋体" w:hint="eastAsia"/>
                <w:szCs w:val="21"/>
              </w:rPr>
              <w:t>危化品目录序号：1669</w:t>
            </w:r>
          </w:p>
        </w:tc>
        <w:tc>
          <w:tcPr>
            <w:tcW w:w="2552" w:type="dxa"/>
            <w:vAlign w:val="center"/>
          </w:tcPr>
          <w:p w:rsidR="004F34D9" w:rsidRPr="00123108" w:rsidRDefault="004F34D9">
            <w:pPr>
              <w:spacing w:line="320" w:lineRule="exact"/>
              <w:rPr>
                <w:rFonts w:ascii="宋体" w:hAnsi="宋体" w:hint="eastAsia"/>
              </w:rPr>
            </w:pPr>
            <w:r w:rsidRPr="00123108">
              <w:rPr>
                <w:rFonts w:ascii="宋体" w:hAnsi="宋体" w:hint="eastAsia"/>
              </w:rPr>
              <w:t>CAS号：1310-73-2</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rPr>
            </w:pPr>
          </w:p>
        </w:tc>
        <w:tc>
          <w:tcPr>
            <w:tcW w:w="3707" w:type="dxa"/>
            <w:vAlign w:val="center"/>
          </w:tcPr>
          <w:p w:rsidR="004F34D9" w:rsidRPr="00123108" w:rsidRDefault="004F34D9">
            <w:pPr>
              <w:spacing w:line="320" w:lineRule="exact"/>
              <w:rPr>
                <w:rFonts w:ascii="宋体" w:hAnsi="宋体" w:hint="eastAsia"/>
              </w:rPr>
            </w:pPr>
            <w:r w:rsidRPr="00123108">
              <w:rPr>
                <w:rFonts w:ascii="宋体" w:hAnsi="宋体" w:hint="eastAsia"/>
              </w:rPr>
              <w:t>包装标志：腐蚀品</w:t>
            </w:r>
          </w:p>
        </w:tc>
        <w:tc>
          <w:tcPr>
            <w:tcW w:w="4979" w:type="dxa"/>
            <w:gridSpan w:val="2"/>
            <w:vAlign w:val="center"/>
          </w:tcPr>
          <w:p w:rsidR="004F34D9" w:rsidRPr="00123108" w:rsidRDefault="004F34D9">
            <w:pPr>
              <w:spacing w:line="320" w:lineRule="exact"/>
              <w:rPr>
                <w:rFonts w:ascii="宋体" w:hAnsi="宋体" w:hint="eastAsia"/>
              </w:rPr>
            </w:pPr>
            <w:r w:rsidRPr="00123108">
              <w:rPr>
                <w:rFonts w:ascii="宋体" w:hAnsi="宋体" w:hint="eastAsia"/>
              </w:rPr>
              <w:t>包装类别：Ⅱ类</w:t>
            </w:r>
          </w:p>
        </w:tc>
      </w:tr>
      <w:tr w:rsidR="004F34D9" w:rsidRPr="00123108">
        <w:trPr>
          <w:cantSplit/>
          <w:trHeight w:val="20"/>
          <w:jc w:val="center"/>
        </w:trPr>
        <w:tc>
          <w:tcPr>
            <w:tcW w:w="488" w:type="dxa"/>
            <w:vMerge w:val="restart"/>
            <w:vAlign w:val="center"/>
          </w:tcPr>
          <w:p w:rsidR="004F34D9" w:rsidRPr="00123108" w:rsidRDefault="004F34D9">
            <w:pPr>
              <w:spacing w:line="320" w:lineRule="exact"/>
              <w:rPr>
                <w:rFonts w:ascii="宋体" w:hAnsi="宋体" w:hint="eastAsia"/>
              </w:rPr>
            </w:pPr>
            <w:r w:rsidRPr="00123108">
              <w:rPr>
                <w:rFonts w:ascii="宋体" w:hAnsi="宋体" w:hint="eastAsia"/>
              </w:rPr>
              <w:t>理 化 性 质</w:t>
            </w:r>
          </w:p>
        </w:tc>
        <w:tc>
          <w:tcPr>
            <w:tcW w:w="8686" w:type="dxa"/>
            <w:gridSpan w:val="3"/>
            <w:vAlign w:val="center"/>
          </w:tcPr>
          <w:p w:rsidR="004F34D9" w:rsidRPr="00123108" w:rsidRDefault="004F34D9">
            <w:pPr>
              <w:spacing w:line="320" w:lineRule="exact"/>
              <w:rPr>
                <w:rFonts w:ascii="宋体" w:hAnsi="宋体" w:hint="eastAsia"/>
                <w:b/>
                <w:bCs/>
              </w:rPr>
            </w:pPr>
            <w:r w:rsidRPr="00123108">
              <w:rPr>
                <w:rFonts w:ascii="宋体" w:hAnsi="宋体" w:hint="eastAsia"/>
                <w:bCs/>
              </w:rPr>
              <w:t>外观与性状：</w:t>
            </w:r>
            <w:r w:rsidRPr="00123108">
              <w:rPr>
                <w:rFonts w:ascii="宋体" w:hAnsi="宋体" w:hint="eastAsia"/>
              </w:rPr>
              <w:t>无色透明液体</w:t>
            </w:r>
            <w:r w:rsidRPr="00123108">
              <w:rPr>
                <w:rFonts w:ascii="宋体" w:hAnsi="宋体" w:hint="eastAsia"/>
                <w:bCs/>
              </w:rPr>
              <w:t>。</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rPr>
            </w:pPr>
          </w:p>
        </w:tc>
        <w:tc>
          <w:tcPr>
            <w:tcW w:w="8686" w:type="dxa"/>
            <w:gridSpan w:val="3"/>
            <w:vAlign w:val="center"/>
          </w:tcPr>
          <w:p w:rsidR="004F34D9" w:rsidRPr="00123108" w:rsidRDefault="004F34D9">
            <w:pPr>
              <w:spacing w:line="320" w:lineRule="exact"/>
              <w:rPr>
                <w:rFonts w:ascii="宋体" w:hAnsi="宋体" w:hint="eastAsia"/>
                <w:b/>
                <w:bCs/>
              </w:rPr>
            </w:pPr>
            <w:r w:rsidRPr="00123108">
              <w:rPr>
                <w:rFonts w:ascii="宋体" w:hAnsi="宋体" w:hint="eastAsia"/>
              </w:rPr>
              <w:t>溶解性：易溶于水、乙醇、甘油，不溶于丙酮。</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rPr>
            </w:pPr>
          </w:p>
        </w:tc>
        <w:tc>
          <w:tcPr>
            <w:tcW w:w="3707" w:type="dxa"/>
            <w:vAlign w:val="center"/>
          </w:tcPr>
          <w:p w:rsidR="004F34D9" w:rsidRPr="00123108" w:rsidRDefault="004F34D9">
            <w:pPr>
              <w:spacing w:line="320" w:lineRule="exact"/>
              <w:rPr>
                <w:rFonts w:ascii="宋体" w:hAnsi="宋体" w:hint="eastAsia"/>
              </w:rPr>
            </w:pPr>
            <w:r w:rsidRPr="00123108">
              <w:rPr>
                <w:rFonts w:ascii="宋体" w:hAnsi="宋体" w:hint="eastAsia"/>
              </w:rPr>
              <w:t>熔点（℃）  无资料</w:t>
            </w:r>
          </w:p>
        </w:tc>
        <w:tc>
          <w:tcPr>
            <w:tcW w:w="4979" w:type="dxa"/>
            <w:gridSpan w:val="2"/>
            <w:vAlign w:val="center"/>
          </w:tcPr>
          <w:p w:rsidR="004F34D9" w:rsidRPr="00123108" w:rsidRDefault="004F34D9">
            <w:pPr>
              <w:spacing w:line="320" w:lineRule="exact"/>
              <w:rPr>
                <w:rFonts w:ascii="宋体" w:hAnsi="宋体" w:hint="eastAsia"/>
              </w:rPr>
            </w:pPr>
            <w:r w:rsidRPr="00123108">
              <w:rPr>
                <w:rFonts w:ascii="宋体" w:hAnsi="宋体" w:hint="eastAsia"/>
              </w:rPr>
              <w:t>沸点（℃）  无资料</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rPr>
            </w:pPr>
          </w:p>
        </w:tc>
        <w:tc>
          <w:tcPr>
            <w:tcW w:w="3707" w:type="dxa"/>
            <w:vAlign w:val="center"/>
          </w:tcPr>
          <w:p w:rsidR="004F34D9" w:rsidRPr="00123108" w:rsidRDefault="004F34D9">
            <w:pPr>
              <w:spacing w:line="320" w:lineRule="exact"/>
              <w:rPr>
                <w:rFonts w:ascii="宋体" w:hAnsi="宋体" w:hint="eastAsia"/>
              </w:rPr>
            </w:pPr>
            <w:r w:rsidRPr="00123108">
              <w:rPr>
                <w:rFonts w:ascii="宋体" w:hAnsi="宋体" w:hint="eastAsia"/>
              </w:rPr>
              <w:t>相对密度（水＝1）  无资料</w:t>
            </w:r>
          </w:p>
        </w:tc>
        <w:tc>
          <w:tcPr>
            <w:tcW w:w="4979" w:type="dxa"/>
            <w:gridSpan w:val="2"/>
            <w:vAlign w:val="center"/>
          </w:tcPr>
          <w:p w:rsidR="004F34D9" w:rsidRPr="00123108" w:rsidRDefault="004F34D9">
            <w:pPr>
              <w:spacing w:line="320" w:lineRule="exact"/>
              <w:rPr>
                <w:rFonts w:ascii="宋体" w:hAnsi="宋体" w:hint="eastAsia"/>
              </w:rPr>
            </w:pPr>
            <w:r w:rsidRPr="00123108">
              <w:rPr>
                <w:rFonts w:ascii="宋体" w:hAnsi="宋体" w:hint="eastAsia"/>
              </w:rPr>
              <w:t>相对密度（空气＝1）  无资料</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rPr>
            </w:pPr>
          </w:p>
        </w:tc>
        <w:tc>
          <w:tcPr>
            <w:tcW w:w="3707" w:type="dxa"/>
            <w:vAlign w:val="center"/>
          </w:tcPr>
          <w:p w:rsidR="004F34D9" w:rsidRPr="00123108" w:rsidRDefault="004F34D9">
            <w:pPr>
              <w:spacing w:line="320" w:lineRule="exact"/>
              <w:rPr>
                <w:rFonts w:ascii="宋体" w:hAnsi="宋体" w:hint="eastAsia"/>
              </w:rPr>
            </w:pPr>
            <w:r w:rsidRPr="00123108">
              <w:rPr>
                <w:rFonts w:ascii="宋体" w:hAnsi="宋体" w:hint="eastAsia"/>
              </w:rPr>
              <w:t>饱和蒸气压（kPa）无资料</w:t>
            </w:r>
          </w:p>
        </w:tc>
        <w:tc>
          <w:tcPr>
            <w:tcW w:w="4979" w:type="dxa"/>
            <w:gridSpan w:val="2"/>
            <w:vAlign w:val="center"/>
          </w:tcPr>
          <w:p w:rsidR="004F34D9" w:rsidRPr="00123108" w:rsidRDefault="004F34D9">
            <w:pPr>
              <w:spacing w:line="320" w:lineRule="exact"/>
              <w:rPr>
                <w:rFonts w:ascii="宋体" w:hAnsi="宋体" w:hint="eastAsia"/>
              </w:rPr>
            </w:pPr>
            <w:r w:rsidRPr="00123108">
              <w:rPr>
                <w:rFonts w:ascii="宋体" w:hAnsi="宋体" w:hint="eastAsia"/>
              </w:rPr>
              <w:t>燃烧热（kJ/mol）   无意义</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rPr>
            </w:pPr>
          </w:p>
        </w:tc>
        <w:tc>
          <w:tcPr>
            <w:tcW w:w="3707" w:type="dxa"/>
            <w:vAlign w:val="center"/>
          </w:tcPr>
          <w:p w:rsidR="004F34D9" w:rsidRPr="00123108" w:rsidRDefault="004F34D9">
            <w:pPr>
              <w:spacing w:line="320" w:lineRule="exact"/>
              <w:rPr>
                <w:rFonts w:ascii="宋体" w:hAnsi="宋体" w:hint="eastAsia"/>
              </w:rPr>
            </w:pPr>
            <w:r w:rsidRPr="00123108">
              <w:rPr>
                <w:rFonts w:ascii="宋体" w:hAnsi="宋体" w:hint="eastAsia"/>
              </w:rPr>
              <w:t>临界温度（℃） —</w:t>
            </w:r>
          </w:p>
        </w:tc>
        <w:tc>
          <w:tcPr>
            <w:tcW w:w="4979" w:type="dxa"/>
            <w:gridSpan w:val="2"/>
            <w:vAlign w:val="center"/>
          </w:tcPr>
          <w:p w:rsidR="004F34D9" w:rsidRPr="00123108" w:rsidRDefault="004F34D9">
            <w:pPr>
              <w:spacing w:line="320" w:lineRule="exact"/>
              <w:rPr>
                <w:rFonts w:ascii="宋体" w:hAnsi="宋体" w:hint="eastAsia"/>
              </w:rPr>
            </w:pPr>
            <w:r w:rsidRPr="00123108">
              <w:rPr>
                <w:rFonts w:ascii="宋体" w:hAnsi="宋体" w:hint="eastAsia"/>
              </w:rPr>
              <w:t>临界压力（MPa） —</w:t>
            </w:r>
          </w:p>
        </w:tc>
      </w:tr>
      <w:tr w:rsidR="004F34D9" w:rsidRPr="00123108">
        <w:trPr>
          <w:cantSplit/>
          <w:trHeight w:val="20"/>
          <w:jc w:val="center"/>
        </w:trPr>
        <w:tc>
          <w:tcPr>
            <w:tcW w:w="488" w:type="dxa"/>
            <w:vMerge w:val="restart"/>
            <w:vAlign w:val="center"/>
          </w:tcPr>
          <w:p w:rsidR="004F34D9" w:rsidRPr="00123108" w:rsidRDefault="004F34D9">
            <w:pPr>
              <w:spacing w:line="320" w:lineRule="exact"/>
              <w:rPr>
                <w:rFonts w:ascii="宋体" w:hAnsi="宋体" w:hint="eastAsia"/>
              </w:rPr>
            </w:pPr>
            <w:r w:rsidRPr="00123108">
              <w:rPr>
                <w:rFonts w:ascii="宋体" w:hAnsi="宋体" w:hint="eastAsia"/>
              </w:rPr>
              <w:t>燃烧爆炸危险性</w:t>
            </w:r>
          </w:p>
        </w:tc>
        <w:tc>
          <w:tcPr>
            <w:tcW w:w="3707" w:type="dxa"/>
            <w:vAlign w:val="center"/>
          </w:tcPr>
          <w:p w:rsidR="004F34D9" w:rsidRPr="00123108" w:rsidRDefault="004F34D9">
            <w:pPr>
              <w:spacing w:line="320" w:lineRule="exact"/>
              <w:rPr>
                <w:rFonts w:ascii="宋体" w:hAnsi="宋体"/>
              </w:rPr>
            </w:pPr>
            <w:r w:rsidRPr="00123108">
              <w:rPr>
                <w:rFonts w:ascii="宋体" w:hAnsi="宋体" w:hint="eastAsia"/>
              </w:rPr>
              <w:t>燃烧性： 不燃</w:t>
            </w:r>
          </w:p>
        </w:tc>
        <w:tc>
          <w:tcPr>
            <w:tcW w:w="4979" w:type="dxa"/>
            <w:gridSpan w:val="2"/>
            <w:vAlign w:val="center"/>
          </w:tcPr>
          <w:p w:rsidR="004F34D9" w:rsidRPr="00123108" w:rsidRDefault="004F34D9">
            <w:pPr>
              <w:spacing w:line="320" w:lineRule="exact"/>
              <w:rPr>
                <w:rFonts w:ascii="宋体" w:hAnsi="宋体" w:hint="eastAsia"/>
              </w:rPr>
            </w:pPr>
            <w:r w:rsidRPr="00123108">
              <w:rPr>
                <w:rFonts w:ascii="宋体" w:hAnsi="宋体" w:hint="eastAsia"/>
              </w:rPr>
              <w:t>闪点（℃）  无意义</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rPr>
            </w:pPr>
          </w:p>
        </w:tc>
        <w:tc>
          <w:tcPr>
            <w:tcW w:w="3707" w:type="dxa"/>
            <w:vAlign w:val="center"/>
          </w:tcPr>
          <w:p w:rsidR="004F34D9" w:rsidRPr="00123108" w:rsidRDefault="004F34D9">
            <w:pPr>
              <w:spacing w:line="320" w:lineRule="exact"/>
              <w:rPr>
                <w:rFonts w:ascii="宋体" w:hAnsi="宋体" w:hint="eastAsia"/>
              </w:rPr>
            </w:pPr>
            <w:r w:rsidRPr="00123108">
              <w:rPr>
                <w:rFonts w:ascii="宋体" w:hAnsi="宋体" w:hint="eastAsia"/>
              </w:rPr>
              <w:t>爆炸下限（%）无意义</w:t>
            </w:r>
          </w:p>
        </w:tc>
        <w:tc>
          <w:tcPr>
            <w:tcW w:w="4979" w:type="dxa"/>
            <w:gridSpan w:val="2"/>
            <w:vAlign w:val="center"/>
          </w:tcPr>
          <w:p w:rsidR="004F34D9" w:rsidRPr="00123108" w:rsidRDefault="004F34D9">
            <w:pPr>
              <w:spacing w:line="320" w:lineRule="exact"/>
              <w:rPr>
                <w:rFonts w:ascii="宋体" w:hAnsi="宋体" w:hint="eastAsia"/>
              </w:rPr>
            </w:pPr>
            <w:r w:rsidRPr="00123108">
              <w:rPr>
                <w:rFonts w:ascii="宋体" w:hAnsi="宋体" w:hint="eastAsia"/>
              </w:rPr>
              <w:t>爆炸上限（%）  无意义</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rPr>
            </w:pPr>
          </w:p>
        </w:tc>
        <w:tc>
          <w:tcPr>
            <w:tcW w:w="3707" w:type="dxa"/>
            <w:vAlign w:val="center"/>
          </w:tcPr>
          <w:p w:rsidR="004F34D9" w:rsidRPr="00123108" w:rsidRDefault="004F34D9">
            <w:pPr>
              <w:spacing w:line="320" w:lineRule="exact"/>
              <w:rPr>
                <w:rFonts w:ascii="宋体" w:hAnsi="宋体" w:hint="eastAsia"/>
              </w:rPr>
            </w:pPr>
            <w:r w:rsidRPr="00123108">
              <w:rPr>
                <w:rFonts w:ascii="宋体" w:hAnsi="宋体" w:hint="eastAsia"/>
              </w:rPr>
              <w:t>引燃温度（℃）无意义</w:t>
            </w:r>
          </w:p>
        </w:tc>
        <w:tc>
          <w:tcPr>
            <w:tcW w:w="4979" w:type="dxa"/>
            <w:gridSpan w:val="2"/>
            <w:vAlign w:val="center"/>
          </w:tcPr>
          <w:p w:rsidR="004F34D9" w:rsidRPr="00123108" w:rsidRDefault="004F34D9">
            <w:pPr>
              <w:spacing w:line="320" w:lineRule="exact"/>
              <w:rPr>
                <w:rFonts w:ascii="宋体" w:hAnsi="宋体" w:hint="eastAsia"/>
              </w:rPr>
            </w:pPr>
            <w:r w:rsidRPr="00123108">
              <w:rPr>
                <w:rFonts w:ascii="宋体" w:hAnsi="宋体" w:hint="eastAsia"/>
              </w:rPr>
              <w:t>最小点火能：（mJ）  无意义</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rPr>
            </w:pPr>
          </w:p>
        </w:tc>
        <w:tc>
          <w:tcPr>
            <w:tcW w:w="3707" w:type="dxa"/>
            <w:vAlign w:val="center"/>
          </w:tcPr>
          <w:p w:rsidR="004F34D9" w:rsidRPr="00123108" w:rsidRDefault="004F34D9">
            <w:pPr>
              <w:spacing w:line="320" w:lineRule="exact"/>
              <w:rPr>
                <w:rFonts w:ascii="宋体" w:hAnsi="宋体" w:hint="eastAsia"/>
              </w:rPr>
            </w:pPr>
            <w:r w:rsidRPr="00123108">
              <w:rPr>
                <w:rFonts w:ascii="宋体" w:hAnsi="宋体" w:hint="eastAsia"/>
              </w:rPr>
              <w:t>最大爆炸压力（MPa）  无意义</w:t>
            </w:r>
          </w:p>
        </w:tc>
        <w:tc>
          <w:tcPr>
            <w:tcW w:w="4979" w:type="dxa"/>
            <w:gridSpan w:val="2"/>
            <w:vAlign w:val="center"/>
          </w:tcPr>
          <w:p w:rsidR="004F34D9" w:rsidRPr="00123108" w:rsidRDefault="004F34D9">
            <w:pPr>
              <w:spacing w:line="320" w:lineRule="exact"/>
              <w:rPr>
                <w:rFonts w:ascii="宋体" w:hAnsi="宋体" w:hint="eastAsia"/>
              </w:rPr>
            </w:pPr>
            <w:r w:rsidRPr="00123108">
              <w:rPr>
                <w:rFonts w:ascii="宋体" w:hAnsi="宋体" w:hint="eastAsia"/>
              </w:rPr>
              <w:t>稳定性： 稳定</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rPr>
            </w:pPr>
          </w:p>
        </w:tc>
        <w:tc>
          <w:tcPr>
            <w:tcW w:w="3707" w:type="dxa"/>
            <w:vAlign w:val="center"/>
          </w:tcPr>
          <w:p w:rsidR="004F34D9" w:rsidRPr="00123108" w:rsidRDefault="004F34D9">
            <w:pPr>
              <w:spacing w:line="320" w:lineRule="exact"/>
              <w:rPr>
                <w:rFonts w:ascii="宋体" w:hAnsi="宋体" w:hint="eastAsia"/>
              </w:rPr>
            </w:pPr>
            <w:r w:rsidRPr="00123108">
              <w:rPr>
                <w:rFonts w:ascii="宋体" w:hAnsi="宋体" w:hint="eastAsia"/>
              </w:rPr>
              <w:t>聚合危害： 不聚合</w:t>
            </w:r>
          </w:p>
        </w:tc>
        <w:tc>
          <w:tcPr>
            <w:tcW w:w="4979" w:type="dxa"/>
            <w:gridSpan w:val="2"/>
            <w:vAlign w:val="center"/>
          </w:tcPr>
          <w:p w:rsidR="004F34D9" w:rsidRPr="00123108" w:rsidRDefault="004F34D9">
            <w:pPr>
              <w:spacing w:line="320" w:lineRule="exact"/>
              <w:rPr>
                <w:rFonts w:ascii="宋体" w:hAnsi="宋体" w:hint="eastAsia"/>
              </w:rPr>
            </w:pPr>
            <w:r w:rsidRPr="00123108">
              <w:rPr>
                <w:rFonts w:ascii="宋体" w:hAnsi="宋体" w:hint="eastAsia"/>
              </w:rPr>
              <w:t>燃烧分解产物： 可能产生有害的毒性烟雾。</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rPr>
            </w:pPr>
          </w:p>
        </w:tc>
        <w:tc>
          <w:tcPr>
            <w:tcW w:w="8686" w:type="dxa"/>
            <w:gridSpan w:val="3"/>
            <w:vAlign w:val="center"/>
          </w:tcPr>
          <w:p w:rsidR="004F34D9" w:rsidRPr="00123108" w:rsidRDefault="004F34D9">
            <w:pPr>
              <w:spacing w:line="320" w:lineRule="exact"/>
              <w:rPr>
                <w:rFonts w:ascii="宋体" w:hAnsi="宋体" w:hint="eastAsia"/>
              </w:rPr>
            </w:pPr>
            <w:r w:rsidRPr="00123108">
              <w:rPr>
                <w:rFonts w:ascii="宋体" w:hAnsi="宋体" w:hint="eastAsia"/>
              </w:rPr>
              <w:t xml:space="preserve">避免接触的条件  </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rPr>
            </w:pPr>
          </w:p>
        </w:tc>
        <w:tc>
          <w:tcPr>
            <w:tcW w:w="8686" w:type="dxa"/>
            <w:gridSpan w:val="3"/>
            <w:vAlign w:val="center"/>
          </w:tcPr>
          <w:p w:rsidR="004F34D9" w:rsidRPr="00123108" w:rsidRDefault="004F34D9">
            <w:pPr>
              <w:spacing w:line="320" w:lineRule="exact"/>
              <w:rPr>
                <w:rFonts w:ascii="宋体" w:hAnsi="宋体" w:hint="eastAsia"/>
              </w:rPr>
            </w:pPr>
            <w:r w:rsidRPr="00123108">
              <w:rPr>
                <w:rFonts w:ascii="宋体" w:hAnsi="宋体" w:hint="eastAsia"/>
              </w:rPr>
              <w:t>禁忌物：强酸、易燃或可燃物、二氧化碳、过氧化物。</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rPr>
            </w:pPr>
          </w:p>
        </w:tc>
        <w:tc>
          <w:tcPr>
            <w:tcW w:w="8686" w:type="dxa"/>
            <w:gridSpan w:val="3"/>
            <w:vAlign w:val="center"/>
          </w:tcPr>
          <w:p w:rsidR="004F34D9" w:rsidRPr="00123108" w:rsidRDefault="004F34D9">
            <w:pPr>
              <w:spacing w:line="320" w:lineRule="exact"/>
              <w:rPr>
                <w:rFonts w:ascii="宋体" w:hAnsi="宋体" w:hint="eastAsia"/>
              </w:rPr>
            </w:pPr>
            <w:r w:rsidRPr="00123108">
              <w:rPr>
                <w:rFonts w:ascii="宋体" w:hAnsi="宋体" w:hint="eastAsia"/>
              </w:rPr>
              <w:t>危险特性：与酸发生中和反应并放热。遇潮时对铝、锌和锡有腐蚀性，并放出易燃易爆的氢气。本品不会燃烧，遇水和水蒸气大量放热，形成腐蚀性溶液。具有强腐蚀性。</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rPr>
            </w:pPr>
          </w:p>
        </w:tc>
        <w:tc>
          <w:tcPr>
            <w:tcW w:w="8686" w:type="dxa"/>
            <w:gridSpan w:val="3"/>
            <w:vAlign w:val="center"/>
          </w:tcPr>
          <w:p w:rsidR="004F34D9" w:rsidRPr="00123108" w:rsidRDefault="004F34D9">
            <w:pPr>
              <w:spacing w:line="320" w:lineRule="exact"/>
              <w:rPr>
                <w:rFonts w:ascii="宋体" w:hAnsi="宋体" w:hint="eastAsia"/>
              </w:rPr>
            </w:pPr>
            <w:r w:rsidRPr="00123108">
              <w:rPr>
                <w:rFonts w:ascii="宋体" w:hAnsi="宋体" w:hint="eastAsia"/>
              </w:rPr>
              <w:t xml:space="preserve">灭火方法：用水、砂土扑救、但须防止物品遇水产生飞溅，造成灼伤。 </w:t>
            </w:r>
          </w:p>
        </w:tc>
      </w:tr>
      <w:tr w:rsidR="004F34D9" w:rsidRPr="00123108">
        <w:trPr>
          <w:cantSplit/>
          <w:trHeight w:val="20"/>
          <w:jc w:val="center"/>
        </w:trPr>
        <w:tc>
          <w:tcPr>
            <w:tcW w:w="488" w:type="dxa"/>
            <w:vAlign w:val="center"/>
          </w:tcPr>
          <w:p w:rsidR="004F34D9" w:rsidRPr="00123108" w:rsidRDefault="004F34D9">
            <w:pPr>
              <w:spacing w:line="320" w:lineRule="exact"/>
              <w:rPr>
                <w:rFonts w:ascii="宋体" w:hAnsi="宋体" w:hint="eastAsia"/>
              </w:rPr>
            </w:pPr>
            <w:r w:rsidRPr="00123108">
              <w:rPr>
                <w:rFonts w:ascii="宋体" w:hAnsi="宋体" w:hint="eastAsia"/>
              </w:rPr>
              <w:t>毒性</w:t>
            </w:r>
          </w:p>
        </w:tc>
        <w:tc>
          <w:tcPr>
            <w:tcW w:w="8686" w:type="dxa"/>
            <w:gridSpan w:val="3"/>
            <w:vAlign w:val="center"/>
          </w:tcPr>
          <w:p w:rsidR="004F34D9" w:rsidRPr="00123108" w:rsidRDefault="004F34D9">
            <w:pPr>
              <w:spacing w:line="320" w:lineRule="exact"/>
              <w:rPr>
                <w:rFonts w:ascii="宋体" w:hAnsi="宋体" w:hint="eastAsia"/>
                <w:lang w:val="en-GB"/>
              </w:rPr>
            </w:pPr>
            <w:r w:rsidRPr="00123108">
              <w:rPr>
                <w:rFonts w:ascii="宋体" w:hAnsi="宋体" w:hint="eastAsia"/>
              </w:rPr>
              <w:t>LD</w:t>
            </w:r>
            <w:r w:rsidRPr="00123108">
              <w:rPr>
                <w:rFonts w:ascii="宋体" w:hAnsi="宋体" w:hint="eastAsia"/>
                <w:vertAlign w:val="subscript"/>
              </w:rPr>
              <w:t>50</w:t>
            </w:r>
            <w:r w:rsidRPr="00123108">
              <w:rPr>
                <w:rFonts w:ascii="宋体" w:hAnsi="宋体" w:hint="eastAsia"/>
                <w:lang w:val="en-GB"/>
              </w:rPr>
              <w:t xml:space="preserve">—                        </w:t>
            </w:r>
          </w:p>
          <w:p w:rsidR="004F34D9" w:rsidRPr="00123108" w:rsidRDefault="004F34D9">
            <w:pPr>
              <w:spacing w:line="320" w:lineRule="exact"/>
              <w:rPr>
                <w:rFonts w:ascii="宋体" w:hAnsi="宋体" w:hint="eastAsia"/>
              </w:rPr>
            </w:pPr>
            <w:r w:rsidRPr="00123108">
              <w:rPr>
                <w:rFonts w:ascii="宋体" w:hAnsi="宋体" w:hint="eastAsia"/>
              </w:rPr>
              <w:t>LC</w:t>
            </w:r>
            <w:r w:rsidRPr="00123108">
              <w:rPr>
                <w:rFonts w:ascii="宋体" w:hAnsi="宋体" w:hint="eastAsia"/>
                <w:vertAlign w:val="subscript"/>
              </w:rPr>
              <w:t>50</w:t>
            </w:r>
            <w:r w:rsidRPr="00123108">
              <w:rPr>
                <w:rFonts w:ascii="宋体" w:hAnsi="宋体" w:hint="eastAsia"/>
                <w:lang w:val="en-GB"/>
              </w:rPr>
              <w:t>—</w:t>
            </w:r>
          </w:p>
        </w:tc>
      </w:tr>
      <w:tr w:rsidR="004F34D9" w:rsidRPr="00123108">
        <w:trPr>
          <w:cantSplit/>
          <w:trHeight w:val="20"/>
          <w:jc w:val="center"/>
        </w:trPr>
        <w:tc>
          <w:tcPr>
            <w:tcW w:w="488" w:type="dxa"/>
            <w:vMerge w:val="restart"/>
            <w:vAlign w:val="center"/>
          </w:tcPr>
          <w:p w:rsidR="004F34D9" w:rsidRPr="00123108" w:rsidRDefault="004F34D9">
            <w:pPr>
              <w:spacing w:line="320" w:lineRule="exact"/>
              <w:rPr>
                <w:rFonts w:ascii="宋体" w:hAnsi="宋体" w:hint="eastAsia"/>
              </w:rPr>
            </w:pPr>
            <w:r w:rsidRPr="00123108">
              <w:rPr>
                <w:rFonts w:ascii="宋体" w:hAnsi="宋体" w:hint="eastAsia"/>
              </w:rPr>
              <w:t>健康危害</w:t>
            </w:r>
          </w:p>
        </w:tc>
        <w:tc>
          <w:tcPr>
            <w:tcW w:w="8686" w:type="dxa"/>
            <w:gridSpan w:val="3"/>
            <w:vAlign w:val="center"/>
          </w:tcPr>
          <w:p w:rsidR="004F34D9" w:rsidRPr="00123108" w:rsidRDefault="004F34D9">
            <w:pPr>
              <w:spacing w:line="320" w:lineRule="exact"/>
              <w:rPr>
                <w:rFonts w:ascii="宋体" w:hAnsi="宋体" w:hint="eastAsia"/>
                <w:b/>
                <w:bCs/>
              </w:rPr>
            </w:pPr>
            <w:r w:rsidRPr="00123108">
              <w:rPr>
                <w:rFonts w:ascii="宋体" w:hAnsi="宋体" w:hint="eastAsia"/>
              </w:rPr>
              <w:t>侵入途径：吸入、食入。</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rPr>
            </w:pPr>
          </w:p>
        </w:tc>
        <w:tc>
          <w:tcPr>
            <w:tcW w:w="8686" w:type="dxa"/>
            <w:gridSpan w:val="3"/>
            <w:vAlign w:val="center"/>
          </w:tcPr>
          <w:p w:rsidR="004F34D9" w:rsidRPr="00123108" w:rsidRDefault="004F34D9">
            <w:pPr>
              <w:spacing w:line="320" w:lineRule="exact"/>
              <w:rPr>
                <w:rFonts w:ascii="宋体" w:hAnsi="宋体" w:hint="eastAsia"/>
              </w:rPr>
            </w:pPr>
            <w:r w:rsidRPr="00123108">
              <w:rPr>
                <w:rFonts w:ascii="宋体" w:hAnsi="宋体" w:hint="eastAsia"/>
              </w:rPr>
              <w:t>本品有强烈刺激和腐蚀性。粉尘刺激眼睛和呼吸道，腐蚀鼻中隔；皮肤和眼睛直接接触可引起灼伤；误服可造成消化道灼伤，粘膜糜烂、出血和休克。</w:t>
            </w:r>
          </w:p>
        </w:tc>
      </w:tr>
      <w:tr w:rsidR="004F34D9" w:rsidRPr="00123108">
        <w:trPr>
          <w:cantSplit/>
          <w:trHeight w:val="20"/>
          <w:jc w:val="center"/>
        </w:trPr>
        <w:tc>
          <w:tcPr>
            <w:tcW w:w="488" w:type="dxa"/>
            <w:vAlign w:val="center"/>
          </w:tcPr>
          <w:p w:rsidR="004F34D9" w:rsidRPr="00123108" w:rsidRDefault="004F34D9">
            <w:pPr>
              <w:spacing w:line="320" w:lineRule="exact"/>
              <w:rPr>
                <w:rFonts w:ascii="宋体" w:hAnsi="宋体" w:hint="eastAsia"/>
              </w:rPr>
            </w:pPr>
            <w:r w:rsidRPr="00123108">
              <w:rPr>
                <w:rFonts w:ascii="宋体" w:hAnsi="宋体" w:hint="eastAsia"/>
              </w:rPr>
              <w:t>急 救</w:t>
            </w:r>
          </w:p>
        </w:tc>
        <w:tc>
          <w:tcPr>
            <w:tcW w:w="8686" w:type="dxa"/>
            <w:gridSpan w:val="3"/>
            <w:vAlign w:val="center"/>
          </w:tcPr>
          <w:p w:rsidR="004F34D9" w:rsidRPr="00123108" w:rsidRDefault="004F34D9">
            <w:pPr>
              <w:spacing w:line="320" w:lineRule="exact"/>
              <w:rPr>
                <w:rFonts w:ascii="宋体" w:hAnsi="宋体" w:hint="eastAsia"/>
                <w:b/>
                <w:bCs/>
              </w:rPr>
            </w:pPr>
            <w:r w:rsidRPr="00123108">
              <w:rPr>
                <w:rFonts w:ascii="宋体" w:hAnsi="宋体" w:hint="eastAsia"/>
              </w:rPr>
              <w:t>皮肤接触：立即脱去污染的衣着，用大量流动清水冲洗至少15分钟。就医。眼睛接触：立即提起眼脸，用大量流动清水或生理盐水彻底冲洗至少15分钟。就医。吸入 ：迅速脱离现场至空气新鲜处。保持呼吸道通畅。如呼吸困难给输氧。如呼吸仃止，立即进行人工呼吸。就医。食入：用水漱口，给饮牛奶或蛋清。就医。</w:t>
            </w:r>
          </w:p>
        </w:tc>
      </w:tr>
      <w:tr w:rsidR="004F34D9" w:rsidRPr="00123108">
        <w:trPr>
          <w:cantSplit/>
          <w:trHeight w:val="20"/>
          <w:jc w:val="center"/>
        </w:trPr>
        <w:tc>
          <w:tcPr>
            <w:tcW w:w="488" w:type="dxa"/>
            <w:vAlign w:val="center"/>
          </w:tcPr>
          <w:p w:rsidR="004F34D9" w:rsidRPr="00123108" w:rsidRDefault="004F34D9">
            <w:pPr>
              <w:spacing w:line="320" w:lineRule="exact"/>
              <w:rPr>
                <w:rFonts w:ascii="宋体" w:hAnsi="宋体" w:hint="eastAsia"/>
              </w:rPr>
            </w:pPr>
            <w:r w:rsidRPr="00123108">
              <w:rPr>
                <w:rFonts w:ascii="宋体" w:hAnsi="宋体" w:hint="eastAsia"/>
              </w:rPr>
              <w:t>防  护</w:t>
            </w:r>
          </w:p>
        </w:tc>
        <w:tc>
          <w:tcPr>
            <w:tcW w:w="8686" w:type="dxa"/>
            <w:gridSpan w:val="3"/>
            <w:vAlign w:val="center"/>
          </w:tcPr>
          <w:p w:rsidR="004F34D9" w:rsidRPr="00123108" w:rsidRDefault="004F34D9">
            <w:pPr>
              <w:spacing w:line="320" w:lineRule="exact"/>
              <w:rPr>
                <w:rFonts w:ascii="宋体" w:hAnsi="宋体" w:hint="eastAsia"/>
              </w:rPr>
            </w:pPr>
            <w:r w:rsidRPr="00123108">
              <w:rPr>
                <w:rFonts w:ascii="宋体" w:hAnsi="宋体" w:hint="eastAsia"/>
              </w:rPr>
              <w:t>工程控制：密闭操作。提供安全淋浴和洗眼设备。呼吸系统防护：可能接触其粉尘时，必须佩戴头罩型电动送风过滤式防尘呼吸器。必要时，佩戴空气呼吸器。眼睛防护：呼吸系统防护中已作防护。身体防护：穿橡胶耐酸碱服。手防护：戴橡胶耐酸碱手套。其它防护：工作场所禁止吸烟、进食和饮水，饭前要洗手。工作完毕，淋浴更衣。注意个人清洁卫生。</w:t>
            </w:r>
          </w:p>
        </w:tc>
      </w:tr>
      <w:tr w:rsidR="004F34D9" w:rsidRPr="00123108">
        <w:trPr>
          <w:cantSplit/>
          <w:trHeight w:val="20"/>
          <w:jc w:val="center"/>
        </w:trPr>
        <w:tc>
          <w:tcPr>
            <w:tcW w:w="488" w:type="dxa"/>
            <w:vAlign w:val="center"/>
          </w:tcPr>
          <w:p w:rsidR="004F34D9" w:rsidRPr="00123108" w:rsidRDefault="004F34D9">
            <w:pPr>
              <w:spacing w:line="320" w:lineRule="exact"/>
              <w:rPr>
                <w:rFonts w:ascii="宋体" w:hAnsi="宋体" w:hint="eastAsia"/>
              </w:rPr>
            </w:pPr>
            <w:r w:rsidRPr="00123108">
              <w:rPr>
                <w:rFonts w:ascii="宋体" w:hAnsi="宋体" w:hint="eastAsia"/>
              </w:rPr>
              <w:t>泄漏处理</w:t>
            </w:r>
          </w:p>
        </w:tc>
        <w:tc>
          <w:tcPr>
            <w:tcW w:w="8686" w:type="dxa"/>
            <w:gridSpan w:val="3"/>
            <w:vAlign w:val="center"/>
          </w:tcPr>
          <w:p w:rsidR="004F34D9" w:rsidRPr="00123108" w:rsidRDefault="004F34D9">
            <w:pPr>
              <w:spacing w:line="320" w:lineRule="exact"/>
              <w:rPr>
                <w:rFonts w:ascii="宋体" w:hAnsi="宋体" w:hint="eastAsia"/>
              </w:rPr>
            </w:pPr>
            <w:r w:rsidRPr="00123108">
              <w:rPr>
                <w:rFonts w:ascii="宋体" w:hAnsi="宋体" w:hint="eastAsia"/>
              </w:rPr>
              <w:t>隔离泄漏污染区，限制出入。切断泄漏源，防止泄漏物进入下水道和限制性空间。建议应急处理人员戴自给正压式呼吸器，穿防酸碱工作服。不要直接接触泄漏物。小量泄漏：可用大量水冲洗，洗水稀释后放入废水系统。大量泄漏：构筑围堤或挖坑收容；用泵转移至槽车或专用收集器内，回收或运至废物处理场所处置</w:t>
            </w:r>
          </w:p>
        </w:tc>
      </w:tr>
      <w:tr w:rsidR="004F34D9" w:rsidRPr="00123108">
        <w:trPr>
          <w:cantSplit/>
          <w:trHeight w:val="738"/>
          <w:jc w:val="center"/>
        </w:trPr>
        <w:tc>
          <w:tcPr>
            <w:tcW w:w="488" w:type="dxa"/>
            <w:vAlign w:val="center"/>
          </w:tcPr>
          <w:p w:rsidR="004F34D9" w:rsidRPr="00123108" w:rsidRDefault="004F34D9">
            <w:pPr>
              <w:spacing w:line="320" w:lineRule="exact"/>
              <w:rPr>
                <w:rFonts w:ascii="宋体" w:hAnsi="宋体" w:hint="eastAsia"/>
              </w:rPr>
            </w:pPr>
            <w:r w:rsidRPr="00123108">
              <w:rPr>
                <w:rFonts w:ascii="宋体" w:hAnsi="宋体" w:hint="eastAsia"/>
              </w:rPr>
              <w:t>储运</w:t>
            </w:r>
          </w:p>
        </w:tc>
        <w:tc>
          <w:tcPr>
            <w:tcW w:w="8686" w:type="dxa"/>
            <w:gridSpan w:val="3"/>
            <w:vAlign w:val="center"/>
          </w:tcPr>
          <w:p w:rsidR="004F34D9" w:rsidRPr="00123108" w:rsidRDefault="004F34D9">
            <w:pPr>
              <w:spacing w:line="320" w:lineRule="exact"/>
              <w:rPr>
                <w:rFonts w:ascii="宋体" w:hAnsi="宋体" w:hint="eastAsia"/>
              </w:rPr>
            </w:pPr>
            <w:r w:rsidRPr="00123108">
              <w:rPr>
                <w:rFonts w:ascii="宋体" w:hAnsi="宋体" w:hint="eastAsia"/>
              </w:rPr>
              <w:t>储存于干燥清洁的仓间内。注意防潮和雨淋。应与易燃或可燃物及酸类分开存放，分装和搬运作业要注意个人防护。搬运时要轻装轻卸，防止包装及容器损坏。雨天不宜运输。</w:t>
            </w:r>
          </w:p>
        </w:tc>
      </w:tr>
    </w:tbl>
    <w:p w:rsidR="004F34D9" w:rsidRPr="00123108" w:rsidRDefault="004F34D9">
      <w:pPr>
        <w:pStyle w:val="2fd"/>
        <w:ind w:firstLineChars="0" w:firstLine="0"/>
        <w:jc w:val="center"/>
        <w:rPr>
          <w:rFonts w:ascii="黑体" w:eastAsia="黑体" w:hAnsi="黑体" w:hint="eastAsia"/>
          <w:b/>
        </w:rPr>
      </w:pPr>
    </w:p>
    <w:p w:rsidR="004F34D9" w:rsidRPr="00123108" w:rsidRDefault="004F34D9">
      <w:pPr>
        <w:pStyle w:val="2fd"/>
        <w:ind w:firstLineChars="0" w:firstLine="0"/>
        <w:jc w:val="center"/>
        <w:rPr>
          <w:rFonts w:ascii="黑体" w:eastAsia="黑体" w:hAnsi="黑体" w:hint="eastAsia"/>
          <w:b/>
        </w:rPr>
      </w:pPr>
      <w:r w:rsidRPr="00123108">
        <w:rPr>
          <w:rFonts w:ascii="黑体" w:eastAsia="黑体" w:hAnsi="黑体" w:hint="eastAsia"/>
          <w:b/>
        </w:rPr>
        <w:t>附表4.1-9 聚苯乙烯珠体[可发性的]理化及危险特性</w:t>
      </w:r>
    </w:p>
    <w:tbl>
      <w:tblPr>
        <w:tblW w:w="9348" w:type="dxa"/>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
        <w:gridCol w:w="317"/>
        <w:gridCol w:w="210"/>
        <w:gridCol w:w="2651"/>
        <w:gridCol w:w="105"/>
        <w:gridCol w:w="1167"/>
        <w:gridCol w:w="1117"/>
        <w:gridCol w:w="1575"/>
        <w:gridCol w:w="1706"/>
      </w:tblGrid>
      <w:tr w:rsidR="004F34D9" w:rsidRPr="00123108">
        <w:trPr>
          <w:cantSplit/>
          <w:trHeight w:val="340"/>
          <w:jc w:val="center"/>
        </w:trPr>
        <w:tc>
          <w:tcPr>
            <w:tcW w:w="500" w:type="dxa"/>
            <w:vMerge w:val="restart"/>
            <w:tcBorders>
              <w:top w:val="single" w:sz="4" w:space="0" w:color="auto"/>
              <w:left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lastRenderedPageBreak/>
              <w:t>标</w:t>
            </w:r>
          </w:p>
          <w:p w:rsidR="004F34D9" w:rsidRPr="00123108" w:rsidRDefault="004F34D9">
            <w:pPr>
              <w:rPr>
                <w:rFonts w:ascii="宋体" w:hAnsi="宋体"/>
                <w:szCs w:val="21"/>
              </w:rPr>
            </w:pPr>
            <w:r w:rsidRPr="00123108">
              <w:rPr>
                <w:rFonts w:ascii="宋体" w:hAnsi="宋体" w:hint="eastAsia"/>
                <w:szCs w:val="21"/>
              </w:rPr>
              <w:t>识</w:t>
            </w:r>
          </w:p>
        </w:tc>
        <w:tc>
          <w:tcPr>
            <w:tcW w:w="3178"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szCs w:val="21"/>
              </w:rPr>
            </w:pPr>
            <w:r w:rsidRPr="00123108">
              <w:rPr>
                <w:rFonts w:ascii="宋体" w:hAnsi="宋体" w:hint="eastAsia"/>
                <w:szCs w:val="21"/>
              </w:rPr>
              <w:t>中文名：</w:t>
            </w:r>
            <w:r w:rsidRPr="00123108">
              <w:rPr>
                <w:rFonts w:ascii="宋体" w:hAnsi="宋体" w:cs="Arial" w:hint="eastAsia"/>
                <w:szCs w:val="21"/>
              </w:rPr>
              <w:t>聚苯乙烯珠体（可发性的）</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英文名</w:t>
            </w:r>
            <w:r w:rsidRPr="00123108">
              <w:rPr>
                <w:rFonts w:ascii="宋体" w:hAnsi="宋体" w:hint="eastAsia"/>
                <w:szCs w:val="21"/>
                <w:lang w:val="en-GB"/>
              </w:rPr>
              <w:t>：</w:t>
            </w:r>
            <w:r w:rsidRPr="00123108">
              <w:rPr>
                <w:rFonts w:ascii="宋体" w:hAnsi="宋体" w:cs="Arial"/>
                <w:szCs w:val="21"/>
              </w:rPr>
              <w:t>EXPANDABLE POLYSTYRENE BEADS, EXPANDED POLYSTYRENE</w:t>
            </w:r>
          </w:p>
        </w:tc>
      </w:tr>
      <w:tr w:rsidR="004F34D9" w:rsidRPr="00123108">
        <w:trPr>
          <w:cantSplit/>
          <w:trHeight w:val="340"/>
          <w:jc w:val="center"/>
        </w:trPr>
        <w:tc>
          <w:tcPr>
            <w:tcW w:w="500" w:type="dxa"/>
            <w:vMerge/>
            <w:tcBorders>
              <w:left w:val="single" w:sz="4" w:space="0" w:color="auto"/>
              <w:right w:val="single" w:sz="4" w:space="0" w:color="auto"/>
            </w:tcBorders>
            <w:vAlign w:val="center"/>
          </w:tcPr>
          <w:p w:rsidR="004F34D9" w:rsidRPr="00123108" w:rsidRDefault="004F34D9">
            <w:pPr>
              <w:rPr>
                <w:rFonts w:ascii="宋体" w:hAnsi="宋体"/>
                <w:szCs w:val="21"/>
              </w:rPr>
            </w:pPr>
          </w:p>
        </w:tc>
        <w:tc>
          <w:tcPr>
            <w:tcW w:w="3178"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分子式：</w:t>
            </w:r>
          </w:p>
        </w:tc>
        <w:tc>
          <w:tcPr>
            <w:tcW w:w="2389"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 xml:space="preserve">分子量： </w:t>
            </w: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UN编号：</w:t>
            </w:r>
            <w:r w:rsidRPr="00123108">
              <w:rPr>
                <w:rFonts w:ascii="宋体" w:hAnsi="宋体" w:cs="Arial" w:hint="eastAsia"/>
                <w:szCs w:val="21"/>
              </w:rPr>
              <w:t>2</w:t>
            </w:r>
            <w:r w:rsidRPr="00123108">
              <w:rPr>
                <w:rFonts w:ascii="宋体" w:hAnsi="宋体" w:cs="Arial"/>
                <w:szCs w:val="21"/>
              </w:rPr>
              <w:t>211</w:t>
            </w:r>
          </w:p>
        </w:tc>
      </w:tr>
      <w:tr w:rsidR="004F34D9" w:rsidRPr="00123108">
        <w:trPr>
          <w:cantSplit/>
          <w:trHeight w:val="340"/>
          <w:jc w:val="center"/>
        </w:trPr>
        <w:tc>
          <w:tcPr>
            <w:tcW w:w="500" w:type="dxa"/>
            <w:vMerge/>
            <w:tcBorders>
              <w:left w:val="single" w:sz="4" w:space="0" w:color="auto"/>
              <w:right w:val="single" w:sz="4" w:space="0" w:color="auto"/>
            </w:tcBorders>
            <w:vAlign w:val="center"/>
          </w:tcPr>
          <w:p w:rsidR="004F34D9" w:rsidRPr="00123108" w:rsidRDefault="004F34D9">
            <w:pPr>
              <w:rPr>
                <w:rFonts w:ascii="宋体" w:hAnsi="宋体"/>
                <w:szCs w:val="21"/>
              </w:rPr>
            </w:pPr>
          </w:p>
        </w:tc>
        <w:tc>
          <w:tcPr>
            <w:tcW w:w="3178"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危险类别：</w:t>
            </w:r>
            <w:r w:rsidRPr="00123108">
              <w:rPr>
                <w:rFonts w:ascii="宋体" w:hAnsi="宋体" w:cs="Arial" w:hint="eastAsia"/>
                <w:szCs w:val="21"/>
              </w:rPr>
              <w:t>易燃固体</w:t>
            </w:r>
          </w:p>
        </w:tc>
        <w:tc>
          <w:tcPr>
            <w:tcW w:w="2389"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危化品目录序号：1228</w:t>
            </w: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CAS号：</w:t>
            </w:r>
            <w:r w:rsidRPr="00123108">
              <w:rPr>
                <w:rFonts w:ascii="宋体" w:hAnsi="宋体" w:cs="Arial"/>
                <w:szCs w:val="21"/>
              </w:rPr>
              <w:t>9003-53-6</w:t>
            </w:r>
            <w:r w:rsidRPr="00123108">
              <w:rPr>
                <w:rFonts w:ascii="宋体" w:hAnsi="宋体" w:cs="Arial" w:hint="eastAsia"/>
                <w:szCs w:val="21"/>
              </w:rPr>
              <w:t>/</w:t>
            </w:r>
            <w:r w:rsidRPr="00123108">
              <w:rPr>
                <w:rFonts w:ascii="宋体" w:hAnsi="宋体" w:cs="Arial"/>
                <w:szCs w:val="21"/>
              </w:rPr>
              <w:t>109-66-0</w:t>
            </w:r>
          </w:p>
        </w:tc>
      </w:tr>
      <w:tr w:rsidR="004F34D9" w:rsidRPr="00123108">
        <w:trPr>
          <w:cantSplit/>
          <w:trHeight w:val="340"/>
          <w:jc w:val="center"/>
        </w:trPr>
        <w:tc>
          <w:tcPr>
            <w:tcW w:w="500" w:type="dxa"/>
            <w:vMerge/>
            <w:tcBorders>
              <w:left w:val="single" w:sz="4" w:space="0" w:color="auto"/>
              <w:bottom w:val="nil"/>
              <w:right w:val="single" w:sz="4" w:space="0" w:color="auto"/>
            </w:tcBorders>
            <w:vAlign w:val="center"/>
          </w:tcPr>
          <w:p w:rsidR="004F34D9" w:rsidRPr="00123108" w:rsidRDefault="004F34D9">
            <w:pPr>
              <w:rPr>
                <w:rFonts w:ascii="宋体" w:hAnsi="宋体"/>
                <w:szCs w:val="21"/>
              </w:rPr>
            </w:pPr>
          </w:p>
        </w:tc>
        <w:tc>
          <w:tcPr>
            <w:tcW w:w="3178"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 xml:space="preserve">包装标志： </w:t>
            </w:r>
          </w:p>
        </w:tc>
        <w:tc>
          <w:tcPr>
            <w:tcW w:w="2389"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包装类别：</w:t>
            </w:r>
            <w:r w:rsidR="00F278C6" w:rsidRPr="00123108">
              <w:rPr>
                <w:rFonts w:ascii="宋体" w:hAnsi="宋体" w:hint="eastAsia"/>
                <w:szCs w:val="21"/>
              </w:rPr>
              <w:t>Ⅲ类</w:t>
            </w: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cs="Arial"/>
                <w:szCs w:val="21"/>
              </w:rPr>
              <w:t>0.5</w:t>
            </w:r>
            <w:bookmarkStart w:id="1980" w:name="_Hlk57628602"/>
            <w:r w:rsidRPr="00123108">
              <w:rPr>
                <w:rFonts w:ascii="宋体" w:hAnsi="宋体" w:cs="Arial" w:hint="eastAsia"/>
                <w:szCs w:val="21"/>
              </w:rPr>
              <w:t>~</w:t>
            </w:r>
            <w:bookmarkEnd w:id="1980"/>
            <w:r w:rsidRPr="00123108">
              <w:rPr>
                <w:rFonts w:ascii="宋体" w:hAnsi="宋体" w:cs="Arial"/>
                <w:szCs w:val="21"/>
              </w:rPr>
              <w:t>2.5mm</w:t>
            </w:r>
          </w:p>
        </w:tc>
      </w:tr>
      <w:tr w:rsidR="004F34D9" w:rsidRPr="00123108">
        <w:trPr>
          <w:cantSplit/>
          <w:trHeight w:val="340"/>
          <w:jc w:val="center"/>
        </w:trPr>
        <w:tc>
          <w:tcPr>
            <w:tcW w:w="500" w:type="dxa"/>
            <w:vMerge w:val="restart"/>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理</w:t>
            </w:r>
          </w:p>
          <w:p w:rsidR="004F34D9" w:rsidRPr="00123108" w:rsidRDefault="004F34D9">
            <w:pPr>
              <w:rPr>
                <w:rFonts w:ascii="宋体" w:hAnsi="宋体"/>
                <w:szCs w:val="21"/>
              </w:rPr>
            </w:pPr>
            <w:r w:rsidRPr="00123108">
              <w:rPr>
                <w:rFonts w:ascii="宋体" w:hAnsi="宋体" w:hint="eastAsia"/>
                <w:szCs w:val="21"/>
              </w:rPr>
              <w:t>化</w:t>
            </w:r>
          </w:p>
          <w:p w:rsidR="004F34D9" w:rsidRPr="00123108" w:rsidRDefault="004F34D9">
            <w:pPr>
              <w:rPr>
                <w:rFonts w:ascii="宋体" w:hAnsi="宋体" w:hint="eastAsia"/>
                <w:szCs w:val="21"/>
              </w:rPr>
            </w:pPr>
            <w:r w:rsidRPr="00123108">
              <w:rPr>
                <w:rFonts w:ascii="宋体" w:hAnsi="宋体" w:hint="eastAsia"/>
                <w:szCs w:val="21"/>
              </w:rPr>
              <w:t>性</w:t>
            </w:r>
          </w:p>
          <w:p w:rsidR="004F34D9" w:rsidRPr="00123108" w:rsidRDefault="004F34D9">
            <w:pPr>
              <w:rPr>
                <w:rFonts w:ascii="宋体" w:hAnsi="宋体"/>
                <w:szCs w:val="21"/>
              </w:rPr>
            </w:pPr>
            <w:r w:rsidRPr="00123108">
              <w:rPr>
                <w:rFonts w:ascii="宋体" w:hAnsi="宋体" w:hint="eastAsia"/>
                <w:szCs w:val="21"/>
              </w:rPr>
              <w:t>质</w:t>
            </w:r>
          </w:p>
        </w:tc>
        <w:tc>
          <w:tcPr>
            <w:tcW w:w="4450" w:type="dxa"/>
            <w:gridSpan w:val="5"/>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外观与性状：</w:t>
            </w:r>
            <w:r w:rsidRPr="00123108">
              <w:rPr>
                <w:rFonts w:ascii="宋体" w:hAnsi="宋体" w:cs="Arial" w:hint="eastAsia"/>
                <w:szCs w:val="21"/>
              </w:rPr>
              <w:t>白色或黑色球形固体颗粒,轻微碳氢化合物气味</w:t>
            </w:r>
          </w:p>
        </w:tc>
        <w:tc>
          <w:tcPr>
            <w:tcW w:w="4398" w:type="dxa"/>
            <w:gridSpan w:val="3"/>
            <w:tcBorders>
              <w:top w:val="single" w:sz="4" w:space="0" w:color="auto"/>
              <w:left w:val="single" w:sz="4" w:space="0" w:color="auto"/>
              <w:bottom w:val="single" w:sz="4" w:space="0" w:color="auto"/>
              <w:right w:val="single" w:sz="4" w:space="0" w:color="auto"/>
            </w:tcBorders>
          </w:tcPr>
          <w:p w:rsidR="004F34D9" w:rsidRPr="00123108" w:rsidRDefault="004F34D9">
            <w:pPr>
              <w:rPr>
                <w:rFonts w:ascii="宋体" w:hAnsi="宋体" w:hint="eastAsia"/>
                <w:szCs w:val="21"/>
              </w:rPr>
            </w:pPr>
            <w:r w:rsidRPr="00123108">
              <w:rPr>
                <w:rFonts w:ascii="宋体" w:hAnsi="宋体" w:cs="Arial" w:hint="eastAsia"/>
                <w:szCs w:val="21"/>
              </w:rPr>
              <w:t>难溶于乙醇，可溶于苯、甲苯、二甲苯、苯乙烯、三氯甲烷等有机溶剂</w:t>
            </w:r>
          </w:p>
        </w:tc>
      </w:tr>
      <w:tr w:rsidR="004F34D9" w:rsidRPr="00123108">
        <w:trPr>
          <w:cantSplit/>
          <w:trHeight w:val="340"/>
          <w:jc w:val="center"/>
        </w:trPr>
        <w:tc>
          <w:tcPr>
            <w:tcW w:w="500" w:type="dxa"/>
            <w:vMerge/>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szCs w:val="21"/>
              </w:rPr>
            </w:pPr>
          </w:p>
        </w:tc>
        <w:tc>
          <w:tcPr>
            <w:tcW w:w="3283" w:type="dxa"/>
            <w:gridSpan w:val="4"/>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熔点（℃）：无资料</w:t>
            </w:r>
          </w:p>
        </w:tc>
        <w:tc>
          <w:tcPr>
            <w:tcW w:w="5565" w:type="dxa"/>
            <w:gridSpan w:val="4"/>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沸点（℃）：无资料</w:t>
            </w:r>
          </w:p>
        </w:tc>
      </w:tr>
      <w:tr w:rsidR="004F34D9" w:rsidRPr="00123108">
        <w:trPr>
          <w:cantSplit/>
          <w:trHeight w:val="340"/>
          <w:jc w:val="center"/>
        </w:trPr>
        <w:tc>
          <w:tcPr>
            <w:tcW w:w="500" w:type="dxa"/>
            <w:vMerge/>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szCs w:val="21"/>
              </w:rPr>
            </w:pPr>
          </w:p>
        </w:tc>
        <w:tc>
          <w:tcPr>
            <w:tcW w:w="3283" w:type="dxa"/>
            <w:gridSpan w:val="4"/>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相对密度（水＝1）：</w:t>
            </w:r>
            <w:r w:rsidRPr="00123108">
              <w:rPr>
                <w:rFonts w:ascii="宋体" w:hAnsi="宋体" w:cs="Arial" w:hint="eastAsia"/>
                <w:szCs w:val="21"/>
              </w:rPr>
              <w:t>约610kg/m3</w:t>
            </w:r>
          </w:p>
        </w:tc>
        <w:tc>
          <w:tcPr>
            <w:tcW w:w="5565" w:type="dxa"/>
            <w:gridSpan w:val="4"/>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相对密度（空气＝1）：</w:t>
            </w:r>
            <w:r w:rsidRPr="00123108">
              <w:rPr>
                <w:rFonts w:ascii="宋体" w:hAnsi="宋体" w:cs="Arial" w:hint="eastAsia"/>
                <w:szCs w:val="21"/>
              </w:rPr>
              <w:t>戊烷 2</w:t>
            </w:r>
            <w:r w:rsidRPr="00123108">
              <w:rPr>
                <w:rFonts w:ascii="宋体" w:hAnsi="宋体" w:cs="Arial"/>
                <w:szCs w:val="21"/>
              </w:rPr>
              <w:t>.48</w:t>
            </w:r>
          </w:p>
        </w:tc>
      </w:tr>
      <w:tr w:rsidR="004F34D9" w:rsidRPr="00123108">
        <w:trPr>
          <w:cantSplit/>
          <w:trHeight w:val="340"/>
          <w:jc w:val="center"/>
        </w:trPr>
        <w:tc>
          <w:tcPr>
            <w:tcW w:w="500" w:type="dxa"/>
            <w:vMerge/>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szCs w:val="21"/>
              </w:rPr>
            </w:pPr>
          </w:p>
        </w:tc>
        <w:tc>
          <w:tcPr>
            <w:tcW w:w="3283" w:type="dxa"/>
            <w:gridSpan w:val="4"/>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饱和蒸气压（kPa）：无资料</w:t>
            </w:r>
          </w:p>
        </w:tc>
        <w:tc>
          <w:tcPr>
            <w:tcW w:w="5565" w:type="dxa"/>
            <w:gridSpan w:val="4"/>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燃烧热（kJ/mol）：无资料</w:t>
            </w:r>
          </w:p>
        </w:tc>
      </w:tr>
      <w:tr w:rsidR="004F34D9" w:rsidRPr="00123108">
        <w:trPr>
          <w:cantSplit/>
          <w:trHeight w:val="340"/>
          <w:jc w:val="center"/>
        </w:trPr>
        <w:tc>
          <w:tcPr>
            <w:tcW w:w="500" w:type="dxa"/>
            <w:vMerge/>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szCs w:val="21"/>
              </w:rPr>
            </w:pPr>
          </w:p>
        </w:tc>
        <w:tc>
          <w:tcPr>
            <w:tcW w:w="3283" w:type="dxa"/>
            <w:gridSpan w:val="4"/>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临界温度（℃）：无资料</w:t>
            </w:r>
          </w:p>
        </w:tc>
        <w:tc>
          <w:tcPr>
            <w:tcW w:w="5565" w:type="dxa"/>
            <w:gridSpan w:val="4"/>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临界压力（MPa）：无资料</w:t>
            </w:r>
          </w:p>
        </w:tc>
      </w:tr>
      <w:tr w:rsidR="004F34D9" w:rsidRPr="00123108">
        <w:trPr>
          <w:cantSplit/>
          <w:trHeight w:val="340"/>
          <w:jc w:val="center"/>
        </w:trPr>
        <w:tc>
          <w:tcPr>
            <w:tcW w:w="500" w:type="dxa"/>
            <w:vMerge w:val="restart"/>
            <w:tcBorders>
              <w:top w:val="single" w:sz="4" w:space="0" w:color="auto"/>
              <w:left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燃</w:t>
            </w:r>
          </w:p>
          <w:p w:rsidR="004F34D9" w:rsidRPr="00123108" w:rsidRDefault="004F34D9">
            <w:pPr>
              <w:rPr>
                <w:rFonts w:ascii="宋体" w:hAnsi="宋体" w:hint="eastAsia"/>
                <w:szCs w:val="21"/>
              </w:rPr>
            </w:pPr>
            <w:r w:rsidRPr="00123108">
              <w:rPr>
                <w:rFonts w:ascii="宋体" w:hAnsi="宋体" w:hint="eastAsia"/>
                <w:szCs w:val="21"/>
              </w:rPr>
              <w:t>烧</w:t>
            </w:r>
          </w:p>
          <w:p w:rsidR="004F34D9" w:rsidRPr="00123108" w:rsidRDefault="004F34D9">
            <w:pPr>
              <w:rPr>
                <w:rFonts w:ascii="宋体" w:hAnsi="宋体" w:hint="eastAsia"/>
                <w:szCs w:val="21"/>
              </w:rPr>
            </w:pPr>
            <w:r w:rsidRPr="00123108">
              <w:rPr>
                <w:rFonts w:ascii="宋体" w:hAnsi="宋体" w:hint="eastAsia"/>
                <w:szCs w:val="21"/>
              </w:rPr>
              <w:t>爆</w:t>
            </w:r>
          </w:p>
          <w:p w:rsidR="004F34D9" w:rsidRPr="00123108" w:rsidRDefault="004F34D9">
            <w:pPr>
              <w:rPr>
                <w:rFonts w:ascii="宋体" w:hAnsi="宋体" w:hint="eastAsia"/>
                <w:szCs w:val="21"/>
              </w:rPr>
            </w:pPr>
            <w:r w:rsidRPr="00123108">
              <w:rPr>
                <w:rFonts w:ascii="宋体" w:hAnsi="宋体" w:hint="eastAsia"/>
                <w:szCs w:val="21"/>
              </w:rPr>
              <w:t>炸</w:t>
            </w:r>
          </w:p>
          <w:p w:rsidR="004F34D9" w:rsidRPr="00123108" w:rsidRDefault="004F34D9">
            <w:pPr>
              <w:rPr>
                <w:rFonts w:ascii="宋体" w:hAnsi="宋体" w:hint="eastAsia"/>
                <w:szCs w:val="21"/>
              </w:rPr>
            </w:pPr>
            <w:r w:rsidRPr="00123108">
              <w:rPr>
                <w:rFonts w:ascii="宋体" w:hAnsi="宋体" w:hint="eastAsia"/>
                <w:szCs w:val="21"/>
              </w:rPr>
              <w:t>危</w:t>
            </w:r>
          </w:p>
          <w:p w:rsidR="004F34D9" w:rsidRPr="00123108" w:rsidRDefault="004F34D9">
            <w:pPr>
              <w:rPr>
                <w:rFonts w:ascii="宋体" w:hAnsi="宋体" w:hint="eastAsia"/>
                <w:szCs w:val="21"/>
              </w:rPr>
            </w:pPr>
            <w:r w:rsidRPr="00123108">
              <w:rPr>
                <w:rFonts w:ascii="宋体" w:hAnsi="宋体" w:hint="eastAsia"/>
                <w:szCs w:val="21"/>
              </w:rPr>
              <w:t>险</w:t>
            </w:r>
          </w:p>
          <w:p w:rsidR="004F34D9" w:rsidRPr="00123108" w:rsidRDefault="004F34D9">
            <w:pPr>
              <w:rPr>
                <w:rFonts w:ascii="宋体" w:hAnsi="宋体"/>
                <w:szCs w:val="21"/>
              </w:rPr>
            </w:pPr>
            <w:r w:rsidRPr="00123108">
              <w:rPr>
                <w:rFonts w:ascii="宋体" w:hAnsi="宋体" w:hint="eastAsia"/>
                <w:szCs w:val="21"/>
              </w:rPr>
              <w:t>性</w:t>
            </w:r>
          </w:p>
        </w:tc>
        <w:tc>
          <w:tcPr>
            <w:tcW w:w="3283" w:type="dxa"/>
            <w:gridSpan w:val="4"/>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szCs w:val="21"/>
              </w:rPr>
            </w:pPr>
            <w:r w:rsidRPr="00123108">
              <w:rPr>
                <w:rFonts w:ascii="宋体" w:hAnsi="宋体" w:hint="eastAsia"/>
                <w:szCs w:val="21"/>
              </w:rPr>
              <w:t>燃烧性： 易燃</w:t>
            </w:r>
          </w:p>
        </w:tc>
        <w:tc>
          <w:tcPr>
            <w:tcW w:w="5565" w:type="dxa"/>
            <w:gridSpan w:val="4"/>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闪点（℃）：无资料</w:t>
            </w:r>
          </w:p>
        </w:tc>
      </w:tr>
      <w:tr w:rsidR="004F34D9" w:rsidRPr="00123108">
        <w:trPr>
          <w:cantSplit/>
          <w:trHeight w:val="340"/>
          <w:jc w:val="center"/>
        </w:trPr>
        <w:tc>
          <w:tcPr>
            <w:tcW w:w="500" w:type="dxa"/>
            <w:vMerge/>
            <w:tcBorders>
              <w:top w:val="single" w:sz="4" w:space="0" w:color="auto"/>
              <w:left w:val="single" w:sz="4" w:space="0" w:color="auto"/>
              <w:right w:val="single" w:sz="4" w:space="0" w:color="auto"/>
            </w:tcBorders>
            <w:vAlign w:val="center"/>
          </w:tcPr>
          <w:p w:rsidR="004F34D9" w:rsidRPr="00123108" w:rsidRDefault="004F34D9">
            <w:pPr>
              <w:rPr>
                <w:rFonts w:ascii="宋体" w:hAnsi="宋体" w:hint="eastAsia"/>
                <w:szCs w:val="21"/>
              </w:rPr>
            </w:pPr>
          </w:p>
        </w:tc>
        <w:tc>
          <w:tcPr>
            <w:tcW w:w="3283" w:type="dxa"/>
            <w:gridSpan w:val="4"/>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vertAlign w:val="superscript"/>
              </w:rPr>
            </w:pPr>
            <w:r w:rsidRPr="00123108">
              <w:rPr>
                <w:rFonts w:ascii="宋体" w:hAnsi="宋体" w:hint="eastAsia"/>
                <w:szCs w:val="21"/>
              </w:rPr>
              <w:t>爆炸下限（%）：无资料</w:t>
            </w:r>
          </w:p>
        </w:tc>
        <w:tc>
          <w:tcPr>
            <w:tcW w:w="5565" w:type="dxa"/>
            <w:gridSpan w:val="4"/>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爆炸上限（%）：无资料</w:t>
            </w:r>
          </w:p>
        </w:tc>
      </w:tr>
      <w:tr w:rsidR="004F34D9" w:rsidRPr="00123108">
        <w:trPr>
          <w:cantSplit/>
          <w:trHeight w:val="340"/>
          <w:jc w:val="center"/>
        </w:trPr>
        <w:tc>
          <w:tcPr>
            <w:tcW w:w="500" w:type="dxa"/>
            <w:vMerge/>
            <w:tcBorders>
              <w:top w:val="single" w:sz="4" w:space="0" w:color="auto"/>
              <w:left w:val="single" w:sz="4" w:space="0" w:color="auto"/>
              <w:right w:val="single" w:sz="4" w:space="0" w:color="auto"/>
            </w:tcBorders>
            <w:vAlign w:val="center"/>
          </w:tcPr>
          <w:p w:rsidR="004F34D9" w:rsidRPr="00123108" w:rsidRDefault="004F34D9">
            <w:pPr>
              <w:rPr>
                <w:rFonts w:ascii="宋体" w:hAnsi="宋体" w:hint="eastAsia"/>
                <w:szCs w:val="21"/>
              </w:rPr>
            </w:pPr>
          </w:p>
        </w:tc>
        <w:tc>
          <w:tcPr>
            <w:tcW w:w="3283" w:type="dxa"/>
            <w:gridSpan w:val="4"/>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引燃温度（℃）：无资料</w:t>
            </w:r>
          </w:p>
        </w:tc>
        <w:tc>
          <w:tcPr>
            <w:tcW w:w="5565" w:type="dxa"/>
            <w:gridSpan w:val="4"/>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最小点火能（mJ）：无资料</w:t>
            </w:r>
          </w:p>
        </w:tc>
      </w:tr>
      <w:tr w:rsidR="004F34D9" w:rsidRPr="00123108">
        <w:trPr>
          <w:cantSplit/>
          <w:trHeight w:val="340"/>
          <w:jc w:val="center"/>
        </w:trPr>
        <w:tc>
          <w:tcPr>
            <w:tcW w:w="500" w:type="dxa"/>
            <w:vMerge/>
            <w:tcBorders>
              <w:left w:val="single" w:sz="4" w:space="0" w:color="auto"/>
              <w:right w:val="single" w:sz="4" w:space="0" w:color="auto"/>
            </w:tcBorders>
            <w:vAlign w:val="center"/>
          </w:tcPr>
          <w:p w:rsidR="004F34D9" w:rsidRPr="00123108" w:rsidRDefault="004F34D9">
            <w:pPr>
              <w:rPr>
                <w:rFonts w:ascii="宋体" w:hAnsi="宋体"/>
                <w:szCs w:val="21"/>
              </w:rPr>
            </w:pPr>
          </w:p>
        </w:tc>
        <w:tc>
          <w:tcPr>
            <w:tcW w:w="3283" w:type="dxa"/>
            <w:gridSpan w:val="4"/>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 xml:space="preserve">最大爆炸压力（MPa）： </w:t>
            </w:r>
          </w:p>
        </w:tc>
        <w:tc>
          <w:tcPr>
            <w:tcW w:w="3859"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稳定性：</w:t>
            </w:r>
            <w:r w:rsidRPr="00123108">
              <w:rPr>
                <w:rFonts w:ascii="宋体" w:hAnsi="宋体" w:cs="Arial" w:hint="eastAsia"/>
                <w:szCs w:val="21"/>
              </w:rPr>
              <w:t>自然存放下很难腐烂分解，在温度大于158~185</w:t>
            </w:r>
            <w:r w:rsidRPr="00123108">
              <w:rPr>
                <w:rFonts w:ascii="宋体" w:hAnsi="宋体" w:cs="Arial"/>
                <w:szCs w:val="21"/>
              </w:rPr>
              <w:t>°F</w:t>
            </w:r>
            <w:r w:rsidRPr="00123108">
              <w:rPr>
                <w:rFonts w:ascii="宋体" w:hAnsi="宋体" w:cs="Arial" w:hint="eastAsia"/>
                <w:szCs w:val="21"/>
              </w:rPr>
              <w:t xml:space="preserve"> （70~85</w:t>
            </w:r>
            <w:r w:rsidRPr="00123108">
              <w:rPr>
                <w:rFonts w:ascii="宋体" w:hAnsi="宋体" w:cs="Arial"/>
                <w:szCs w:val="21"/>
              </w:rPr>
              <w:t>°C</w:t>
            </w:r>
            <w:r w:rsidRPr="00123108">
              <w:rPr>
                <w:rFonts w:ascii="宋体" w:hAnsi="宋体" w:cs="Arial" w:hint="eastAsia"/>
                <w:szCs w:val="21"/>
              </w:rPr>
              <w:t>）时开始发泡并释放出发泡剂，长时间在高温及高能量辐射下会老化、变色</w:t>
            </w:r>
          </w:p>
        </w:tc>
        <w:tc>
          <w:tcPr>
            <w:tcW w:w="1706"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聚合危害：不聚合</w:t>
            </w:r>
          </w:p>
        </w:tc>
      </w:tr>
      <w:tr w:rsidR="004F34D9" w:rsidRPr="00123108">
        <w:trPr>
          <w:cantSplit/>
          <w:trHeight w:val="340"/>
          <w:jc w:val="center"/>
        </w:trPr>
        <w:tc>
          <w:tcPr>
            <w:tcW w:w="500" w:type="dxa"/>
            <w:vMerge/>
            <w:tcBorders>
              <w:left w:val="single" w:sz="4" w:space="0" w:color="auto"/>
              <w:right w:val="single" w:sz="4" w:space="0" w:color="auto"/>
            </w:tcBorders>
            <w:vAlign w:val="center"/>
          </w:tcPr>
          <w:p w:rsidR="004F34D9" w:rsidRPr="00123108" w:rsidRDefault="004F34D9">
            <w:pPr>
              <w:rPr>
                <w:rFonts w:ascii="宋体" w:hAnsi="宋体"/>
                <w:szCs w:val="21"/>
              </w:rPr>
            </w:pPr>
          </w:p>
        </w:tc>
        <w:tc>
          <w:tcPr>
            <w:tcW w:w="3283" w:type="dxa"/>
            <w:gridSpan w:val="4"/>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cs="Arial" w:hint="eastAsia"/>
                <w:szCs w:val="21"/>
              </w:rPr>
              <w:t>不相容物质。热、火源。</w:t>
            </w:r>
          </w:p>
        </w:tc>
        <w:tc>
          <w:tcPr>
            <w:tcW w:w="3859"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燃烧分解产物：</w:t>
            </w:r>
            <w:r w:rsidRPr="00123108">
              <w:rPr>
                <w:rFonts w:ascii="宋体" w:hAnsi="宋体" w:cs="Arial" w:hint="eastAsia"/>
                <w:szCs w:val="21"/>
              </w:rPr>
              <w:t>一氧化碳、二氧化碳等</w:t>
            </w:r>
          </w:p>
        </w:tc>
        <w:tc>
          <w:tcPr>
            <w:tcW w:w="1706"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p>
        </w:tc>
      </w:tr>
      <w:tr w:rsidR="004F34D9" w:rsidRPr="00123108">
        <w:trPr>
          <w:cantSplit/>
          <w:trHeight w:val="340"/>
          <w:jc w:val="center"/>
        </w:trPr>
        <w:tc>
          <w:tcPr>
            <w:tcW w:w="500" w:type="dxa"/>
            <w:vMerge/>
            <w:tcBorders>
              <w:left w:val="single" w:sz="4" w:space="0" w:color="auto"/>
              <w:bottom w:val="single" w:sz="4" w:space="0" w:color="auto"/>
              <w:right w:val="single" w:sz="4" w:space="0" w:color="auto"/>
            </w:tcBorders>
            <w:vAlign w:val="center"/>
          </w:tcPr>
          <w:p w:rsidR="004F34D9" w:rsidRPr="00123108" w:rsidRDefault="004F34D9">
            <w:pPr>
              <w:rPr>
                <w:rFonts w:ascii="宋体" w:hAnsi="宋体"/>
                <w:szCs w:val="21"/>
              </w:rPr>
            </w:pPr>
          </w:p>
        </w:tc>
        <w:tc>
          <w:tcPr>
            <w:tcW w:w="8848" w:type="dxa"/>
            <w:gridSpan w:val="8"/>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 xml:space="preserve">危险特性: </w:t>
            </w:r>
            <w:r w:rsidRPr="00123108">
              <w:rPr>
                <w:rFonts w:ascii="宋体" w:hAnsi="宋体" w:cs="Arial" w:hint="eastAsia"/>
                <w:szCs w:val="21"/>
              </w:rPr>
              <w:t>燃烧过程中将产生有害的CO、CO2等气体。为防止内部再燃，火源中心可以使用大量的水冷却。</w:t>
            </w:r>
          </w:p>
        </w:tc>
      </w:tr>
      <w:tr w:rsidR="004F34D9" w:rsidRPr="00123108">
        <w:trPr>
          <w:cantSplit/>
          <w:trHeight w:val="340"/>
          <w:jc w:val="center"/>
        </w:trPr>
        <w:tc>
          <w:tcPr>
            <w:tcW w:w="500" w:type="dxa"/>
            <w:vMerge/>
            <w:tcBorders>
              <w:left w:val="single" w:sz="4" w:space="0" w:color="auto"/>
              <w:bottom w:val="single" w:sz="4" w:space="0" w:color="auto"/>
              <w:right w:val="single" w:sz="4" w:space="0" w:color="auto"/>
            </w:tcBorders>
            <w:vAlign w:val="center"/>
          </w:tcPr>
          <w:p w:rsidR="004F34D9" w:rsidRPr="00123108" w:rsidRDefault="004F34D9">
            <w:pPr>
              <w:rPr>
                <w:rFonts w:ascii="宋体" w:hAnsi="宋体"/>
                <w:szCs w:val="21"/>
              </w:rPr>
            </w:pPr>
          </w:p>
        </w:tc>
        <w:tc>
          <w:tcPr>
            <w:tcW w:w="8848" w:type="dxa"/>
            <w:gridSpan w:val="8"/>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灭火方法：</w:t>
            </w:r>
            <w:r w:rsidRPr="00123108">
              <w:rPr>
                <w:rFonts w:ascii="宋体" w:hAnsi="宋体" w:cs="Arial" w:hint="eastAsia"/>
                <w:szCs w:val="21"/>
              </w:rPr>
              <w:t>消防员应佩戴自给式呼吸器，穿全身消防服，在上风向灭火。尽可能将容器从火场移至空旷处。用水冷却暴露在火灾中的容器并排放蒸气。隔离事故现场，禁止无关人员进入。收容和处理消防水，防止污染环境。</w:t>
            </w:r>
            <w:r w:rsidRPr="00123108">
              <w:rPr>
                <w:rFonts w:ascii="宋体" w:hAnsi="宋体" w:hint="eastAsia"/>
                <w:szCs w:val="21"/>
              </w:rPr>
              <w:t>。灭火剂：</w:t>
            </w:r>
            <w:r w:rsidRPr="00123108">
              <w:rPr>
                <w:rFonts w:ascii="宋体" w:hAnsi="宋体" w:cs="Arial" w:hint="eastAsia"/>
                <w:szCs w:val="21"/>
              </w:rPr>
              <w:t>雾状水、泡沫、干粉、二氧化碳、砂土。</w:t>
            </w:r>
          </w:p>
        </w:tc>
      </w:tr>
      <w:tr w:rsidR="004F34D9" w:rsidRPr="00123108">
        <w:trPr>
          <w:cantSplit/>
          <w:trHeight w:val="340"/>
          <w:jc w:val="center"/>
        </w:trPr>
        <w:tc>
          <w:tcPr>
            <w:tcW w:w="817"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szCs w:val="21"/>
              </w:rPr>
            </w:pPr>
            <w:r w:rsidRPr="00123108">
              <w:rPr>
                <w:rFonts w:ascii="宋体" w:hAnsi="宋体" w:hint="eastAsia"/>
                <w:szCs w:val="21"/>
              </w:rPr>
              <w:t>毒性</w:t>
            </w:r>
          </w:p>
        </w:tc>
        <w:tc>
          <w:tcPr>
            <w:tcW w:w="8531" w:type="dxa"/>
            <w:gridSpan w:val="7"/>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cs="Arial" w:hint="eastAsia"/>
                <w:szCs w:val="21"/>
              </w:rPr>
              <w:t>戊烷（CAS#109-66-0）：OELs（mg/m3）：</w:t>
            </w:r>
            <w:r w:rsidRPr="00123108">
              <w:rPr>
                <w:rFonts w:ascii="宋体" w:hAnsi="宋体" w:cs="Arial"/>
                <w:szCs w:val="21"/>
              </w:rPr>
              <w:t>PC-TWA</w:t>
            </w:r>
            <w:r w:rsidRPr="00123108">
              <w:rPr>
                <w:rFonts w:ascii="宋体" w:hAnsi="宋体" w:cs="Arial" w:hint="eastAsia"/>
                <w:szCs w:val="21"/>
              </w:rPr>
              <w:t>：</w:t>
            </w:r>
            <w:r w:rsidRPr="00123108">
              <w:rPr>
                <w:rFonts w:ascii="宋体" w:hAnsi="宋体" w:cs="Arial"/>
                <w:szCs w:val="21"/>
              </w:rPr>
              <w:t>500</w:t>
            </w:r>
            <w:r w:rsidRPr="00123108">
              <w:rPr>
                <w:rFonts w:ascii="宋体" w:hAnsi="宋体" w:cs="Arial" w:hint="eastAsia"/>
                <w:szCs w:val="21"/>
              </w:rPr>
              <w:t>，</w:t>
            </w:r>
            <w:r w:rsidRPr="00123108">
              <w:rPr>
                <w:rFonts w:ascii="宋体" w:hAnsi="宋体" w:cs="Arial"/>
                <w:szCs w:val="21"/>
              </w:rPr>
              <w:t>PC-STEL</w:t>
            </w:r>
            <w:r w:rsidRPr="00123108">
              <w:rPr>
                <w:rFonts w:ascii="宋体" w:hAnsi="宋体" w:cs="Arial" w:hint="eastAsia"/>
                <w:szCs w:val="21"/>
              </w:rPr>
              <w:t>：</w:t>
            </w:r>
            <w:r w:rsidRPr="00123108">
              <w:rPr>
                <w:rFonts w:ascii="宋体" w:hAnsi="宋体" w:cs="Arial"/>
                <w:szCs w:val="21"/>
              </w:rPr>
              <w:t>1000</w:t>
            </w:r>
          </w:p>
        </w:tc>
      </w:tr>
      <w:tr w:rsidR="004F34D9" w:rsidRPr="00123108">
        <w:trPr>
          <w:cantSplit/>
          <w:trHeight w:val="340"/>
          <w:jc w:val="center"/>
        </w:trPr>
        <w:tc>
          <w:tcPr>
            <w:tcW w:w="500" w:type="dxa"/>
            <w:vMerge w:val="restart"/>
            <w:tcBorders>
              <w:top w:val="single" w:sz="4" w:space="0" w:color="auto"/>
              <w:left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健康危害</w:t>
            </w:r>
          </w:p>
        </w:tc>
        <w:tc>
          <w:tcPr>
            <w:tcW w:w="8848" w:type="dxa"/>
            <w:gridSpan w:val="8"/>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侵入途经：吸入、食入、经皮吸收。</w:t>
            </w:r>
          </w:p>
        </w:tc>
      </w:tr>
      <w:tr w:rsidR="004F34D9" w:rsidRPr="00123108">
        <w:trPr>
          <w:cantSplit/>
          <w:trHeight w:val="340"/>
          <w:jc w:val="center"/>
        </w:trPr>
        <w:tc>
          <w:tcPr>
            <w:tcW w:w="500" w:type="dxa"/>
            <w:vMerge/>
            <w:tcBorders>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p>
        </w:tc>
        <w:tc>
          <w:tcPr>
            <w:tcW w:w="8848" w:type="dxa"/>
            <w:gridSpan w:val="8"/>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过度接触的影响包括刺激鼻、咽喉、消化道，出现恶心、呕吐和神经系统抑制。眼睛接触，引起轻微刺激。皮肤接触，引起严重刺激，出现发红、刺痛、灼伤等症状，严重损害皮肤。长期反复接触，引起干燥、龟裂、皮炎。食入有低毒。但是食入或呕吐时进入肺部，可引起肺炎或肺损害。吸入有低毒。慢性影响：皮肤接触柴油可出现红斑、丘疹和水疱，长期接触柴油后，皮疹可转为慢性。 </w:t>
            </w:r>
          </w:p>
        </w:tc>
      </w:tr>
      <w:tr w:rsidR="004F34D9" w:rsidRPr="00123108">
        <w:trPr>
          <w:cantSplit/>
          <w:trHeight w:val="340"/>
          <w:jc w:val="center"/>
        </w:trPr>
        <w:tc>
          <w:tcPr>
            <w:tcW w:w="500" w:type="dxa"/>
            <w:tcBorders>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急</w:t>
            </w:r>
          </w:p>
          <w:p w:rsidR="004F34D9" w:rsidRPr="00123108" w:rsidRDefault="004F34D9">
            <w:pPr>
              <w:rPr>
                <w:rFonts w:ascii="宋体" w:hAnsi="宋体" w:hint="eastAsia"/>
                <w:szCs w:val="21"/>
              </w:rPr>
            </w:pPr>
            <w:r w:rsidRPr="00123108">
              <w:rPr>
                <w:rFonts w:ascii="宋体" w:hAnsi="宋体" w:hint="eastAsia"/>
                <w:szCs w:val="21"/>
              </w:rPr>
              <w:t>救</w:t>
            </w:r>
          </w:p>
        </w:tc>
        <w:tc>
          <w:tcPr>
            <w:tcW w:w="8848" w:type="dxa"/>
            <w:gridSpan w:val="8"/>
            <w:tcBorders>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皮肤接触：</w:t>
            </w:r>
            <w:r w:rsidRPr="00123108">
              <w:rPr>
                <w:rFonts w:ascii="宋体" w:hAnsi="宋体" w:cs="Arial" w:hint="eastAsia"/>
                <w:szCs w:val="21"/>
              </w:rPr>
              <w:t>用肥皂水和清水彻底冲洗皮肤。</w:t>
            </w:r>
            <w:r w:rsidRPr="00123108">
              <w:rPr>
                <w:rFonts w:ascii="宋体" w:hAnsi="宋体" w:hint="eastAsia"/>
                <w:szCs w:val="21"/>
              </w:rPr>
              <w:t>。眼睛接触：</w:t>
            </w:r>
            <w:r w:rsidRPr="00123108">
              <w:rPr>
                <w:rFonts w:ascii="宋体" w:hAnsi="宋体" w:cs="Arial" w:hint="eastAsia"/>
                <w:szCs w:val="21"/>
              </w:rPr>
              <w:t>提起眼睑，用流动清水或生理盐水冲洗，必要时就医</w:t>
            </w:r>
            <w:r w:rsidRPr="00123108">
              <w:rPr>
                <w:rFonts w:ascii="宋体" w:hAnsi="宋体" w:hint="eastAsia"/>
                <w:szCs w:val="21"/>
              </w:rPr>
              <w:t>。吸入：</w:t>
            </w:r>
            <w:r w:rsidRPr="00123108">
              <w:rPr>
                <w:rFonts w:ascii="宋体" w:hAnsi="宋体" w:cs="Arial" w:hint="eastAsia"/>
                <w:szCs w:val="21"/>
              </w:rPr>
              <w:t>迅速脱离现场至新鲜空气处，必要时就医。</w:t>
            </w:r>
            <w:r w:rsidRPr="00123108">
              <w:rPr>
                <w:rFonts w:ascii="宋体" w:hAnsi="宋体" w:hint="eastAsia"/>
                <w:szCs w:val="21"/>
              </w:rPr>
              <w:t>。就医。   食入：</w:t>
            </w:r>
            <w:r w:rsidRPr="00123108">
              <w:rPr>
                <w:rFonts w:ascii="宋体" w:hAnsi="宋体" w:cs="Arial" w:hint="eastAsia"/>
                <w:szCs w:val="21"/>
              </w:rPr>
              <w:t>饮足量温水，催吐，必要时就医。</w:t>
            </w:r>
            <w:r w:rsidRPr="00123108">
              <w:rPr>
                <w:rFonts w:ascii="宋体" w:hAnsi="宋体" w:hint="eastAsia"/>
                <w:szCs w:val="21"/>
              </w:rPr>
              <w:t>。</w:t>
            </w:r>
          </w:p>
        </w:tc>
      </w:tr>
      <w:tr w:rsidR="004F34D9" w:rsidRPr="00123108">
        <w:trPr>
          <w:cantSplit/>
          <w:trHeight w:val="340"/>
          <w:jc w:val="center"/>
        </w:trPr>
        <w:tc>
          <w:tcPr>
            <w:tcW w:w="500"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防</w:t>
            </w:r>
          </w:p>
          <w:p w:rsidR="004F34D9" w:rsidRPr="00123108" w:rsidRDefault="004F34D9">
            <w:pPr>
              <w:rPr>
                <w:rFonts w:ascii="宋体" w:hAnsi="宋体" w:hint="eastAsia"/>
                <w:szCs w:val="21"/>
              </w:rPr>
            </w:pPr>
            <w:r w:rsidRPr="00123108">
              <w:rPr>
                <w:rFonts w:ascii="宋体" w:hAnsi="宋体" w:hint="eastAsia"/>
                <w:szCs w:val="21"/>
              </w:rPr>
              <w:t>护</w:t>
            </w:r>
          </w:p>
        </w:tc>
        <w:tc>
          <w:tcPr>
            <w:tcW w:w="8848" w:type="dxa"/>
            <w:gridSpan w:val="8"/>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工程控制:</w:t>
            </w:r>
            <w:r w:rsidRPr="00123108">
              <w:rPr>
                <w:rFonts w:ascii="宋体" w:hAnsi="宋体" w:cs="Arial" w:hint="eastAsia"/>
                <w:szCs w:val="21"/>
              </w:rPr>
              <w:t xml:space="preserve"> 操作处置应在具备局部通风或全面通风换气设施的场所进行。操作人员应遵守操作流程并采用</w:t>
            </w:r>
            <w:r w:rsidRPr="00123108">
              <w:rPr>
                <w:rFonts w:ascii="宋体" w:hAnsi="宋体" w:cs="Arial"/>
                <w:szCs w:val="21"/>
              </w:rPr>
              <w:t>SDS</w:t>
            </w:r>
            <w:r w:rsidRPr="00123108">
              <w:rPr>
                <w:rFonts w:ascii="宋体" w:hAnsi="宋体" w:cs="Arial" w:hint="eastAsia"/>
                <w:szCs w:val="21"/>
              </w:rPr>
              <w:t>第8部分推荐的个体防护装备。远离明火，热表面和点火源。在通风不良时，佩戴合适的呼吸设备。避免与皮肤，眼睛和衣服接触。操作后彻底清洗双手，禁止在工作场所饮食。搬运产品时应轻装轻卸，避免包装及容器损坏。</w:t>
            </w:r>
          </w:p>
        </w:tc>
      </w:tr>
      <w:tr w:rsidR="004F34D9" w:rsidRPr="00123108" w:rsidTr="00D06780">
        <w:trPr>
          <w:cantSplit/>
          <w:trHeight w:val="340"/>
          <w:jc w:val="center"/>
        </w:trPr>
        <w:tc>
          <w:tcPr>
            <w:tcW w:w="1027"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泄漏</w:t>
            </w:r>
          </w:p>
          <w:p w:rsidR="004F34D9" w:rsidRPr="00123108" w:rsidRDefault="004F34D9">
            <w:pPr>
              <w:rPr>
                <w:rFonts w:ascii="宋体" w:hAnsi="宋体" w:hint="eastAsia"/>
                <w:szCs w:val="21"/>
              </w:rPr>
            </w:pPr>
            <w:r w:rsidRPr="00123108">
              <w:rPr>
                <w:rFonts w:ascii="宋体" w:hAnsi="宋体" w:hint="eastAsia"/>
                <w:szCs w:val="21"/>
              </w:rPr>
              <w:t>处理</w:t>
            </w:r>
          </w:p>
        </w:tc>
        <w:tc>
          <w:tcPr>
            <w:tcW w:w="8321" w:type="dxa"/>
            <w:gridSpan w:val="6"/>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cs="Arial" w:hint="eastAsia"/>
                <w:szCs w:val="21"/>
              </w:rPr>
              <w:t>应移开火源，加强通风。颗粒撒落在光滑的地面极易引起人员跌倒受伤。如有撒落，应及时扫净，用洁净铲子收集于干燥、洁净有盖的容器中，未弄脏的颗粒可重新使用。</w:t>
            </w:r>
          </w:p>
        </w:tc>
      </w:tr>
      <w:tr w:rsidR="004F34D9" w:rsidRPr="00123108">
        <w:trPr>
          <w:cantSplit/>
          <w:trHeight w:val="340"/>
          <w:jc w:val="center"/>
        </w:trPr>
        <w:tc>
          <w:tcPr>
            <w:tcW w:w="500" w:type="dxa"/>
            <w:tcBorders>
              <w:top w:val="single" w:sz="4" w:space="0" w:color="auto"/>
              <w:left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储</w:t>
            </w:r>
          </w:p>
          <w:p w:rsidR="004F34D9" w:rsidRPr="00123108" w:rsidRDefault="004F34D9">
            <w:pPr>
              <w:rPr>
                <w:rFonts w:ascii="宋体" w:hAnsi="宋体" w:hint="eastAsia"/>
                <w:szCs w:val="21"/>
              </w:rPr>
            </w:pPr>
            <w:r w:rsidRPr="00123108">
              <w:rPr>
                <w:rFonts w:ascii="宋体" w:hAnsi="宋体" w:hint="eastAsia"/>
                <w:szCs w:val="21"/>
              </w:rPr>
              <w:t>运</w:t>
            </w:r>
          </w:p>
        </w:tc>
        <w:tc>
          <w:tcPr>
            <w:tcW w:w="8848" w:type="dxa"/>
            <w:gridSpan w:val="8"/>
            <w:tcBorders>
              <w:top w:val="single" w:sz="4" w:space="0" w:color="auto"/>
              <w:left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cs="Arial"/>
                <w:szCs w:val="21"/>
              </w:rPr>
              <w:t>储存阴凉通风的</w:t>
            </w:r>
            <w:r w:rsidRPr="00123108">
              <w:rPr>
                <w:rFonts w:ascii="宋体" w:hAnsi="宋体" w:cs="Arial" w:hint="eastAsia"/>
                <w:szCs w:val="21"/>
              </w:rPr>
              <w:t>仓库</w:t>
            </w:r>
            <w:r w:rsidRPr="00123108">
              <w:rPr>
                <w:rFonts w:ascii="宋体" w:hAnsi="宋体" w:cs="Arial"/>
                <w:szCs w:val="21"/>
              </w:rPr>
              <w:t>内，保持通风良好，远离火种、热源，防止阳光直射。储存间内的照明、通风等设施应采用防爆型，开关设在仓外。配备相应品种和数量的消防器材，堆垛不可过高，应留墙距、项距、柱距及必要的防火检查过道。禁止使用易产生火花的机械设备和工具。应与氧化剂、食用化学品分开存放。</w:t>
            </w:r>
          </w:p>
        </w:tc>
      </w:tr>
    </w:tbl>
    <w:p w:rsidR="00D06780" w:rsidRPr="00123108" w:rsidRDefault="00D06780">
      <w:pPr>
        <w:pStyle w:val="2fd"/>
        <w:ind w:firstLineChars="0" w:firstLine="0"/>
        <w:jc w:val="center"/>
        <w:rPr>
          <w:rFonts w:hint="eastAsia"/>
          <w:b/>
          <w:sz w:val="28"/>
          <w:szCs w:val="28"/>
        </w:rPr>
      </w:pPr>
    </w:p>
    <w:p w:rsidR="004F34D9" w:rsidRPr="00123108" w:rsidRDefault="004F34D9">
      <w:pPr>
        <w:pStyle w:val="2fd"/>
        <w:ind w:firstLineChars="0" w:firstLine="0"/>
        <w:jc w:val="center"/>
        <w:rPr>
          <w:b/>
          <w:sz w:val="28"/>
          <w:szCs w:val="28"/>
        </w:rPr>
      </w:pPr>
      <w:r w:rsidRPr="00123108">
        <w:rPr>
          <w:rFonts w:hint="eastAsia"/>
          <w:b/>
          <w:sz w:val="28"/>
          <w:szCs w:val="28"/>
        </w:rPr>
        <w:t>附表</w:t>
      </w:r>
      <w:r w:rsidRPr="00123108">
        <w:rPr>
          <w:rFonts w:hint="eastAsia"/>
          <w:b/>
          <w:sz w:val="28"/>
          <w:szCs w:val="28"/>
        </w:rPr>
        <w:t xml:space="preserve">4.1-9 </w:t>
      </w:r>
      <w:r w:rsidRPr="00123108">
        <w:rPr>
          <w:rFonts w:hint="eastAsia"/>
          <w:b/>
          <w:sz w:val="28"/>
          <w:szCs w:val="28"/>
        </w:rPr>
        <w:t>柴油的理化及危险特性</w:t>
      </w:r>
    </w:p>
    <w:tbl>
      <w:tblPr>
        <w:tblW w:w="9401" w:type="dxa"/>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
        <w:gridCol w:w="317"/>
        <w:gridCol w:w="3728"/>
        <w:gridCol w:w="405"/>
        <w:gridCol w:w="2023"/>
        <w:gridCol w:w="204"/>
        <w:gridCol w:w="2224"/>
      </w:tblGrid>
      <w:tr w:rsidR="004F34D9" w:rsidRPr="00123108">
        <w:trPr>
          <w:cantSplit/>
          <w:trHeight w:val="340"/>
          <w:jc w:val="center"/>
        </w:trPr>
        <w:tc>
          <w:tcPr>
            <w:tcW w:w="500" w:type="dxa"/>
            <w:vMerge w:val="restart"/>
            <w:tcBorders>
              <w:top w:val="single" w:sz="4" w:space="0" w:color="auto"/>
              <w:left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lastRenderedPageBreak/>
              <w:t>标</w:t>
            </w:r>
          </w:p>
          <w:p w:rsidR="004F34D9" w:rsidRPr="00123108" w:rsidRDefault="004F34D9">
            <w:pPr>
              <w:rPr>
                <w:rFonts w:ascii="宋体" w:hAnsi="宋体"/>
                <w:szCs w:val="21"/>
              </w:rPr>
            </w:pPr>
            <w:r w:rsidRPr="00123108">
              <w:rPr>
                <w:rFonts w:ascii="宋体" w:hAnsi="宋体" w:hint="eastAsia"/>
                <w:szCs w:val="21"/>
              </w:rPr>
              <w:t>识</w:t>
            </w:r>
          </w:p>
        </w:tc>
        <w:tc>
          <w:tcPr>
            <w:tcW w:w="4045"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szCs w:val="21"/>
              </w:rPr>
            </w:pPr>
            <w:r w:rsidRPr="00123108">
              <w:rPr>
                <w:rFonts w:ascii="宋体" w:hAnsi="宋体" w:hint="eastAsia"/>
                <w:szCs w:val="21"/>
              </w:rPr>
              <w:t>中文名：柴油</w:t>
            </w:r>
          </w:p>
        </w:tc>
        <w:tc>
          <w:tcPr>
            <w:tcW w:w="4856" w:type="dxa"/>
            <w:gridSpan w:val="4"/>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英文名</w:t>
            </w:r>
            <w:r w:rsidRPr="00123108">
              <w:rPr>
                <w:rFonts w:ascii="宋体" w:hAnsi="宋体" w:hint="eastAsia"/>
                <w:szCs w:val="21"/>
                <w:lang w:val="en-GB"/>
              </w:rPr>
              <w:t>：</w:t>
            </w:r>
            <w:r w:rsidRPr="00123108">
              <w:rPr>
                <w:rFonts w:ascii="宋体" w:hAnsi="宋体" w:hint="eastAsia"/>
                <w:szCs w:val="21"/>
                <w:shd w:val="clear" w:color="auto" w:fill="FFFFFF"/>
              </w:rPr>
              <w:t>Diesel oil</w:t>
            </w:r>
          </w:p>
        </w:tc>
      </w:tr>
      <w:tr w:rsidR="004F34D9" w:rsidRPr="00123108">
        <w:trPr>
          <w:cantSplit/>
          <w:trHeight w:val="340"/>
          <w:jc w:val="center"/>
        </w:trPr>
        <w:tc>
          <w:tcPr>
            <w:tcW w:w="500" w:type="dxa"/>
            <w:vMerge/>
            <w:tcBorders>
              <w:left w:val="single" w:sz="4" w:space="0" w:color="auto"/>
              <w:right w:val="single" w:sz="4" w:space="0" w:color="auto"/>
            </w:tcBorders>
            <w:vAlign w:val="center"/>
          </w:tcPr>
          <w:p w:rsidR="004F34D9" w:rsidRPr="00123108" w:rsidRDefault="004F34D9">
            <w:pPr>
              <w:rPr>
                <w:rFonts w:ascii="宋体" w:hAnsi="宋体"/>
                <w:szCs w:val="21"/>
              </w:rPr>
            </w:pPr>
          </w:p>
        </w:tc>
        <w:tc>
          <w:tcPr>
            <w:tcW w:w="4045"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分子式：</w:t>
            </w:r>
          </w:p>
        </w:tc>
        <w:tc>
          <w:tcPr>
            <w:tcW w:w="2632"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 xml:space="preserve">分子量： </w:t>
            </w:r>
          </w:p>
        </w:tc>
        <w:tc>
          <w:tcPr>
            <w:tcW w:w="2224"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UN编号：1202</w:t>
            </w:r>
          </w:p>
        </w:tc>
      </w:tr>
      <w:tr w:rsidR="004F34D9" w:rsidRPr="00123108">
        <w:trPr>
          <w:cantSplit/>
          <w:trHeight w:val="340"/>
          <w:jc w:val="center"/>
        </w:trPr>
        <w:tc>
          <w:tcPr>
            <w:tcW w:w="500" w:type="dxa"/>
            <w:vMerge/>
            <w:tcBorders>
              <w:left w:val="single" w:sz="4" w:space="0" w:color="auto"/>
              <w:right w:val="single" w:sz="4" w:space="0" w:color="auto"/>
            </w:tcBorders>
            <w:vAlign w:val="center"/>
          </w:tcPr>
          <w:p w:rsidR="004F34D9" w:rsidRPr="00123108" w:rsidRDefault="004F34D9">
            <w:pPr>
              <w:rPr>
                <w:rFonts w:ascii="宋体" w:hAnsi="宋体"/>
                <w:szCs w:val="21"/>
              </w:rPr>
            </w:pPr>
          </w:p>
        </w:tc>
        <w:tc>
          <w:tcPr>
            <w:tcW w:w="4045"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危险类别：</w:t>
            </w:r>
            <w:r w:rsidRPr="00123108">
              <w:rPr>
                <w:rFonts w:ascii="宋体" w:hAnsi="宋体" w:cs="宋体"/>
                <w:kern w:val="0"/>
                <w:sz w:val="20"/>
                <w:szCs w:val="20"/>
              </w:rPr>
              <w:t>易燃液体,类别3</w:t>
            </w:r>
            <w:r w:rsidRPr="00123108">
              <w:rPr>
                <w:rFonts w:ascii="宋体" w:hAnsi="宋体" w:hint="eastAsia"/>
                <w:szCs w:val="21"/>
              </w:rPr>
              <w:t xml:space="preserve"> </w:t>
            </w:r>
          </w:p>
        </w:tc>
        <w:tc>
          <w:tcPr>
            <w:tcW w:w="2632"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危化品目录序号：1674</w:t>
            </w:r>
          </w:p>
        </w:tc>
        <w:tc>
          <w:tcPr>
            <w:tcW w:w="2224"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CAS号：</w:t>
            </w:r>
          </w:p>
        </w:tc>
      </w:tr>
      <w:tr w:rsidR="004F34D9" w:rsidRPr="00123108">
        <w:trPr>
          <w:cantSplit/>
          <w:trHeight w:val="340"/>
          <w:jc w:val="center"/>
        </w:trPr>
        <w:tc>
          <w:tcPr>
            <w:tcW w:w="500" w:type="dxa"/>
            <w:vMerge/>
            <w:tcBorders>
              <w:left w:val="single" w:sz="4" w:space="0" w:color="auto"/>
              <w:bottom w:val="nil"/>
              <w:right w:val="single" w:sz="4" w:space="0" w:color="auto"/>
            </w:tcBorders>
            <w:vAlign w:val="center"/>
          </w:tcPr>
          <w:p w:rsidR="004F34D9" w:rsidRPr="00123108" w:rsidRDefault="004F34D9">
            <w:pPr>
              <w:rPr>
                <w:rFonts w:ascii="宋体" w:hAnsi="宋体"/>
                <w:szCs w:val="21"/>
              </w:rPr>
            </w:pPr>
          </w:p>
        </w:tc>
        <w:tc>
          <w:tcPr>
            <w:tcW w:w="4045"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 xml:space="preserve">包装标志： </w:t>
            </w:r>
          </w:p>
        </w:tc>
        <w:tc>
          <w:tcPr>
            <w:tcW w:w="4856" w:type="dxa"/>
            <w:gridSpan w:val="4"/>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包装类别：Ⅰ类</w:t>
            </w:r>
          </w:p>
        </w:tc>
      </w:tr>
      <w:tr w:rsidR="004F34D9" w:rsidRPr="00123108">
        <w:trPr>
          <w:cantSplit/>
          <w:trHeight w:val="340"/>
          <w:jc w:val="center"/>
        </w:trPr>
        <w:tc>
          <w:tcPr>
            <w:tcW w:w="500" w:type="dxa"/>
            <w:vMerge w:val="restart"/>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理</w:t>
            </w:r>
          </w:p>
          <w:p w:rsidR="004F34D9" w:rsidRPr="00123108" w:rsidRDefault="004F34D9">
            <w:pPr>
              <w:rPr>
                <w:rFonts w:ascii="宋体" w:hAnsi="宋体"/>
                <w:szCs w:val="21"/>
              </w:rPr>
            </w:pPr>
            <w:r w:rsidRPr="00123108">
              <w:rPr>
                <w:rFonts w:ascii="宋体" w:hAnsi="宋体" w:hint="eastAsia"/>
                <w:szCs w:val="21"/>
              </w:rPr>
              <w:t>化</w:t>
            </w:r>
          </w:p>
          <w:p w:rsidR="004F34D9" w:rsidRPr="00123108" w:rsidRDefault="004F34D9">
            <w:pPr>
              <w:rPr>
                <w:rFonts w:ascii="宋体" w:hAnsi="宋体" w:hint="eastAsia"/>
                <w:szCs w:val="21"/>
              </w:rPr>
            </w:pPr>
            <w:r w:rsidRPr="00123108">
              <w:rPr>
                <w:rFonts w:ascii="宋体" w:hAnsi="宋体" w:hint="eastAsia"/>
                <w:szCs w:val="21"/>
              </w:rPr>
              <w:t>性</w:t>
            </w:r>
          </w:p>
          <w:p w:rsidR="004F34D9" w:rsidRPr="00123108" w:rsidRDefault="004F34D9">
            <w:pPr>
              <w:rPr>
                <w:rFonts w:ascii="宋体" w:hAnsi="宋体"/>
                <w:szCs w:val="21"/>
              </w:rPr>
            </w:pPr>
            <w:r w:rsidRPr="00123108">
              <w:rPr>
                <w:rFonts w:ascii="宋体" w:hAnsi="宋体" w:hint="eastAsia"/>
                <w:szCs w:val="21"/>
              </w:rPr>
              <w:t>质</w:t>
            </w:r>
          </w:p>
        </w:tc>
        <w:tc>
          <w:tcPr>
            <w:tcW w:w="4450"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外观与性状：</w:t>
            </w:r>
            <w:r w:rsidRPr="00123108">
              <w:rPr>
                <w:rFonts w:ascii="宋体" w:hAnsi="宋体" w:hint="eastAsia"/>
                <w:szCs w:val="21"/>
                <w:shd w:val="clear" w:color="auto" w:fill="FFFFFF"/>
              </w:rPr>
              <w:t>棕色</w:t>
            </w:r>
            <w:r w:rsidRPr="00123108">
              <w:rPr>
                <w:rFonts w:ascii="宋体" w:hAnsi="宋体" w:hint="eastAsia"/>
                <w:szCs w:val="21"/>
              </w:rPr>
              <w:t>。</w:t>
            </w:r>
          </w:p>
        </w:tc>
        <w:tc>
          <w:tcPr>
            <w:tcW w:w="4451" w:type="dxa"/>
            <w:gridSpan w:val="3"/>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溶解性 ：不溶于水</w:t>
            </w:r>
          </w:p>
        </w:tc>
      </w:tr>
      <w:tr w:rsidR="004F34D9" w:rsidRPr="00123108">
        <w:trPr>
          <w:cantSplit/>
          <w:trHeight w:val="340"/>
          <w:jc w:val="center"/>
        </w:trPr>
        <w:tc>
          <w:tcPr>
            <w:tcW w:w="500" w:type="dxa"/>
            <w:vMerge/>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szCs w:val="21"/>
              </w:rPr>
            </w:pPr>
          </w:p>
        </w:tc>
        <w:tc>
          <w:tcPr>
            <w:tcW w:w="4045"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熔点（℃）：无资料</w:t>
            </w:r>
          </w:p>
        </w:tc>
        <w:tc>
          <w:tcPr>
            <w:tcW w:w="4856" w:type="dxa"/>
            <w:gridSpan w:val="4"/>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沸点（℃）：无资料</w:t>
            </w:r>
          </w:p>
        </w:tc>
      </w:tr>
      <w:tr w:rsidR="004F34D9" w:rsidRPr="00123108">
        <w:trPr>
          <w:cantSplit/>
          <w:trHeight w:val="340"/>
          <w:jc w:val="center"/>
        </w:trPr>
        <w:tc>
          <w:tcPr>
            <w:tcW w:w="500" w:type="dxa"/>
            <w:vMerge/>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szCs w:val="21"/>
              </w:rPr>
            </w:pPr>
          </w:p>
        </w:tc>
        <w:tc>
          <w:tcPr>
            <w:tcW w:w="4045"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相对密度（水＝1）：</w:t>
            </w:r>
            <w:r w:rsidRPr="00123108">
              <w:rPr>
                <w:rFonts w:ascii="宋体" w:hAnsi="宋体" w:hint="eastAsia"/>
                <w:szCs w:val="21"/>
                <w:shd w:val="clear" w:color="auto" w:fill="FFFFFF"/>
              </w:rPr>
              <w:t>0.81-0.845</w:t>
            </w:r>
          </w:p>
        </w:tc>
        <w:tc>
          <w:tcPr>
            <w:tcW w:w="4856" w:type="dxa"/>
            <w:gridSpan w:val="4"/>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相对密度（空气＝1）：</w:t>
            </w:r>
          </w:p>
        </w:tc>
      </w:tr>
      <w:tr w:rsidR="004F34D9" w:rsidRPr="00123108">
        <w:trPr>
          <w:cantSplit/>
          <w:trHeight w:val="340"/>
          <w:jc w:val="center"/>
        </w:trPr>
        <w:tc>
          <w:tcPr>
            <w:tcW w:w="500" w:type="dxa"/>
            <w:vMerge/>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szCs w:val="21"/>
              </w:rPr>
            </w:pPr>
          </w:p>
        </w:tc>
        <w:tc>
          <w:tcPr>
            <w:tcW w:w="4045"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饱和蒸气压（kPa）：无资料</w:t>
            </w:r>
          </w:p>
        </w:tc>
        <w:tc>
          <w:tcPr>
            <w:tcW w:w="4856" w:type="dxa"/>
            <w:gridSpan w:val="4"/>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燃烧热（kJ/mol）：无资料</w:t>
            </w:r>
          </w:p>
        </w:tc>
      </w:tr>
      <w:tr w:rsidR="004F34D9" w:rsidRPr="00123108">
        <w:trPr>
          <w:cantSplit/>
          <w:trHeight w:val="340"/>
          <w:jc w:val="center"/>
        </w:trPr>
        <w:tc>
          <w:tcPr>
            <w:tcW w:w="500" w:type="dxa"/>
            <w:vMerge/>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szCs w:val="21"/>
              </w:rPr>
            </w:pPr>
          </w:p>
        </w:tc>
        <w:tc>
          <w:tcPr>
            <w:tcW w:w="4045"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临界温度（℃）：无资料</w:t>
            </w:r>
          </w:p>
        </w:tc>
        <w:tc>
          <w:tcPr>
            <w:tcW w:w="4856" w:type="dxa"/>
            <w:gridSpan w:val="4"/>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临界压力（MPa）：无资料</w:t>
            </w:r>
          </w:p>
        </w:tc>
      </w:tr>
      <w:tr w:rsidR="004F34D9" w:rsidRPr="00123108">
        <w:trPr>
          <w:cantSplit/>
          <w:trHeight w:val="340"/>
          <w:jc w:val="center"/>
        </w:trPr>
        <w:tc>
          <w:tcPr>
            <w:tcW w:w="500" w:type="dxa"/>
            <w:vMerge w:val="restart"/>
            <w:tcBorders>
              <w:top w:val="single" w:sz="4" w:space="0" w:color="auto"/>
              <w:left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燃</w:t>
            </w:r>
          </w:p>
          <w:p w:rsidR="004F34D9" w:rsidRPr="00123108" w:rsidRDefault="004F34D9">
            <w:pPr>
              <w:rPr>
                <w:rFonts w:ascii="宋体" w:hAnsi="宋体" w:hint="eastAsia"/>
                <w:szCs w:val="21"/>
              </w:rPr>
            </w:pPr>
            <w:r w:rsidRPr="00123108">
              <w:rPr>
                <w:rFonts w:ascii="宋体" w:hAnsi="宋体" w:hint="eastAsia"/>
                <w:szCs w:val="21"/>
              </w:rPr>
              <w:t>烧</w:t>
            </w:r>
          </w:p>
          <w:p w:rsidR="004F34D9" w:rsidRPr="00123108" w:rsidRDefault="004F34D9">
            <w:pPr>
              <w:rPr>
                <w:rFonts w:ascii="宋体" w:hAnsi="宋体" w:hint="eastAsia"/>
                <w:szCs w:val="21"/>
              </w:rPr>
            </w:pPr>
            <w:r w:rsidRPr="00123108">
              <w:rPr>
                <w:rFonts w:ascii="宋体" w:hAnsi="宋体" w:hint="eastAsia"/>
                <w:szCs w:val="21"/>
              </w:rPr>
              <w:t>爆</w:t>
            </w:r>
          </w:p>
          <w:p w:rsidR="004F34D9" w:rsidRPr="00123108" w:rsidRDefault="004F34D9">
            <w:pPr>
              <w:rPr>
                <w:rFonts w:ascii="宋体" w:hAnsi="宋体" w:hint="eastAsia"/>
                <w:szCs w:val="21"/>
              </w:rPr>
            </w:pPr>
            <w:r w:rsidRPr="00123108">
              <w:rPr>
                <w:rFonts w:ascii="宋体" w:hAnsi="宋体" w:hint="eastAsia"/>
                <w:szCs w:val="21"/>
              </w:rPr>
              <w:t>炸</w:t>
            </w:r>
          </w:p>
          <w:p w:rsidR="004F34D9" w:rsidRPr="00123108" w:rsidRDefault="004F34D9">
            <w:pPr>
              <w:rPr>
                <w:rFonts w:ascii="宋体" w:hAnsi="宋体" w:hint="eastAsia"/>
                <w:szCs w:val="21"/>
              </w:rPr>
            </w:pPr>
            <w:r w:rsidRPr="00123108">
              <w:rPr>
                <w:rFonts w:ascii="宋体" w:hAnsi="宋体" w:hint="eastAsia"/>
                <w:szCs w:val="21"/>
              </w:rPr>
              <w:t>危</w:t>
            </w:r>
          </w:p>
          <w:p w:rsidR="004F34D9" w:rsidRPr="00123108" w:rsidRDefault="004F34D9">
            <w:pPr>
              <w:rPr>
                <w:rFonts w:ascii="宋体" w:hAnsi="宋体" w:hint="eastAsia"/>
                <w:szCs w:val="21"/>
              </w:rPr>
            </w:pPr>
            <w:r w:rsidRPr="00123108">
              <w:rPr>
                <w:rFonts w:ascii="宋体" w:hAnsi="宋体" w:hint="eastAsia"/>
                <w:szCs w:val="21"/>
              </w:rPr>
              <w:t>险</w:t>
            </w:r>
          </w:p>
          <w:p w:rsidR="004F34D9" w:rsidRPr="00123108" w:rsidRDefault="004F34D9">
            <w:pPr>
              <w:rPr>
                <w:rFonts w:ascii="宋体" w:hAnsi="宋体"/>
                <w:szCs w:val="21"/>
              </w:rPr>
            </w:pPr>
            <w:r w:rsidRPr="00123108">
              <w:rPr>
                <w:rFonts w:ascii="宋体" w:hAnsi="宋体" w:hint="eastAsia"/>
                <w:szCs w:val="21"/>
              </w:rPr>
              <w:t>性</w:t>
            </w:r>
          </w:p>
        </w:tc>
        <w:tc>
          <w:tcPr>
            <w:tcW w:w="4045"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szCs w:val="21"/>
              </w:rPr>
            </w:pPr>
            <w:r w:rsidRPr="00123108">
              <w:rPr>
                <w:rFonts w:ascii="宋体" w:hAnsi="宋体" w:hint="eastAsia"/>
                <w:szCs w:val="21"/>
              </w:rPr>
              <w:t>燃烧性： 易燃</w:t>
            </w:r>
          </w:p>
        </w:tc>
        <w:tc>
          <w:tcPr>
            <w:tcW w:w="4856" w:type="dxa"/>
            <w:gridSpan w:val="4"/>
            <w:tcBorders>
              <w:top w:val="single" w:sz="4" w:space="0" w:color="auto"/>
              <w:left w:val="single" w:sz="4" w:space="0" w:color="auto"/>
              <w:bottom w:val="single" w:sz="4" w:space="0" w:color="auto"/>
              <w:right w:val="single" w:sz="4" w:space="0" w:color="auto"/>
            </w:tcBorders>
            <w:vAlign w:val="center"/>
          </w:tcPr>
          <w:p w:rsidR="004F34D9" w:rsidRPr="00123108" w:rsidRDefault="004F34D9" w:rsidP="00E97DEC">
            <w:pPr>
              <w:rPr>
                <w:rFonts w:ascii="宋体" w:hAnsi="宋体" w:hint="eastAsia"/>
                <w:szCs w:val="21"/>
              </w:rPr>
            </w:pPr>
            <w:r w:rsidRPr="00123108">
              <w:rPr>
                <w:rFonts w:ascii="宋体" w:hAnsi="宋体" w:hint="eastAsia"/>
                <w:szCs w:val="21"/>
              </w:rPr>
              <w:t>闪点（℃）：＞</w:t>
            </w:r>
            <w:r w:rsidR="00E97DEC" w:rsidRPr="00123108">
              <w:rPr>
                <w:rFonts w:ascii="宋体" w:hAnsi="宋体" w:hint="eastAsia"/>
                <w:szCs w:val="21"/>
              </w:rPr>
              <w:t>61</w:t>
            </w:r>
          </w:p>
        </w:tc>
      </w:tr>
      <w:tr w:rsidR="004F34D9" w:rsidRPr="00123108">
        <w:trPr>
          <w:cantSplit/>
          <w:trHeight w:val="340"/>
          <w:jc w:val="center"/>
        </w:trPr>
        <w:tc>
          <w:tcPr>
            <w:tcW w:w="500" w:type="dxa"/>
            <w:vMerge/>
            <w:tcBorders>
              <w:top w:val="single" w:sz="4" w:space="0" w:color="auto"/>
              <w:left w:val="single" w:sz="4" w:space="0" w:color="auto"/>
              <w:right w:val="single" w:sz="4" w:space="0" w:color="auto"/>
            </w:tcBorders>
            <w:vAlign w:val="center"/>
          </w:tcPr>
          <w:p w:rsidR="004F34D9" w:rsidRPr="00123108" w:rsidRDefault="004F34D9">
            <w:pPr>
              <w:rPr>
                <w:rFonts w:ascii="宋体" w:hAnsi="宋体" w:hint="eastAsia"/>
                <w:szCs w:val="21"/>
              </w:rPr>
            </w:pPr>
          </w:p>
        </w:tc>
        <w:tc>
          <w:tcPr>
            <w:tcW w:w="4045"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vertAlign w:val="superscript"/>
              </w:rPr>
            </w:pPr>
            <w:r w:rsidRPr="00123108">
              <w:rPr>
                <w:rFonts w:ascii="宋体" w:hAnsi="宋体" w:hint="eastAsia"/>
                <w:szCs w:val="21"/>
              </w:rPr>
              <w:t>爆炸下限（%）：无资料</w:t>
            </w:r>
          </w:p>
        </w:tc>
        <w:tc>
          <w:tcPr>
            <w:tcW w:w="4856" w:type="dxa"/>
            <w:gridSpan w:val="4"/>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爆炸上限（%）：无资料</w:t>
            </w:r>
          </w:p>
        </w:tc>
      </w:tr>
      <w:tr w:rsidR="004F34D9" w:rsidRPr="00123108">
        <w:trPr>
          <w:cantSplit/>
          <w:trHeight w:val="340"/>
          <w:jc w:val="center"/>
        </w:trPr>
        <w:tc>
          <w:tcPr>
            <w:tcW w:w="500" w:type="dxa"/>
            <w:vMerge/>
            <w:tcBorders>
              <w:top w:val="single" w:sz="4" w:space="0" w:color="auto"/>
              <w:left w:val="single" w:sz="4" w:space="0" w:color="auto"/>
              <w:right w:val="single" w:sz="4" w:space="0" w:color="auto"/>
            </w:tcBorders>
            <w:vAlign w:val="center"/>
          </w:tcPr>
          <w:p w:rsidR="004F34D9" w:rsidRPr="00123108" w:rsidRDefault="004F34D9">
            <w:pPr>
              <w:rPr>
                <w:rFonts w:ascii="宋体" w:hAnsi="宋体" w:hint="eastAsia"/>
                <w:szCs w:val="21"/>
              </w:rPr>
            </w:pPr>
          </w:p>
        </w:tc>
        <w:tc>
          <w:tcPr>
            <w:tcW w:w="4045"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引燃温度（℃）：</w:t>
            </w:r>
            <w:r w:rsidRPr="00123108">
              <w:rPr>
                <w:rFonts w:ascii="宋体" w:hAnsi="宋体" w:hint="eastAsia"/>
                <w:szCs w:val="21"/>
                <w:shd w:val="clear" w:color="auto" w:fill="FFFFFF"/>
              </w:rPr>
              <w:t>257</w:t>
            </w:r>
          </w:p>
        </w:tc>
        <w:tc>
          <w:tcPr>
            <w:tcW w:w="4856" w:type="dxa"/>
            <w:gridSpan w:val="4"/>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最小点火能（mJ）：无资料</w:t>
            </w:r>
          </w:p>
        </w:tc>
      </w:tr>
      <w:tr w:rsidR="004F34D9" w:rsidRPr="00123108">
        <w:trPr>
          <w:cantSplit/>
          <w:trHeight w:val="340"/>
          <w:jc w:val="center"/>
        </w:trPr>
        <w:tc>
          <w:tcPr>
            <w:tcW w:w="500" w:type="dxa"/>
            <w:vMerge/>
            <w:tcBorders>
              <w:left w:val="single" w:sz="4" w:space="0" w:color="auto"/>
              <w:right w:val="single" w:sz="4" w:space="0" w:color="auto"/>
            </w:tcBorders>
            <w:vAlign w:val="center"/>
          </w:tcPr>
          <w:p w:rsidR="004F34D9" w:rsidRPr="00123108" w:rsidRDefault="004F34D9">
            <w:pPr>
              <w:rPr>
                <w:rFonts w:ascii="宋体" w:hAnsi="宋体"/>
                <w:szCs w:val="21"/>
              </w:rPr>
            </w:pPr>
          </w:p>
        </w:tc>
        <w:tc>
          <w:tcPr>
            <w:tcW w:w="4045"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 xml:space="preserve">最大爆炸压力（MPa）： </w:t>
            </w:r>
          </w:p>
        </w:tc>
        <w:tc>
          <w:tcPr>
            <w:tcW w:w="2428"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稳定性： 稳定</w:t>
            </w:r>
          </w:p>
        </w:tc>
        <w:tc>
          <w:tcPr>
            <w:tcW w:w="2428"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聚合危害：不聚合</w:t>
            </w:r>
          </w:p>
        </w:tc>
      </w:tr>
      <w:tr w:rsidR="004F34D9" w:rsidRPr="00123108">
        <w:trPr>
          <w:cantSplit/>
          <w:trHeight w:val="340"/>
          <w:jc w:val="center"/>
        </w:trPr>
        <w:tc>
          <w:tcPr>
            <w:tcW w:w="500" w:type="dxa"/>
            <w:vMerge/>
            <w:tcBorders>
              <w:left w:val="single" w:sz="4" w:space="0" w:color="auto"/>
              <w:right w:val="single" w:sz="4" w:space="0" w:color="auto"/>
            </w:tcBorders>
            <w:vAlign w:val="center"/>
          </w:tcPr>
          <w:p w:rsidR="004F34D9" w:rsidRPr="00123108" w:rsidRDefault="004F34D9">
            <w:pPr>
              <w:rPr>
                <w:rFonts w:ascii="宋体" w:hAnsi="宋体"/>
                <w:szCs w:val="21"/>
              </w:rPr>
            </w:pPr>
          </w:p>
        </w:tc>
        <w:tc>
          <w:tcPr>
            <w:tcW w:w="4045"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避免接触的条件： 明火、高热</w:t>
            </w:r>
          </w:p>
        </w:tc>
        <w:tc>
          <w:tcPr>
            <w:tcW w:w="2428"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 xml:space="preserve">燃烧分解产物： </w:t>
            </w:r>
          </w:p>
        </w:tc>
        <w:tc>
          <w:tcPr>
            <w:tcW w:w="2428"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禁忌物：</w:t>
            </w:r>
            <w:r w:rsidRPr="00123108">
              <w:rPr>
                <w:rFonts w:ascii="宋体" w:hAnsi="宋体" w:hint="eastAsia"/>
                <w:szCs w:val="21"/>
                <w:shd w:val="clear" w:color="auto" w:fill="FFFFFF"/>
              </w:rPr>
              <w:t>氧化剂</w:t>
            </w:r>
          </w:p>
        </w:tc>
      </w:tr>
      <w:tr w:rsidR="004F34D9" w:rsidRPr="00123108">
        <w:trPr>
          <w:cantSplit/>
          <w:trHeight w:val="340"/>
          <w:jc w:val="center"/>
        </w:trPr>
        <w:tc>
          <w:tcPr>
            <w:tcW w:w="500" w:type="dxa"/>
            <w:vMerge/>
            <w:tcBorders>
              <w:left w:val="single" w:sz="4" w:space="0" w:color="auto"/>
              <w:bottom w:val="single" w:sz="4" w:space="0" w:color="auto"/>
              <w:right w:val="single" w:sz="4" w:space="0" w:color="auto"/>
            </w:tcBorders>
            <w:vAlign w:val="center"/>
          </w:tcPr>
          <w:p w:rsidR="004F34D9" w:rsidRPr="00123108" w:rsidRDefault="004F34D9">
            <w:pPr>
              <w:rPr>
                <w:rFonts w:ascii="宋体" w:hAnsi="宋体"/>
                <w:szCs w:val="21"/>
              </w:rPr>
            </w:pPr>
          </w:p>
        </w:tc>
        <w:tc>
          <w:tcPr>
            <w:tcW w:w="8901" w:type="dxa"/>
            <w:gridSpan w:val="6"/>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hint="eastAsia"/>
              </w:rPr>
            </w:pPr>
            <w:r w:rsidRPr="00123108">
              <w:rPr>
                <w:rFonts w:hint="eastAsia"/>
              </w:rPr>
              <w:t>危险特性</w:t>
            </w:r>
            <w:r w:rsidRPr="00123108">
              <w:rPr>
                <w:rFonts w:hint="eastAsia"/>
              </w:rPr>
              <w:t xml:space="preserve">: </w:t>
            </w:r>
            <w:r w:rsidRPr="00123108">
              <w:rPr>
                <w:rFonts w:hint="eastAsia"/>
              </w:rPr>
              <w:t>本品易燃</w:t>
            </w:r>
            <w:r w:rsidRPr="00123108">
              <w:rPr>
                <w:rFonts w:hint="eastAsia"/>
              </w:rPr>
              <w:t>,</w:t>
            </w:r>
            <w:r w:rsidRPr="00123108">
              <w:rPr>
                <w:rFonts w:hint="eastAsia"/>
              </w:rPr>
              <w:t>具刺激性。遇明火、高热有引起燃烧爆炸的危险，若遇高热、容器内压增大，有开裂和爆炸的危险，能与强氧化剂反应。</w:t>
            </w:r>
          </w:p>
        </w:tc>
      </w:tr>
      <w:tr w:rsidR="004F34D9" w:rsidRPr="00123108">
        <w:trPr>
          <w:cantSplit/>
          <w:trHeight w:val="340"/>
          <w:jc w:val="center"/>
        </w:trPr>
        <w:tc>
          <w:tcPr>
            <w:tcW w:w="500" w:type="dxa"/>
            <w:vMerge/>
            <w:tcBorders>
              <w:left w:val="single" w:sz="4" w:space="0" w:color="auto"/>
              <w:bottom w:val="single" w:sz="4" w:space="0" w:color="auto"/>
              <w:right w:val="single" w:sz="4" w:space="0" w:color="auto"/>
            </w:tcBorders>
            <w:vAlign w:val="center"/>
          </w:tcPr>
          <w:p w:rsidR="004F34D9" w:rsidRPr="00123108" w:rsidRDefault="004F34D9">
            <w:pPr>
              <w:rPr>
                <w:rFonts w:ascii="宋体" w:hAnsi="宋体"/>
                <w:szCs w:val="21"/>
              </w:rPr>
            </w:pPr>
          </w:p>
        </w:tc>
        <w:tc>
          <w:tcPr>
            <w:tcW w:w="8901" w:type="dxa"/>
            <w:gridSpan w:val="6"/>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hint="eastAsia"/>
              </w:rPr>
            </w:pPr>
            <w:r w:rsidRPr="00123108">
              <w:rPr>
                <w:rFonts w:hint="eastAsia"/>
              </w:rPr>
              <w:t>灭火方法：消防人员须佩戴空气呼吸器、穿全身消防服，在上风向灭火。尽可能将容器从火场移至空旷处。喷水保持火场容器冷却，直至灭火结束。处在火场中的容器若已变色或从安全泄压装置中产生声音，必须马上撤离。灭火剂：水、泡沫、干粉、二氧化碳、砂土。</w:t>
            </w:r>
          </w:p>
        </w:tc>
      </w:tr>
      <w:tr w:rsidR="004F34D9" w:rsidRPr="00123108">
        <w:trPr>
          <w:cantSplit/>
          <w:trHeight w:val="340"/>
          <w:jc w:val="center"/>
        </w:trPr>
        <w:tc>
          <w:tcPr>
            <w:tcW w:w="817" w:type="dxa"/>
            <w:gridSpan w:val="2"/>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szCs w:val="21"/>
              </w:rPr>
            </w:pPr>
            <w:r w:rsidRPr="00123108">
              <w:rPr>
                <w:rFonts w:ascii="宋体" w:hAnsi="宋体" w:hint="eastAsia"/>
                <w:szCs w:val="21"/>
              </w:rPr>
              <w:t>毒性</w:t>
            </w:r>
          </w:p>
        </w:tc>
        <w:tc>
          <w:tcPr>
            <w:tcW w:w="8584" w:type="dxa"/>
            <w:gridSpan w:val="5"/>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LD</w:t>
            </w:r>
            <w:r w:rsidRPr="00123108">
              <w:rPr>
                <w:rFonts w:ascii="宋体" w:hAnsi="宋体" w:hint="eastAsia"/>
                <w:szCs w:val="21"/>
                <w:vertAlign w:val="subscript"/>
              </w:rPr>
              <w:t>50</w:t>
            </w:r>
            <w:r w:rsidRPr="00123108">
              <w:rPr>
                <w:rFonts w:ascii="宋体" w:hAnsi="宋体" w:hint="eastAsia"/>
                <w:szCs w:val="21"/>
              </w:rPr>
              <w:t>：    LD</w:t>
            </w:r>
            <w:r w:rsidRPr="00123108">
              <w:rPr>
                <w:rFonts w:ascii="宋体" w:hAnsi="宋体" w:hint="eastAsia"/>
                <w:szCs w:val="21"/>
                <w:vertAlign w:val="subscript"/>
              </w:rPr>
              <w:t>50</w:t>
            </w:r>
            <w:r w:rsidRPr="00123108">
              <w:rPr>
                <w:rFonts w:ascii="宋体" w:hAnsi="宋体" w:hint="eastAsia"/>
                <w:szCs w:val="21"/>
              </w:rPr>
              <w:t xml:space="preserve">： </w:t>
            </w:r>
          </w:p>
        </w:tc>
      </w:tr>
      <w:tr w:rsidR="004F34D9" w:rsidRPr="00123108">
        <w:trPr>
          <w:cantSplit/>
          <w:trHeight w:val="340"/>
          <w:jc w:val="center"/>
        </w:trPr>
        <w:tc>
          <w:tcPr>
            <w:tcW w:w="500" w:type="dxa"/>
            <w:vMerge w:val="restart"/>
            <w:tcBorders>
              <w:top w:val="single" w:sz="4" w:space="0" w:color="auto"/>
              <w:left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健康危害</w:t>
            </w:r>
          </w:p>
        </w:tc>
        <w:tc>
          <w:tcPr>
            <w:tcW w:w="8901" w:type="dxa"/>
            <w:gridSpan w:val="6"/>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侵入途经：吸入、食入、经皮吸收。</w:t>
            </w:r>
          </w:p>
        </w:tc>
      </w:tr>
      <w:tr w:rsidR="004F34D9" w:rsidRPr="00123108">
        <w:trPr>
          <w:cantSplit/>
          <w:trHeight w:val="340"/>
          <w:jc w:val="center"/>
        </w:trPr>
        <w:tc>
          <w:tcPr>
            <w:tcW w:w="500" w:type="dxa"/>
            <w:vMerge/>
            <w:tcBorders>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p>
        </w:tc>
        <w:tc>
          <w:tcPr>
            <w:tcW w:w="8901" w:type="dxa"/>
            <w:gridSpan w:val="6"/>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hint="eastAsia"/>
              </w:rPr>
            </w:pPr>
            <w:r w:rsidRPr="00123108">
              <w:rPr>
                <w:rFonts w:hint="eastAsia"/>
              </w:rPr>
              <w:t>过度接触的影响包括刺激鼻、咽喉、消化道，出现恶心、呕吐和神经系统抑制。眼睛接触，引起轻微刺激。皮肤接触，引起严重刺激，出现发红、刺痛、灼伤等症状，严重损害皮肤。长期反复接触，引起干燥、龟裂、皮炎。食入有低毒。但是食入或呕吐时进入肺部，可引起肺炎或肺损害。吸入有低毒。慢性影响：皮肤接触柴油可出现红斑、丘疹和水疱，长期接触柴油后，皮疹可转为慢性。</w:t>
            </w:r>
            <w:r w:rsidRPr="00123108">
              <w:rPr>
                <w:rFonts w:hint="eastAsia"/>
              </w:rPr>
              <w:t> </w:t>
            </w:r>
          </w:p>
        </w:tc>
      </w:tr>
      <w:tr w:rsidR="004F34D9" w:rsidRPr="00123108">
        <w:trPr>
          <w:cantSplit/>
          <w:trHeight w:val="340"/>
          <w:jc w:val="center"/>
        </w:trPr>
        <w:tc>
          <w:tcPr>
            <w:tcW w:w="500" w:type="dxa"/>
            <w:tcBorders>
              <w:left w:val="single" w:sz="4" w:space="0" w:color="auto"/>
              <w:bottom w:val="single" w:sz="4" w:space="0" w:color="auto"/>
              <w:right w:val="single" w:sz="4" w:space="0" w:color="auto"/>
            </w:tcBorders>
            <w:vAlign w:val="center"/>
          </w:tcPr>
          <w:p w:rsidR="004F34D9" w:rsidRPr="00123108" w:rsidRDefault="004F34D9">
            <w:pPr>
              <w:rPr>
                <w:rFonts w:hint="eastAsia"/>
              </w:rPr>
            </w:pPr>
            <w:r w:rsidRPr="00123108">
              <w:rPr>
                <w:rFonts w:hint="eastAsia"/>
              </w:rPr>
              <w:t>急</w:t>
            </w:r>
          </w:p>
          <w:p w:rsidR="004F34D9" w:rsidRPr="00123108" w:rsidRDefault="004F34D9">
            <w:pPr>
              <w:rPr>
                <w:rFonts w:hint="eastAsia"/>
              </w:rPr>
            </w:pPr>
            <w:r w:rsidRPr="00123108">
              <w:rPr>
                <w:rFonts w:hint="eastAsia"/>
              </w:rPr>
              <w:t>救</w:t>
            </w:r>
          </w:p>
        </w:tc>
        <w:tc>
          <w:tcPr>
            <w:tcW w:w="8901" w:type="dxa"/>
            <w:gridSpan w:val="6"/>
            <w:tcBorders>
              <w:left w:val="single" w:sz="4" w:space="0" w:color="auto"/>
              <w:bottom w:val="single" w:sz="4" w:space="0" w:color="auto"/>
              <w:right w:val="single" w:sz="4" w:space="0" w:color="auto"/>
            </w:tcBorders>
            <w:vAlign w:val="center"/>
          </w:tcPr>
          <w:p w:rsidR="004F34D9" w:rsidRPr="00123108" w:rsidRDefault="004F34D9">
            <w:pPr>
              <w:rPr>
                <w:rFonts w:hint="eastAsia"/>
              </w:rPr>
            </w:pPr>
            <w:r w:rsidRPr="00123108">
              <w:rPr>
                <w:rFonts w:hint="eastAsia"/>
              </w:rPr>
              <w:t>皮肤接触：立即脱去污染的衣着</w:t>
            </w:r>
            <w:r w:rsidRPr="00123108">
              <w:rPr>
                <w:rFonts w:hint="eastAsia"/>
              </w:rPr>
              <w:t>,</w:t>
            </w:r>
            <w:r w:rsidRPr="00123108">
              <w:rPr>
                <w:rFonts w:hint="eastAsia"/>
              </w:rPr>
              <w:t>用肥皂水和清水彻底冲洗皮肤。就医。眼睛接触：提起眼睑</w:t>
            </w:r>
            <w:r w:rsidRPr="00123108">
              <w:rPr>
                <w:rFonts w:hint="eastAsia"/>
              </w:rPr>
              <w:t>,</w:t>
            </w:r>
            <w:r w:rsidRPr="00123108">
              <w:rPr>
                <w:rFonts w:hint="eastAsia"/>
              </w:rPr>
              <w:t>用流动清水或生理盐水冲洗。就医。吸入：迅速脱离现场至空气新鲜处。保持呼吸道通畅。如呼吸困难</w:t>
            </w:r>
            <w:r w:rsidRPr="00123108">
              <w:rPr>
                <w:rFonts w:hint="eastAsia"/>
              </w:rPr>
              <w:t>,</w:t>
            </w:r>
            <w:r w:rsidRPr="00123108">
              <w:rPr>
                <w:rFonts w:hint="eastAsia"/>
              </w:rPr>
              <w:t>给输氧。如呼吸停止</w:t>
            </w:r>
            <w:r w:rsidRPr="00123108">
              <w:rPr>
                <w:rFonts w:hint="eastAsia"/>
              </w:rPr>
              <w:t>,</w:t>
            </w:r>
            <w:r w:rsidRPr="00123108">
              <w:rPr>
                <w:rFonts w:hint="eastAsia"/>
              </w:rPr>
              <w:t>立即进行人工呼吸。就医。</w:t>
            </w:r>
            <w:r w:rsidRPr="00123108">
              <w:rPr>
                <w:rFonts w:hint="eastAsia"/>
              </w:rPr>
              <w:t xml:space="preserve">   </w:t>
            </w:r>
            <w:r w:rsidRPr="00123108">
              <w:rPr>
                <w:rFonts w:hint="eastAsia"/>
              </w:rPr>
              <w:t>食入：尽快彻底洗胃。就医。</w:t>
            </w:r>
          </w:p>
        </w:tc>
      </w:tr>
      <w:tr w:rsidR="004F34D9" w:rsidRPr="00123108">
        <w:trPr>
          <w:cantSplit/>
          <w:trHeight w:val="340"/>
          <w:jc w:val="center"/>
        </w:trPr>
        <w:tc>
          <w:tcPr>
            <w:tcW w:w="500"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ascii="宋体" w:hAnsi="宋体" w:hint="eastAsia"/>
                <w:szCs w:val="21"/>
              </w:rPr>
            </w:pPr>
            <w:r w:rsidRPr="00123108">
              <w:rPr>
                <w:rFonts w:ascii="宋体" w:hAnsi="宋体" w:hint="eastAsia"/>
                <w:szCs w:val="21"/>
              </w:rPr>
              <w:t>防</w:t>
            </w:r>
          </w:p>
          <w:p w:rsidR="004F34D9" w:rsidRPr="00123108" w:rsidRDefault="004F34D9">
            <w:pPr>
              <w:rPr>
                <w:rFonts w:ascii="宋体" w:hAnsi="宋体" w:hint="eastAsia"/>
                <w:szCs w:val="21"/>
              </w:rPr>
            </w:pPr>
            <w:r w:rsidRPr="00123108">
              <w:rPr>
                <w:rFonts w:ascii="宋体" w:hAnsi="宋体" w:hint="eastAsia"/>
                <w:szCs w:val="21"/>
              </w:rPr>
              <w:t>护</w:t>
            </w:r>
          </w:p>
        </w:tc>
        <w:tc>
          <w:tcPr>
            <w:tcW w:w="8901" w:type="dxa"/>
            <w:gridSpan w:val="6"/>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hint="eastAsia"/>
              </w:rPr>
            </w:pPr>
            <w:r w:rsidRPr="00123108">
              <w:rPr>
                <w:rFonts w:hint="eastAsia"/>
              </w:rPr>
              <w:t>工程控制</w:t>
            </w:r>
            <w:r w:rsidRPr="00123108">
              <w:rPr>
                <w:rFonts w:hint="eastAsia"/>
              </w:rPr>
              <w:t xml:space="preserve">: </w:t>
            </w:r>
            <w:r w:rsidRPr="00123108">
              <w:rPr>
                <w:rFonts w:hint="eastAsia"/>
              </w:rPr>
              <w:t>密闭操作</w:t>
            </w:r>
            <w:r w:rsidRPr="00123108">
              <w:rPr>
                <w:rFonts w:hint="eastAsia"/>
              </w:rPr>
              <w:t>,</w:t>
            </w:r>
            <w:r w:rsidRPr="00123108">
              <w:rPr>
                <w:rFonts w:hint="eastAsia"/>
              </w:rPr>
              <w:t>注意通风。呼吸系统防护</w:t>
            </w:r>
            <w:r w:rsidRPr="00123108">
              <w:rPr>
                <w:rFonts w:hint="eastAsia"/>
              </w:rPr>
              <w:t xml:space="preserve">: </w:t>
            </w:r>
            <w:r w:rsidRPr="00123108">
              <w:rPr>
                <w:rFonts w:hint="eastAsia"/>
              </w:rPr>
              <w:t>空气中浓度超标时</w:t>
            </w:r>
            <w:r w:rsidRPr="00123108">
              <w:rPr>
                <w:rFonts w:hint="eastAsia"/>
              </w:rPr>
              <w:t>,</w:t>
            </w:r>
            <w:r w:rsidRPr="00123108">
              <w:rPr>
                <w:rFonts w:hint="eastAsia"/>
              </w:rPr>
              <w:t>建议佩戴自吸过滤式防毒面具（半面罩）。紧急事态抢救或撤离时</w:t>
            </w:r>
            <w:r w:rsidRPr="00123108">
              <w:rPr>
                <w:rFonts w:hint="eastAsia"/>
              </w:rPr>
              <w:t>,</w:t>
            </w:r>
            <w:r w:rsidRPr="00123108">
              <w:rPr>
                <w:rFonts w:hint="eastAsia"/>
              </w:rPr>
              <w:t>应该佩戴空气呼吸器。</w:t>
            </w:r>
            <w:r w:rsidRPr="00123108">
              <w:t>眼睛防护</w:t>
            </w:r>
            <w:r w:rsidRPr="00123108">
              <w:rPr>
                <w:rFonts w:hint="eastAsia"/>
              </w:rPr>
              <w:t xml:space="preserve">: </w:t>
            </w:r>
            <w:r w:rsidRPr="00123108">
              <w:rPr>
                <w:rFonts w:hint="eastAsia"/>
              </w:rPr>
              <w:t>戴化学安全防护眼镜。</w:t>
            </w:r>
            <w:r w:rsidRPr="00123108">
              <w:t>身体防护</w:t>
            </w:r>
            <w:r w:rsidRPr="00123108">
              <w:rPr>
                <w:rFonts w:hint="eastAsia"/>
              </w:rPr>
              <w:t xml:space="preserve">: </w:t>
            </w:r>
            <w:r w:rsidRPr="00123108">
              <w:rPr>
                <w:rFonts w:hint="eastAsia"/>
              </w:rPr>
              <w:t>穿防静电工作服。</w:t>
            </w:r>
            <w:r w:rsidRPr="00123108">
              <w:t>手防护</w:t>
            </w:r>
            <w:r w:rsidRPr="00123108">
              <w:rPr>
                <w:rFonts w:hint="eastAsia"/>
              </w:rPr>
              <w:t xml:space="preserve">: </w:t>
            </w:r>
            <w:r w:rsidRPr="00123108">
              <w:rPr>
                <w:rFonts w:hint="eastAsia"/>
              </w:rPr>
              <w:t>戴橡胶耐油手套。其它</w:t>
            </w:r>
            <w:r w:rsidRPr="00123108">
              <w:rPr>
                <w:rFonts w:hint="eastAsia"/>
              </w:rPr>
              <w:t xml:space="preserve">: </w:t>
            </w:r>
            <w:r w:rsidRPr="00123108">
              <w:rPr>
                <w:rFonts w:hint="eastAsia"/>
              </w:rPr>
              <w:t>工作现场严禁吸烟。避免长期反复接触。。</w:t>
            </w:r>
          </w:p>
        </w:tc>
      </w:tr>
      <w:tr w:rsidR="004F34D9" w:rsidRPr="00123108">
        <w:trPr>
          <w:cantSplit/>
          <w:trHeight w:val="340"/>
          <w:jc w:val="center"/>
        </w:trPr>
        <w:tc>
          <w:tcPr>
            <w:tcW w:w="500" w:type="dxa"/>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hint="eastAsia"/>
              </w:rPr>
            </w:pPr>
            <w:r w:rsidRPr="00123108">
              <w:rPr>
                <w:rFonts w:hint="eastAsia"/>
              </w:rPr>
              <w:t>泄</w:t>
            </w:r>
          </w:p>
          <w:p w:rsidR="004F34D9" w:rsidRPr="00123108" w:rsidRDefault="004F34D9">
            <w:pPr>
              <w:rPr>
                <w:rFonts w:hint="eastAsia"/>
              </w:rPr>
            </w:pPr>
            <w:r w:rsidRPr="00123108">
              <w:rPr>
                <w:rFonts w:hint="eastAsia"/>
              </w:rPr>
              <w:t>漏</w:t>
            </w:r>
          </w:p>
          <w:p w:rsidR="004F34D9" w:rsidRPr="00123108" w:rsidRDefault="004F34D9">
            <w:pPr>
              <w:rPr>
                <w:rFonts w:hint="eastAsia"/>
              </w:rPr>
            </w:pPr>
            <w:r w:rsidRPr="00123108">
              <w:rPr>
                <w:rFonts w:hint="eastAsia"/>
              </w:rPr>
              <w:t>处</w:t>
            </w:r>
          </w:p>
          <w:p w:rsidR="004F34D9" w:rsidRPr="00123108" w:rsidRDefault="004F34D9">
            <w:pPr>
              <w:rPr>
                <w:rFonts w:hint="eastAsia"/>
              </w:rPr>
            </w:pPr>
            <w:r w:rsidRPr="00123108">
              <w:rPr>
                <w:rFonts w:hint="eastAsia"/>
              </w:rPr>
              <w:t>理</w:t>
            </w:r>
          </w:p>
        </w:tc>
        <w:tc>
          <w:tcPr>
            <w:tcW w:w="8901" w:type="dxa"/>
            <w:gridSpan w:val="6"/>
            <w:tcBorders>
              <w:top w:val="single" w:sz="4" w:space="0" w:color="auto"/>
              <w:left w:val="single" w:sz="4" w:space="0" w:color="auto"/>
              <w:bottom w:val="single" w:sz="4" w:space="0" w:color="auto"/>
              <w:right w:val="single" w:sz="4" w:space="0" w:color="auto"/>
            </w:tcBorders>
            <w:vAlign w:val="center"/>
          </w:tcPr>
          <w:p w:rsidR="004F34D9" w:rsidRPr="00123108" w:rsidRDefault="004F34D9">
            <w:pPr>
              <w:rPr>
                <w:rFonts w:hint="eastAsia"/>
              </w:rPr>
            </w:pPr>
            <w:r w:rsidRPr="00123108">
              <w:rPr>
                <w:rFonts w:hint="eastAsia"/>
              </w:rPr>
              <w:t>迅速撤离泄漏污染区人员至安全区</w:t>
            </w:r>
            <w:r w:rsidRPr="00123108">
              <w:rPr>
                <w:rFonts w:hint="eastAsia"/>
              </w:rPr>
              <w:t>,</w:t>
            </w:r>
            <w:r w:rsidRPr="00123108">
              <w:rPr>
                <w:rFonts w:hint="eastAsia"/>
              </w:rPr>
              <w:t>并进行隔离</w:t>
            </w:r>
            <w:r w:rsidRPr="00123108">
              <w:rPr>
                <w:rFonts w:hint="eastAsia"/>
              </w:rPr>
              <w:t>,</w:t>
            </w:r>
            <w:r w:rsidRPr="00123108">
              <w:rPr>
                <w:rFonts w:hint="eastAsia"/>
              </w:rPr>
              <w:t>严格限制出入。切断火源。建议应急处理人员戴自给正压式呼吸器</w:t>
            </w:r>
            <w:r w:rsidRPr="00123108">
              <w:rPr>
                <w:rFonts w:hint="eastAsia"/>
              </w:rPr>
              <w:t>,</w:t>
            </w:r>
            <w:r w:rsidRPr="00123108">
              <w:rPr>
                <w:rFonts w:hint="eastAsia"/>
              </w:rPr>
              <w:t>穿一般作业工作服。尽可能切断泄漏源。防止流入下水道、排洪沟等限制性空间。小量泄漏：用干燥的砂土或其它不燃材料吸收，收集于容器中。大量泄漏：构筑围堤或挖坑收容。用泵转移至槽车或专用收集器内</w:t>
            </w:r>
          </w:p>
        </w:tc>
      </w:tr>
      <w:tr w:rsidR="004F34D9" w:rsidRPr="00123108">
        <w:trPr>
          <w:cantSplit/>
          <w:trHeight w:val="340"/>
          <w:jc w:val="center"/>
        </w:trPr>
        <w:tc>
          <w:tcPr>
            <w:tcW w:w="500" w:type="dxa"/>
            <w:tcBorders>
              <w:top w:val="single" w:sz="4" w:space="0" w:color="auto"/>
              <w:left w:val="single" w:sz="4" w:space="0" w:color="auto"/>
              <w:right w:val="single" w:sz="4" w:space="0" w:color="auto"/>
            </w:tcBorders>
            <w:vAlign w:val="center"/>
          </w:tcPr>
          <w:p w:rsidR="004F34D9" w:rsidRPr="00123108" w:rsidRDefault="004F34D9">
            <w:pPr>
              <w:rPr>
                <w:rFonts w:hint="eastAsia"/>
              </w:rPr>
            </w:pPr>
            <w:r w:rsidRPr="00123108">
              <w:rPr>
                <w:rFonts w:hint="eastAsia"/>
              </w:rPr>
              <w:t>储</w:t>
            </w:r>
          </w:p>
          <w:p w:rsidR="004F34D9" w:rsidRPr="00123108" w:rsidRDefault="004F34D9">
            <w:pPr>
              <w:rPr>
                <w:rFonts w:hint="eastAsia"/>
              </w:rPr>
            </w:pPr>
            <w:r w:rsidRPr="00123108">
              <w:rPr>
                <w:rFonts w:hint="eastAsia"/>
              </w:rPr>
              <w:t>运</w:t>
            </w:r>
          </w:p>
        </w:tc>
        <w:tc>
          <w:tcPr>
            <w:tcW w:w="8901" w:type="dxa"/>
            <w:gridSpan w:val="6"/>
            <w:tcBorders>
              <w:top w:val="single" w:sz="4" w:space="0" w:color="auto"/>
              <w:left w:val="single" w:sz="4" w:space="0" w:color="auto"/>
              <w:right w:val="single" w:sz="4" w:space="0" w:color="auto"/>
            </w:tcBorders>
            <w:vAlign w:val="center"/>
          </w:tcPr>
          <w:p w:rsidR="004F34D9" w:rsidRPr="00123108" w:rsidRDefault="004F34D9">
            <w:pPr>
              <w:rPr>
                <w:rFonts w:hint="eastAsia"/>
              </w:rPr>
            </w:pPr>
            <w:r w:rsidRPr="00123108">
              <w:rPr>
                <w:rFonts w:hint="eastAsia"/>
              </w:rPr>
              <w:t>运输前应先检查包装容器是否完整、密封，运输过程中要确保容器不泄漏、不倒塌、不坠落、不损坏。运输时运输车辆应配备相应品种和数量的消防器材及泄漏应急处理设备。夏季最好早晚运输。运输时所用的槽（罐）车应有接地链，槽内可设孔隔板以减少震荡产生静电。严禁与氧化剂、卤素、食用化学品等混装混运。运输途中应防曝晒、雨淋，防高温。中途停留时应远离火种、热源、高温区。装运该物品的车辆排气管必须配备阻火装置，禁止使用易产生火花的机械设备和工具装卸。运输车船必须彻底清洗、消毒，否则不得装运其它物品。船运时，配装位置应远离卧室、厨房，并与机舱、电源、火源等部位隔离。公路运输时要按规定路线行驶。</w:t>
            </w:r>
          </w:p>
        </w:tc>
      </w:tr>
    </w:tbl>
    <w:p w:rsidR="004F34D9" w:rsidRPr="00123108" w:rsidRDefault="004F34D9">
      <w:pPr>
        <w:autoSpaceDE w:val="0"/>
        <w:autoSpaceDN w:val="0"/>
        <w:adjustRightInd w:val="0"/>
        <w:spacing w:line="360" w:lineRule="auto"/>
        <w:outlineLvl w:val="1"/>
        <w:rPr>
          <w:rFonts w:ascii="宋体" w:hAnsi="宋体"/>
          <w:kern w:val="0"/>
          <w:sz w:val="28"/>
          <w:szCs w:val="28"/>
        </w:rPr>
        <w:sectPr w:rsidR="004F34D9" w:rsidRPr="00123108">
          <w:pgSz w:w="11907" w:h="16840"/>
          <w:pgMar w:top="1418" w:right="1134" w:bottom="1134" w:left="1588" w:header="851" w:footer="992" w:gutter="0"/>
          <w:paperSrc w:first="7" w:other="7"/>
          <w:cols w:space="720"/>
          <w:docGrid w:linePitch="437" w:charSpace="4301"/>
        </w:sectPr>
      </w:pPr>
    </w:p>
    <w:p w:rsidR="004F34D9" w:rsidRPr="00123108" w:rsidRDefault="004F34D9">
      <w:pPr>
        <w:jc w:val="center"/>
        <w:rPr>
          <w:rFonts w:ascii="黑体" w:eastAsia="黑体" w:hAnsi="黑体" w:hint="eastAsia"/>
          <w:sz w:val="28"/>
          <w:szCs w:val="28"/>
        </w:rPr>
      </w:pPr>
      <w:r w:rsidRPr="00123108">
        <w:rPr>
          <w:rFonts w:ascii="黑体" w:eastAsia="黑体" w:hAnsi="黑体" w:hint="eastAsia"/>
          <w:sz w:val="28"/>
          <w:szCs w:val="28"/>
        </w:rPr>
        <w:lastRenderedPageBreak/>
        <w:t>附表4.1-11 D-柠檬烯的理化及危险特性表</w:t>
      </w:r>
    </w:p>
    <w:tbl>
      <w:tblPr>
        <w:tblW w:w="917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347"/>
        <w:gridCol w:w="3570"/>
        <w:gridCol w:w="2217"/>
        <w:gridCol w:w="2552"/>
      </w:tblGrid>
      <w:tr w:rsidR="004F34D9" w:rsidRPr="00123108">
        <w:trPr>
          <w:cantSplit/>
          <w:trHeight w:val="20"/>
          <w:jc w:val="center"/>
        </w:trPr>
        <w:tc>
          <w:tcPr>
            <w:tcW w:w="488" w:type="dxa"/>
            <w:vMerge w:val="restart"/>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标  识</w:t>
            </w:r>
          </w:p>
        </w:tc>
        <w:tc>
          <w:tcPr>
            <w:tcW w:w="3917" w:type="dxa"/>
            <w:gridSpan w:val="2"/>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中文名：D-柠檬烯</w:t>
            </w:r>
          </w:p>
        </w:tc>
        <w:tc>
          <w:tcPr>
            <w:tcW w:w="4769" w:type="dxa"/>
            <w:gridSpan w:val="2"/>
            <w:vAlign w:val="center"/>
          </w:tcPr>
          <w:p w:rsidR="004F34D9" w:rsidRPr="00123108" w:rsidRDefault="004F34D9">
            <w:pPr>
              <w:spacing w:line="320" w:lineRule="exact"/>
              <w:rPr>
                <w:rFonts w:ascii="宋体" w:hAnsi="宋体" w:hint="eastAsia"/>
                <w:spacing w:val="-20"/>
                <w:szCs w:val="21"/>
              </w:rPr>
            </w:pPr>
            <w:r w:rsidRPr="00123108">
              <w:rPr>
                <w:rFonts w:ascii="宋体" w:hAnsi="宋体" w:hint="eastAsia"/>
                <w:spacing w:val="-20"/>
                <w:szCs w:val="21"/>
              </w:rPr>
              <w:t>英文名</w:t>
            </w:r>
            <w:r w:rsidRPr="00123108">
              <w:rPr>
                <w:rFonts w:ascii="宋体" w:hAnsi="宋体" w:hint="eastAsia"/>
                <w:spacing w:val="-20"/>
                <w:szCs w:val="21"/>
                <w:lang w:val="en-GB"/>
              </w:rPr>
              <w:t>：</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szCs w:val="21"/>
              </w:rPr>
            </w:pPr>
          </w:p>
        </w:tc>
        <w:tc>
          <w:tcPr>
            <w:tcW w:w="3917" w:type="dxa"/>
            <w:gridSpan w:val="2"/>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分子式</w:t>
            </w:r>
            <w:r w:rsidRPr="00123108">
              <w:rPr>
                <w:rFonts w:ascii="宋体" w:hAnsi="宋体" w:hint="eastAsia"/>
                <w:szCs w:val="21"/>
                <w:lang w:val="en-GB"/>
              </w:rPr>
              <w:t>：</w:t>
            </w:r>
          </w:p>
        </w:tc>
        <w:tc>
          <w:tcPr>
            <w:tcW w:w="2217" w:type="dxa"/>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 xml:space="preserve">分子量： </w:t>
            </w:r>
          </w:p>
        </w:tc>
        <w:tc>
          <w:tcPr>
            <w:tcW w:w="2552" w:type="dxa"/>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UN编号：</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szCs w:val="21"/>
              </w:rPr>
            </w:pPr>
          </w:p>
        </w:tc>
        <w:tc>
          <w:tcPr>
            <w:tcW w:w="3917" w:type="dxa"/>
            <w:gridSpan w:val="2"/>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危险类别：</w:t>
            </w:r>
            <w:r w:rsidRPr="00123108">
              <w:rPr>
                <w:rFonts w:ascii="宋体" w:hAnsi="宋体"/>
                <w:szCs w:val="21"/>
              </w:rPr>
              <w:t>易燃液体</w:t>
            </w:r>
          </w:p>
        </w:tc>
        <w:tc>
          <w:tcPr>
            <w:tcW w:w="2217" w:type="dxa"/>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危化品目录序号：2828</w:t>
            </w:r>
          </w:p>
        </w:tc>
        <w:tc>
          <w:tcPr>
            <w:tcW w:w="2552" w:type="dxa"/>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CAS号：</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szCs w:val="21"/>
              </w:rPr>
            </w:pPr>
          </w:p>
        </w:tc>
        <w:tc>
          <w:tcPr>
            <w:tcW w:w="3917" w:type="dxa"/>
            <w:gridSpan w:val="2"/>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包装标志：</w:t>
            </w:r>
          </w:p>
        </w:tc>
        <w:tc>
          <w:tcPr>
            <w:tcW w:w="4769" w:type="dxa"/>
            <w:gridSpan w:val="2"/>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包装类别：Ⅱ类</w:t>
            </w:r>
          </w:p>
        </w:tc>
      </w:tr>
      <w:tr w:rsidR="004F34D9" w:rsidRPr="00123108">
        <w:trPr>
          <w:cantSplit/>
          <w:trHeight w:val="20"/>
          <w:jc w:val="center"/>
        </w:trPr>
        <w:tc>
          <w:tcPr>
            <w:tcW w:w="488" w:type="dxa"/>
            <w:vMerge w:val="restart"/>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理 化 性 质</w:t>
            </w:r>
          </w:p>
        </w:tc>
        <w:tc>
          <w:tcPr>
            <w:tcW w:w="8686" w:type="dxa"/>
            <w:gridSpan w:val="4"/>
            <w:vAlign w:val="center"/>
          </w:tcPr>
          <w:p w:rsidR="004F34D9" w:rsidRPr="00123108" w:rsidRDefault="004F34D9">
            <w:pPr>
              <w:spacing w:line="320" w:lineRule="exact"/>
              <w:rPr>
                <w:rFonts w:ascii="宋体" w:hAnsi="宋体" w:hint="eastAsia"/>
                <w:b/>
                <w:bCs/>
                <w:szCs w:val="21"/>
              </w:rPr>
            </w:pPr>
            <w:r w:rsidRPr="00123108">
              <w:rPr>
                <w:rFonts w:ascii="宋体" w:hAnsi="宋体" w:hint="eastAsia"/>
                <w:bCs/>
                <w:szCs w:val="21"/>
              </w:rPr>
              <w:t>外观与性状：</w:t>
            </w:r>
            <w:r w:rsidRPr="00123108">
              <w:rPr>
                <w:rFonts w:ascii="宋体" w:hAnsi="宋体"/>
                <w:szCs w:val="21"/>
              </w:rPr>
              <w:t>强橙色香气</w:t>
            </w:r>
            <w:r w:rsidRPr="00123108">
              <w:rPr>
                <w:rFonts w:ascii="宋体" w:hAnsi="宋体" w:hint="eastAsia"/>
                <w:bCs/>
                <w:szCs w:val="21"/>
              </w:rPr>
              <w:t>。</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szCs w:val="21"/>
              </w:rPr>
            </w:pPr>
          </w:p>
        </w:tc>
        <w:tc>
          <w:tcPr>
            <w:tcW w:w="8686" w:type="dxa"/>
            <w:gridSpan w:val="4"/>
            <w:vAlign w:val="center"/>
          </w:tcPr>
          <w:p w:rsidR="004F34D9" w:rsidRPr="00123108" w:rsidRDefault="004F34D9">
            <w:pPr>
              <w:spacing w:line="320" w:lineRule="exact"/>
              <w:rPr>
                <w:rFonts w:ascii="宋体" w:hAnsi="宋体" w:hint="eastAsia"/>
                <w:b/>
                <w:bCs/>
                <w:szCs w:val="21"/>
              </w:rPr>
            </w:pPr>
            <w:r w:rsidRPr="00123108">
              <w:rPr>
                <w:rFonts w:ascii="宋体" w:hAnsi="宋体" w:hint="eastAsia"/>
                <w:szCs w:val="21"/>
              </w:rPr>
              <w:t>溶解性：易溶于水、乙醇、甘油，不溶于丙酮。</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szCs w:val="21"/>
              </w:rPr>
            </w:pPr>
          </w:p>
        </w:tc>
        <w:tc>
          <w:tcPr>
            <w:tcW w:w="3917" w:type="dxa"/>
            <w:gridSpan w:val="2"/>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 xml:space="preserve">熔点（℃）  </w:t>
            </w:r>
            <w:r w:rsidRPr="00123108">
              <w:rPr>
                <w:rFonts w:ascii="宋体" w:hAnsi="宋体"/>
                <w:szCs w:val="21"/>
              </w:rPr>
              <w:t xml:space="preserve">： -96° </w:t>
            </w:r>
            <w:r w:rsidRPr="00123108">
              <w:rPr>
                <w:rFonts w:ascii="宋体" w:hAnsi="宋体" w:cs="Arial"/>
                <w:szCs w:val="21"/>
              </w:rPr>
              <w:t xml:space="preserve">C </w:t>
            </w:r>
            <w:r w:rsidRPr="00123108">
              <w:rPr>
                <w:rFonts w:ascii="宋体" w:hAnsi="宋体"/>
                <w:szCs w:val="21"/>
              </w:rPr>
              <w:t xml:space="preserve">(-141° </w:t>
            </w:r>
            <w:r w:rsidRPr="00123108">
              <w:rPr>
                <w:rFonts w:ascii="宋体" w:hAnsi="宋体" w:cs="Arial"/>
                <w:szCs w:val="21"/>
              </w:rPr>
              <w:t>F</w:t>
            </w:r>
            <w:r w:rsidRPr="00123108">
              <w:rPr>
                <w:rFonts w:ascii="宋体" w:hAnsi="宋体"/>
                <w:szCs w:val="21"/>
              </w:rPr>
              <w:t>)</w:t>
            </w:r>
          </w:p>
        </w:tc>
        <w:tc>
          <w:tcPr>
            <w:tcW w:w="4769" w:type="dxa"/>
            <w:gridSpan w:val="2"/>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沸点（℃）</w:t>
            </w:r>
            <w:r w:rsidRPr="00123108">
              <w:rPr>
                <w:rFonts w:ascii="宋体" w:hAnsi="宋体"/>
                <w:szCs w:val="21"/>
              </w:rPr>
              <w:t xml:space="preserve">176° </w:t>
            </w:r>
            <w:r w:rsidRPr="00123108">
              <w:rPr>
                <w:rFonts w:ascii="宋体" w:hAnsi="宋体" w:cs="Arial"/>
                <w:szCs w:val="21"/>
              </w:rPr>
              <w:t xml:space="preserve">C </w:t>
            </w:r>
            <w:r w:rsidRPr="00123108">
              <w:rPr>
                <w:rFonts w:ascii="宋体" w:hAnsi="宋体"/>
                <w:szCs w:val="21"/>
              </w:rPr>
              <w:t xml:space="preserve">(348.8° </w:t>
            </w:r>
            <w:r w:rsidRPr="00123108">
              <w:rPr>
                <w:rFonts w:ascii="宋体" w:hAnsi="宋体" w:cs="Arial"/>
                <w:szCs w:val="21"/>
              </w:rPr>
              <w:t>F</w:t>
            </w:r>
            <w:r w:rsidRPr="00123108">
              <w:rPr>
                <w:rFonts w:ascii="宋体" w:hAnsi="宋体"/>
                <w:szCs w:val="21"/>
              </w:rPr>
              <w:t>)</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szCs w:val="21"/>
              </w:rPr>
            </w:pPr>
          </w:p>
        </w:tc>
        <w:tc>
          <w:tcPr>
            <w:tcW w:w="3917" w:type="dxa"/>
            <w:gridSpan w:val="2"/>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 xml:space="preserve">相对密度（水＝1）  </w:t>
            </w:r>
            <w:r w:rsidRPr="00123108">
              <w:rPr>
                <w:rFonts w:ascii="宋体" w:hAnsi="宋体"/>
                <w:szCs w:val="21"/>
              </w:rPr>
              <w:t xml:space="preserve">0.838 - 0.843 在 25° </w:t>
            </w:r>
            <w:r w:rsidRPr="00123108">
              <w:rPr>
                <w:rFonts w:ascii="宋体" w:hAnsi="宋体" w:cs="Arial"/>
                <w:szCs w:val="21"/>
              </w:rPr>
              <w:t xml:space="preserve">C </w:t>
            </w:r>
            <w:r w:rsidRPr="00123108">
              <w:rPr>
                <w:rFonts w:ascii="宋体" w:hAnsi="宋体"/>
                <w:szCs w:val="21"/>
              </w:rPr>
              <w:t xml:space="preserve">( 77° </w:t>
            </w:r>
            <w:r w:rsidRPr="00123108">
              <w:rPr>
                <w:rFonts w:ascii="宋体" w:hAnsi="宋体" w:cs="Arial"/>
                <w:szCs w:val="21"/>
              </w:rPr>
              <w:t xml:space="preserve">F </w:t>
            </w:r>
            <w:r w:rsidRPr="00123108">
              <w:rPr>
                <w:rFonts w:ascii="宋体" w:hAnsi="宋体"/>
                <w:szCs w:val="21"/>
              </w:rPr>
              <w:t>)</w:t>
            </w:r>
          </w:p>
        </w:tc>
        <w:tc>
          <w:tcPr>
            <w:tcW w:w="4769" w:type="dxa"/>
            <w:gridSpan w:val="2"/>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 xml:space="preserve">相对密度（空气＝1）  </w:t>
            </w:r>
            <w:r w:rsidRPr="00123108">
              <w:rPr>
                <w:rFonts w:ascii="宋体" w:hAnsi="宋体"/>
                <w:szCs w:val="21"/>
              </w:rPr>
              <w:t>4.7 (空气= 1)</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szCs w:val="21"/>
              </w:rPr>
            </w:pPr>
          </w:p>
        </w:tc>
        <w:tc>
          <w:tcPr>
            <w:tcW w:w="3917" w:type="dxa"/>
            <w:gridSpan w:val="2"/>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饱和蒸气压（kPa）无资料</w:t>
            </w:r>
          </w:p>
        </w:tc>
        <w:tc>
          <w:tcPr>
            <w:tcW w:w="4769" w:type="dxa"/>
            <w:gridSpan w:val="2"/>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燃烧热（kJ/mol）   无意义</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szCs w:val="21"/>
              </w:rPr>
            </w:pPr>
          </w:p>
        </w:tc>
        <w:tc>
          <w:tcPr>
            <w:tcW w:w="3917" w:type="dxa"/>
            <w:gridSpan w:val="2"/>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临界温度（℃） —</w:t>
            </w:r>
          </w:p>
        </w:tc>
        <w:tc>
          <w:tcPr>
            <w:tcW w:w="4769" w:type="dxa"/>
            <w:gridSpan w:val="2"/>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临界压力（MPa） —</w:t>
            </w:r>
          </w:p>
        </w:tc>
      </w:tr>
      <w:tr w:rsidR="004F34D9" w:rsidRPr="00123108">
        <w:trPr>
          <w:cantSplit/>
          <w:trHeight w:val="20"/>
          <w:jc w:val="center"/>
        </w:trPr>
        <w:tc>
          <w:tcPr>
            <w:tcW w:w="488" w:type="dxa"/>
            <w:vMerge w:val="restart"/>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燃烧爆炸危险性</w:t>
            </w:r>
          </w:p>
        </w:tc>
        <w:tc>
          <w:tcPr>
            <w:tcW w:w="3917" w:type="dxa"/>
            <w:gridSpan w:val="2"/>
            <w:vAlign w:val="center"/>
          </w:tcPr>
          <w:p w:rsidR="004F34D9" w:rsidRPr="00123108" w:rsidRDefault="004F34D9">
            <w:pPr>
              <w:spacing w:line="320" w:lineRule="exact"/>
              <w:rPr>
                <w:rFonts w:ascii="宋体" w:hAnsi="宋体"/>
                <w:szCs w:val="21"/>
              </w:rPr>
            </w:pPr>
            <w:r w:rsidRPr="00123108">
              <w:rPr>
                <w:rFonts w:ascii="宋体" w:hAnsi="宋体" w:hint="eastAsia"/>
                <w:szCs w:val="21"/>
              </w:rPr>
              <w:t>燃烧性： 不燃</w:t>
            </w:r>
          </w:p>
        </w:tc>
        <w:tc>
          <w:tcPr>
            <w:tcW w:w="4769" w:type="dxa"/>
            <w:gridSpan w:val="2"/>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 xml:space="preserve">闪点（℃）  </w:t>
            </w:r>
            <w:r w:rsidRPr="00123108">
              <w:rPr>
                <w:rFonts w:ascii="宋体" w:hAnsi="宋体"/>
                <w:szCs w:val="21"/>
              </w:rPr>
              <w:t xml:space="preserve">&gt;43° </w:t>
            </w:r>
            <w:r w:rsidRPr="00123108">
              <w:rPr>
                <w:rFonts w:ascii="宋体" w:hAnsi="宋体" w:cs="Arial"/>
                <w:szCs w:val="21"/>
              </w:rPr>
              <w:t xml:space="preserve">C </w:t>
            </w:r>
            <w:r w:rsidRPr="00123108">
              <w:rPr>
                <w:rFonts w:ascii="宋体" w:hAnsi="宋体"/>
                <w:szCs w:val="21"/>
              </w:rPr>
              <w:t xml:space="preserve">( &gt; 109° </w:t>
            </w:r>
            <w:r w:rsidRPr="00123108">
              <w:rPr>
                <w:rFonts w:ascii="宋体" w:hAnsi="宋体" w:cs="Arial"/>
                <w:szCs w:val="21"/>
              </w:rPr>
              <w:t>F</w:t>
            </w:r>
            <w:r w:rsidRPr="00123108">
              <w:rPr>
                <w:rFonts w:ascii="宋体" w:hAnsi="宋体"/>
                <w:szCs w:val="21"/>
              </w:rPr>
              <w:t>)</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szCs w:val="21"/>
              </w:rPr>
            </w:pPr>
          </w:p>
        </w:tc>
        <w:tc>
          <w:tcPr>
            <w:tcW w:w="3917" w:type="dxa"/>
            <w:gridSpan w:val="2"/>
            <w:vAlign w:val="center"/>
          </w:tcPr>
          <w:p w:rsidR="004F34D9" w:rsidRPr="00123108" w:rsidRDefault="004F34D9" w:rsidP="00E97DEC">
            <w:pPr>
              <w:spacing w:line="320" w:lineRule="exact"/>
              <w:rPr>
                <w:rFonts w:ascii="宋体" w:hAnsi="宋体" w:hint="eastAsia"/>
                <w:szCs w:val="21"/>
              </w:rPr>
            </w:pPr>
            <w:r w:rsidRPr="00123108">
              <w:rPr>
                <w:rFonts w:ascii="宋体" w:hAnsi="宋体" w:hint="eastAsia"/>
                <w:szCs w:val="21"/>
              </w:rPr>
              <w:t>爆炸下限（%）</w:t>
            </w:r>
            <w:r w:rsidR="00E97DEC" w:rsidRPr="00123108">
              <w:rPr>
                <w:rFonts w:ascii="宋体" w:hAnsi="宋体" w:hint="eastAsia"/>
                <w:szCs w:val="21"/>
              </w:rPr>
              <w:t>0.7</w:t>
            </w:r>
          </w:p>
        </w:tc>
        <w:tc>
          <w:tcPr>
            <w:tcW w:w="4769" w:type="dxa"/>
            <w:gridSpan w:val="2"/>
            <w:vAlign w:val="center"/>
          </w:tcPr>
          <w:p w:rsidR="004F34D9" w:rsidRPr="00123108" w:rsidRDefault="004F34D9" w:rsidP="00E97DEC">
            <w:pPr>
              <w:spacing w:line="320" w:lineRule="exact"/>
              <w:rPr>
                <w:rFonts w:ascii="宋体" w:hAnsi="宋体" w:hint="eastAsia"/>
                <w:szCs w:val="21"/>
              </w:rPr>
            </w:pPr>
            <w:r w:rsidRPr="00123108">
              <w:rPr>
                <w:rFonts w:ascii="宋体" w:hAnsi="宋体" w:hint="eastAsia"/>
                <w:szCs w:val="21"/>
              </w:rPr>
              <w:t>爆炸上限（%）</w:t>
            </w:r>
            <w:r w:rsidR="00E97DEC" w:rsidRPr="00123108">
              <w:rPr>
                <w:rFonts w:ascii="宋体" w:hAnsi="宋体" w:hint="eastAsia"/>
                <w:szCs w:val="21"/>
              </w:rPr>
              <w:t>6.1</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szCs w:val="21"/>
              </w:rPr>
            </w:pPr>
          </w:p>
        </w:tc>
        <w:tc>
          <w:tcPr>
            <w:tcW w:w="3917" w:type="dxa"/>
            <w:gridSpan w:val="2"/>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引燃温度（℃）无意义</w:t>
            </w:r>
          </w:p>
        </w:tc>
        <w:tc>
          <w:tcPr>
            <w:tcW w:w="4769" w:type="dxa"/>
            <w:gridSpan w:val="2"/>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最小点火能：（mJ）  无资料</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szCs w:val="21"/>
              </w:rPr>
            </w:pPr>
          </w:p>
        </w:tc>
        <w:tc>
          <w:tcPr>
            <w:tcW w:w="3917" w:type="dxa"/>
            <w:gridSpan w:val="2"/>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最大爆炸压力（MPa）  无资料</w:t>
            </w:r>
          </w:p>
        </w:tc>
        <w:tc>
          <w:tcPr>
            <w:tcW w:w="4769" w:type="dxa"/>
            <w:gridSpan w:val="2"/>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稳定性： 稳定</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szCs w:val="21"/>
              </w:rPr>
            </w:pPr>
          </w:p>
        </w:tc>
        <w:tc>
          <w:tcPr>
            <w:tcW w:w="3917" w:type="dxa"/>
            <w:gridSpan w:val="2"/>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聚合危害： 不聚合</w:t>
            </w:r>
          </w:p>
        </w:tc>
        <w:tc>
          <w:tcPr>
            <w:tcW w:w="4769" w:type="dxa"/>
            <w:gridSpan w:val="2"/>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燃烧分解产物：无资料。</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szCs w:val="21"/>
              </w:rPr>
            </w:pPr>
          </w:p>
        </w:tc>
        <w:tc>
          <w:tcPr>
            <w:tcW w:w="8686" w:type="dxa"/>
            <w:gridSpan w:val="4"/>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 xml:space="preserve">避免接触的条件  </w:t>
            </w:r>
            <w:r w:rsidRPr="00123108">
              <w:rPr>
                <w:rFonts w:ascii="宋体" w:hAnsi="宋体"/>
                <w:szCs w:val="21"/>
              </w:rPr>
              <w:t>高温火源</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szCs w:val="21"/>
              </w:rPr>
            </w:pPr>
          </w:p>
        </w:tc>
        <w:tc>
          <w:tcPr>
            <w:tcW w:w="8686" w:type="dxa"/>
            <w:gridSpan w:val="4"/>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禁忌物：</w:t>
            </w:r>
            <w:r w:rsidRPr="00123108">
              <w:rPr>
                <w:rFonts w:ascii="宋体" w:hAnsi="宋体"/>
                <w:szCs w:val="21"/>
              </w:rPr>
              <w:t>强氧化剂和强酸， 包括酸性粘土， 过氧化物， 卤素， 氯乙烯和五氟化碘</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szCs w:val="21"/>
              </w:rPr>
            </w:pPr>
          </w:p>
        </w:tc>
        <w:tc>
          <w:tcPr>
            <w:tcW w:w="8686" w:type="dxa"/>
            <w:gridSpan w:val="4"/>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危险特性：易燃，其蒸气可与空气形成爆炸性混合物。遇明火、高热能引起燃烧爆炸。与氧化剂能发生强烈反应。流速过快，容易产生和积聚静电。其蒸气比空气重，能在较低处扩散到相当远的地方，遇明火会引着回燃。</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szCs w:val="21"/>
              </w:rPr>
            </w:pPr>
          </w:p>
        </w:tc>
        <w:tc>
          <w:tcPr>
            <w:tcW w:w="8686" w:type="dxa"/>
            <w:gridSpan w:val="4"/>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灭火方法：</w:t>
            </w:r>
            <w:r w:rsidRPr="00123108">
              <w:rPr>
                <w:rFonts w:ascii="宋体" w:hAnsi="宋体"/>
                <w:szCs w:val="21"/>
              </w:rPr>
              <w:t xml:space="preserve">二氧化碳， 泡沫或干化学品。 注意： 二氧化碳将置换密闭空间中的空气， 并可能产生缺氧气氛。不合适的火火剂： 水如有必要， 佩戴自给式呼吸器进行消防作业 </w:t>
            </w:r>
            <w:r w:rsidRPr="00123108">
              <w:rPr>
                <w:rFonts w:ascii="宋体" w:hAnsi="宋体" w:hint="eastAsia"/>
                <w:szCs w:val="21"/>
              </w:rPr>
              <w:t xml:space="preserve"> </w:t>
            </w:r>
          </w:p>
        </w:tc>
      </w:tr>
      <w:tr w:rsidR="004F34D9" w:rsidRPr="00123108">
        <w:trPr>
          <w:cantSplit/>
          <w:trHeight w:val="20"/>
          <w:jc w:val="center"/>
        </w:trPr>
        <w:tc>
          <w:tcPr>
            <w:tcW w:w="488" w:type="dxa"/>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毒性</w:t>
            </w:r>
          </w:p>
        </w:tc>
        <w:tc>
          <w:tcPr>
            <w:tcW w:w="8686" w:type="dxa"/>
            <w:gridSpan w:val="4"/>
            <w:vAlign w:val="center"/>
          </w:tcPr>
          <w:p w:rsidR="004F34D9" w:rsidRPr="00123108" w:rsidRDefault="004F34D9">
            <w:pPr>
              <w:spacing w:line="320" w:lineRule="exact"/>
              <w:rPr>
                <w:rFonts w:ascii="宋体" w:hAnsi="宋体" w:hint="eastAsia"/>
                <w:szCs w:val="21"/>
                <w:lang w:val="en-GB"/>
              </w:rPr>
            </w:pPr>
            <w:r w:rsidRPr="00123108">
              <w:rPr>
                <w:rFonts w:ascii="宋体" w:hAnsi="宋体" w:hint="eastAsia"/>
                <w:szCs w:val="21"/>
              </w:rPr>
              <w:t>LD</w:t>
            </w:r>
            <w:r w:rsidRPr="00123108">
              <w:rPr>
                <w:rFonts w:ascii="宋体" w:hAnsi="宋体" w:hint="eastAsia"/>
                <w:szCs w:val="21"/>
                <w:vertAlign w:val="subscript"/>
              </w:rPr>
              <w:t>50</w:t>
            </w:r>
            <w:r w:rsidRPr="00123108">
              <w:rPr>
                <w:rFonts w:ascii="宋体" w:hAnsi="宋体" w:hint="eastAsia"/>
                <w:szCs w:val="21"/>
                <w:lang w:val="en-GB"/>
              </w:rPr>
              <w:t xml:space="preserve">—                        </w:t>
            </w:r>
          </w:p>
          <w:p w:rsidR="004F34D9" w:rsidRPr="00123108" w:rsidRDefault="004F34D9">
            <w:pPr>
              <w:spacing w:line="320" w:lineRule="exact"/>
              <w:rPr>
                <w:rFonts w:ascii="宋体" w:hAnsi="宋体" w:hint="eastAsia"/>
                <w:szCs w:val="21"/>
              </w:rPr>
            </w:pPr>
            <w:r w:rsidRPr="00123108">
              <w:rPr>
                <w:rFonts w:ascii="宋体" w:hAnsi="宋体" w:hint="eastAsia"/>
                <w:szCs w:val="21"/>
              </w:rPr>
              <w:t>LC</w:t>
            </w:r>
            <w:r w:rsidRPr="00123108">
              <w:rPr>
                <w:rFonts w:ascii="宋体" w:hAnsi="宋体" w:hint="eastAsia"/>
                <w:szCs w:val="21"/>
                <w:vertAlign w:val="subscript"/>
              </w:rPr>
              <w:t>50</w:t>
            </w:r>
            <w:r w:rsidRPr="00123108">
              <w:rPr>
                <w:rFonts w:ascii="宋体" w:hAnsi="宋体" w:hint="eastAsia"/>
                <w:szCs w:val="21"/>
                <w:lang w:val="en-GB"/>
              </w:rPr>
              <w:t>—</w:t>
            </w:r>
          </w:p>
        </w:tc>
      </w:tr>
      <w:tr w:rsidR="004F34D9" w:rsidRPr="00123108">
        <w:trPr>
          <w:cantSplit/>
          <w:trHeight w:val="20"/>
          <w:jc w:val="center"/>
        </w:trPr>
        <w:tc>
          <w:tcPr>
            <w:tcW w:w="488" w:type="dxa"/>
            <w:vMerge w:val="restart"/>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健康危害</w:t>
            </w:r>
          </w:p>
        </w:tc>
        <w:tc>
          <w:tcPr>
            <w:tcW w:w="8686" w:type="dxa"/>
            <w:gridSpan w:val="4"/>
            <w:vAlign w:val="center"/>
          </w:tcPr>
          <w:p w:rsidR="004F34D9" w:rsidRPr="00123108" w:rsidRDefault="004F34D9">
            <w:pPr>
              <w:spacing w:line="320" w:lineRule="exact"/>
              <w:rPr>
                <w:rFonts w:ascii="宋体" w:hAnsi="宋体" w:hint="eastAsia"/>
                <w:b/>
                <w:bCs/>
                <w:szCs w:val="21"/>
              </w:rPr>
            </w:pPr>
            <w:r w:rsidRPr="00123108">
              <w:rPr>
                <w:rFonts w:ascii="宋体" w:hAnsi="宋体" w:hint="eastAsia"/>
                <w:szCs w:val="21"/>
              </w:rPr>
              <w:t>侵入途径：吸入、食入。</w:t>
            </w:r>
          </w:p>
        </w:tc>
      </w:tr>
      <w:tr w:rsidR="004F34D9" w:rsidRPr="00123108">
        <w:trPr>
          <w:cantSplit/>
          <w:trHeight w:val="20"/>
          <w:jc w:val="center"/>
        </w:trPr>
        <w:tc>
          <w:tcPr>
            <w:tcW w:w="488" w:type="dxa"/>
            <w:vMerge/>
            <w:vAlign w:val="center"/>
          </w:tcPr>
          <w:p w:rsidR="004F34D9" w:rsidRPr="00123108" w:rsidRDefault="004F34D9">
            <w:pPr>
              <w:spacing w:line="320" w:lineRule="exact"/>
              <w:rPr>
                <w:rFonts w:ascii="宋体" w:hAnsi="宋体" w:hint="eastAsia"/>
                <w:b/>
                <w:bCs/>
                <w:szCs w:val="21"/>
              </w:rPr>
            </w:pPr>
          </w:p>
        </w:tc>
        <w:tc>
          <w:tcPr>
            <w:tcW w:w="8686" w:type="dxa"/>
            <w:gridSpan w:val="4"/>
            <w:vAlign w:val="center"/>
          </w:tcPr>
          <w:p w:rsidR="004F34D9" w:rsidRPr="00123108" w:rsidRDefault="004F34D9">
            <w:pPr>
              <w:spacing w:line="320" w:lineRule="exact"/>
              <w:rPr>
                <w:rFonts w:ascii="宋体" w:hAnsi="宋体" w:hint="eastAsia"/>
                <w:szCs w:val="21"/>
              </w:rPr>
            </w:pPr>
            <w:r w:rsidRPr="00123108">
              <w:rPr>
                <w:rFonts w:ascii="宋体" w:hAnsi="宋体"/>
                <w:szCs w:val="21"/>
              </w:rPr>
              <w:t>吞咽并进入呼吸道可能致命</w:t>
            </w:r>
            <w:r w:rsidRPr="00123108">
              <w:rPr>
                <w:rFonts w:ascii="宋体" w:hAnsi="宋体" w:hint="eastAsia"/>
                <w:szCs w:val="21"/>
              </w:rPr>
              <w:t>。</w:t>
            </w:r>
            <w:r w:rsidRPr="00123108">
              <w:rPr>
                <w:rFonts w:ascii="宋体" w:hAnsi="宋体"/>
                <w:szCs w:val="21"/>
              </w:rPr>
              <w:t>造成皮肤刺激</w:t>
            </w:r>
          </w:p>
        </w:tc>
      </w:tr>
      <w:tr w:rsidR="004F34D9" w:rsidRPr="00123108">
        <w:trPr>
          <w:cantSplit/>
          <w:trHeight w:val="20"/>
          <w:jc w:val="center"/>
        </w:trPr>
        <w:tc>
          <w:tcPr>
            <w:tcW w:w="488" w:type="dxa"/>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急 救</w:t>
            </w:r>
          </w:p>
        </w:tc>
        <w:tc>
          <w:tcPr>
            <w:tcW w:w="8686" w:type="dxa"/>
            <w:gridSpan w:val="4"/>
            <w:vAlign w:val="center"/>
          </w:tcPr>
          <w:p w:rsidR="004F34D9" w:rsidRPr="00123108" w:rsidRDefault="004F34D9">
            <w:pPr>
              <w:spacing w:line="320" w:lineRule="exact"/>
              <w:rPr>
                <w:rFonts w:ascii="宋体" w:hAnsi="宋体" w:hint="eastAsia"/>
                <w:b/>
                <w:bCs/>
                <w:szCs w:val="21"/>
              </w:rPr>
            </w:pPr>
            <w:r w:rsidRPr="00123108">
              <w:rPr>
                <w:rFonts w:ascii="宋体" w:hAnsi="宋体" w:hint="eastAsia"/>
                <w:szCs w:val="21"/>
              </w:rPr>
              <w:t>皮肤接触：</w:t>
            </w:r>
            <w:r w:rsidRPr="00123108">
              <w:rPr>
                <w:rFonts w:ascii="宋体" w:hAnsi="宋体"/>
                <w:szCs w:val="21"/>
              </w:rPr>
              <w:t>用肥皂和大量的水冲洗</w:t>
            </w:r>
            <w:r w:rsidRPr="00123108">
              <w:rPr>
                <w:rFonts w:ascii="宋体" w:hAnsi="宋体" w:hint="eastAsia"/>
                <w:szCs w:val="21"/>
              </w:rPr>
              <w:t>。眼睛接触：</w:t>
            </w:r>
            <w:r w:rsidRPr="00123108">
              <w:rPr>
                <w:rFonts w:ascii="宋体" w:hAnsi="宋体"/>
                <w:szCs w:val="21"/>
              </w:rPr>
              <w:t>谨慎起见用水冲洗眼睛</w:t>
            </w:r>
            <w:r w:rsidRPr="00123108">
              <w:rPr>
                <w:rFonts w:ascii="宋体" w:hAnsi="宋体" w:hint="eastAsia"/>
                <w:szCs w:val="21"/>
              </w:rPr>
              <w:t>。吸入 ：</w:t>
            </w:r>
            <w:r w:rsidRPr="00123108">
              <w:rPr>
                <w:rFonts w:ascii="宋体" w:hAnsi="宋体"/>
                <w:szCs w:val="21"/>
              </w:rPr>
              <w:t>如果吸入， 请将患者移到新鲜空气处。 如呼吸停止， 进行人工呼吸</w:t>
            </w:r>
            <w:r w:rsidRPr="00123108">
              <w:rPr>
                <w:rFonts w:ascii="宋体" w:hAnsi="宋体" w:hint="eastAsia"/>
                <w:szCs w:val="21"/>
              </w:rPr>
              <w:t>。就医。食入：</w:t>
            </w:r>
            <w:r w:rsidRPr="00123108">
              <w:rPr>
                <w:rFonts w:ascii="宋体" w:hAnsi="宋体"/>
                <w:szCs w:val="21"/>
              </w:rPr>
              <w:t>谨慎起见用水冲洗眼睛</w:t>
            </w:r>
            <w:r w:rsidRPr="00123108">
              <w:rPr>
                <w:rFonts w:ascii="宋体" w:hAnsi="宋体" w:hint="eastAsia"/>
                <w:szCs w:val="21"/>
              </w:rPr>
              <w:t>。就医。</w:t>
            </w:r>
          </w:p>
        </w:tc>
      </w:tr>
      <w:tr w:rsidR="004F34D9" w:rsidRPr="00123108">
        <w:trPr>
          <w:cantSplit/>
          <w:trHeight w:val="20"/>
          <w:jc w:val="center"/>
        </w:trPr>
        <w:tc>
          <w:tcPr>
            <w:tcW w:w="488" w:type="dxa"/>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防  护</w:t>
            </w:r>
          </w:p>
        </w:tc>
        <w:tc>
          <w:tcPr>
            <w:tcW w:w="8686" w:type="dxa"/>
            <w:gridSpan w:val="4"/>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工程控制：密闭操作。</w:t>
            </w:r>
            <w:r w:rsidRPr="00123108">
              <w:rPr>
                <w:rFonts w:ascii="宋体" w:hAnsi="宋体"/>
                <w:szCs w:val="21"/>
              </w:rPr>
              <w:t xml:space="preserve">防渗透的衣服， 防护设备的类型必须根据特定工作场所中的危险物的浓度和数量来选择呼吸系统防护不需要对呼吸系统保护 .对少量挥发请采用美国 </w:t>
            </w:r>
            <w:r w:rsidRPr="00123108">
              <w:rPr>
                <w:rFonts w:ascii="宋体" w:hAnsi="宋体" w:cs="Arial"/>
                <w:szCs w:val="21"/>
              </w:rPr>
              <w:t xml:space="preserve">OV/AG </w:t>
            </w:r>
            <w:r w:rsidRPr="00123108">
              <w:rPr>
                <w:rFonts w:ascii="宋体" w:hAnsi="宋体"/>
                <w:szCs w:val="21"/>
              </w:rPr>
              <w:t>(</w:t>
            </w:r>
            <w:r w:rsidRPr="00123108">
              <w:rPr>
                <w:rFonts w:ascii="宋体" w:hAnsi="宋体" w:cs="Arial"/>
                <w:szCs w:val="21"/>
              </w:rPr>
              <w:t>US</w:t>
            </w:r>
            <w:r w:rsidRPr="00123108">
              <w:rPr>
                <w:rFonts w:ascii="宋体" w:hAnsi="宋体"/>
                <w:szCs w:val="21"/>
              </w:rPr>
              <w:t xml:space="preserve">)标准类型的或欧洲 </w:t>
            </w:r>
            <w:r w:rsidRPr="00123108">
              <w:rPr>
                <w:rFonts w:ascii="宋体" w:hAnsi="宋体" w:cs="Arial"/>
                <w:szCs w:val="21"/>
              </w:rPr>
              <w:t xml:space="preserve">ABEK (EU EN </w:t>
            </w:r>
            <w:r w:rsidRPr="00123108">
              <w:rPr>
                <w:rFonts w:ascii="宋体" w:hAnsi="宋体"/>
                <w:szCs w:val="21"/>
              </w:rPr>
              <w:t xml:space="preserve">14387)标准类型的呼吸器过滤器.呼吸器使用经过测试并通过政府标准如 </w:t>
            </w:r>
            <w:r w:rsidRPr="00123108">
              <w:rPr>
                <w:rFonts w:ascii="宋体" w:hAnsi="宋体" w:cs="Arial"/>
                <w:szCs w:val="21"/>
              </w:rPr>
              <w:t>NI</w:t>
            </w:r>
            <w:r w:rsidRPr="00123108">
              <w:rPr>
                <w:rFonts w:ascii="宋体" w:hAnsi="宋体"/>
                <w:szCs w:val="21"/>
              </w:rPr>
              <w:t>0</w:t>
            </w:r>
            <w:r w:rsidRPr="00123108">
              <w:rPr>
                <w:rFonts w:ascii="宋体" w:hAnsi="宋体" w:cs="Arial"/>
                <w:szCs w:val="21"/>
              </w:rPr>
              <w:t xml:space="preserve">SH </w:t>
            </w:r>
            <w:r w:rsidRPr="00123108">
              <w:rPr>
                <w:rFonts w:ascii="宋体" w:hAnsi="宋体"/>
                <w:szCs w:val="21"/>
              </w:rPr>
              <w:t xml:space="preserve">( </w:t>
            </w:r>
            <w:r w:rsidRPr="00123108">
              <w:rPr>
                <w:rFonts w:ascii="宋体" w:hAnsi="宋体" w:cs="Arial"/>
                <w:szCs w:val="21"/>
              </w:rPr>
              <w:t>US</w:t>
            </w:r>
            <w:r w:rsidRPr="00123108">
              <w:rPr>
                <w:rFonts w:ascii="宋体" w:hAnsi="宋体"/>
                <w:szCs w:val="21"/>
              </w:rPr>
              <w:t xml:space="preserve">) 或 </w:t>
            </w:r>
            <w:r w:rsidRPr="00123108">
              <w:rPr>
                <w:rFonts w:ascii="宋体" w:hAnsi="宋体" w:cs="Arial"/>
                <w:szCs w:val="21"/>
              </w:rPr>
              <w:t xml:space="preserve">CEN </w:t>
            </w:r>
            <w:r w:rsidRPr="00123108">
              <w:rPr>
                <w:rFonts w:ascii="宋体" w:hAnsi="宋体"/>
                <w:szCs w:val="21"/>
              </w:rPr>
              <w:t xml:space="preserve">( </w:t>
            </w:r>
            <w:r w:rsidRPr="00123108">
              <w:rPr>
                <w:rFonts w:ascii="宋体" w:hAnsi="宋体" w:cs="Arial"/>
                <w:szCs w:val="21"/>
              </w:rPr>
              <w:t>EU</w:t>
            </w:r>
            <w:r w:rsidRPr="00123108">
              <w:rPr>
                <w:rFonts w:ascii="宋体" w:hAnsi="宋体"/>
                <w:szCs w:val="21"/>
              </w:rPr>
              <w:t>) 的呼吸器和零件。</w:t>
            </w:r>
          </w:p>
        </w:tc>
      </w:tr>
      <w:tr w:rsidR="004F34D9" w:rsidRPr="00123108">
        <w:trPr>
          <w:cantSplit/>
          <w:trHeight w:val="20"/>
          <w:jc w:val="center"/>
        </w:trPr>
        <w:tc>
          <w:tcPr>
            <w:tcW w:w="835" w:type="dxa"/>
            <w:gridSpan w:val="2"/>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泄漏处理</w:t>
            </w:r>
          </w:p>
        </w:tc>
        <w:tc>
          <w:tcPr>
            <w:tcW w:w="8339" w:type="dxa"/>
            <w:gridSpan w:val="3"/>
            <w:vAlign w:val="center"/>
          </w:tcPr>
          <w:p w:rsidR="004F34D9" w:rsidRPr="00123108" w:rsidRDefault="004F34D9">
            <w:pPr>
              <w:spacing w:line="320" w:lineRule="exact"/>
              <w:rPr>
                <w:rFonts w:ascii="宋体" w:hAnsi="宋体" w:hint="eastAsia"/>
                <w:szCs w:val="21"/>
              </w:rPr>
            </w:pPr>
            <w:r w:rsidRPr="00123108">
              <w:rPr>
                <w:rFonts w:ascii="宋体" w:hAnsi="宋体"/>
                <w:szCs w:val="21"/>
              </w:rPr>
              <w:t>避免吸入蒸气、 气雾或气体</w:t>
            </w:r>
            <w:r w:rsidRPr="00123108">
              <w:rPr>
                <w:rFonts w:ascii="宋体" w:hAnsi="宋体" w:hint="eastAsia"/>
                <w:szCs w:val="21"/>
              </w:rPr>
              <w:t>。</w:t>
            </w:r>
            <w:r w:rsidRPr="00123108">
              <w:rPr>
                <w:rFonts w:ascii="宋体" w:hAnsi="宋体"/>
                <w:szCs w:val="21"/>
              </w:rPr>
              <w:t>放入合适的封闭的容器中待处理。</w:t>
            </w:r>
          </w:p>
        </w:tc>
      </w:tr>
      <w:tr w:rsidR="004F34D9" w:rsidRPr="00123108">
        <w:trPr>
          <w:cantSplit/>
          <w:trHeight w:val="738"/>
          <w:jc w:val="center"/>
        </w:trPr>
        <w:tc>
          <w:tcPr>
            <w:tcW w:w="488" w:type="dxa"/>
            <w:vAlign w:val="center"/>
          </w:tcPr>
          <w:p w:rsidR="004F34D9" w:rsidRPr="00123108" w:rsidRDefault="004F34D9">
            <w:pPr>
              <w:spacing w:line="320" w:lineRule="exact"/>
              <w:rPr>
                <w:rFonts w:ascii="宋体" w:hAnsi="宋体" w:hint="eastAsia"/>
                <w:szCs w:val="21"/>
              </w:rPr>
            </w:pPr>
            <w:r w:rsidRPr="00123108">
              <w:rPr>
                <w:rFonts w:ascii="宋体" w:hAnsi="宋体" w:hint="eastAsia"/>
                <w:szCs w:val="21"/>
              </w:rPr>
              <w:t>储运</w:t>
            </w:r>
          </w:p>
        </w:tc>
        <w:tc>
          <w:tcPr>
            <w:tcW w:w="8686" w:type="dxa"/>
            <w:gridSpan w:val="4"/>
            <w:vAlign w:val="center"/>
          </w:tcPr>
          <w:p w:rsidR="004F34D9" w:rsidRPr="00123108" w:rsidRDefault="004F34D9">
            <w:pPr>
              <w:spacing w:line="320" w:lineRule="exact"/>
              <w:rPr>
                <w:rFonts w:ascii="宋体" w:hAnsi="宋体" w:hint="eastAsia"/>
                <w:szCs w:val="21"/>
              </w:rPr>
            </w:pPr>
            <w:r w:rsidRPr="00123108">
              <w:rPr>
                <w:rFonts w:ascii="宋体" w:hAnsi="宋体"/>
                <w:szCs w:val="21"/>
              </w:rPr>
              <w:t>贮存在阴凉处。 使容器保持密闭， 储存在干燥通风处</w:t>
            </w:r>
          </w:p>
        </w:tc>
      </w:tr>
    </w:tbl>
    <w:p w:rsidR="004F34D9" w:rsidRPr="00123108" w:rsidRDefault="004F34D9">
      <w:pPr>
        <w:autoSpaceDE w:val="0"/>
        <w:autoSpaceDN w:val="0"/>
        <w:adjustRightInd w:val="0"/>
        <w:spacing w:line="360" w:lineRule="auto"/>
        <w:outlineLvl w:val="1"/>
        <w:rPr>
          <w:rFonts w:ascii="宋体" w:hAnsi="宋体"/>
          <w:kern w:val="0"/>
          <w:sz w:val="28"/>
          <w:szCs w:val="28"/>
        </w:rPr>
        <w:sectPr w:rsidR="004F34D9" w:rsidRPr="00123108">
          <w:pgSz w:w="11907" w:h="16840"/>
          <w:pgMar w:top="1418" w:right="1134" w:bottom="1134" w:left="1588" w:header="851" w:footer="992" w:gutter="0"/>
          <w:paperSrc w:first="7" w:other="7"/>
          <w:cols w:space="720"/>
          <w:docGrid w:linePitch="437" w:charSpace="4301"/>
        </w:sectPr>
      </w:pPr>
    </w:p>
    <w:p w:rsidR="004F34D9" w:rsidRPr="00123108" w:rsidRDefault="004F34D9" w:rsidP="00D06780">
      <w:pPr>
        <w:pStyle w:val="2"/>
        <w:spacing w:line="500" w:lineRule="exact"/>
        <w:jc w:val="both"/>
        <w:rPr>
          <w:rFonts w:ascii="宋体" w:eastAsia="宋体" w:cs="宋体" w:hint="eastAsia"/>
          <w:sz w:val="28"/>
          <w:szCs w:val="28"/>
        </w:rPr>
      </w:pPr>
      <w:bookmarkStart w:id="1981" w:name="_Toc190935934"/>
      <w:r w:rsidRPr="00123108">
        <w:rPr>
          <w:rFonts w:ascii="宋体" w:eastAsia="宋体" w:cs="宋体" w:hint="eastAsia"/>
          <w:sz w:val="28"/>
          <w:szCs w:val="28"/>
        </w:rPr>
        <w:lastRenderedPageBreak/>
        <w:t>附件4.2被评价单位提供的原始资料目录</w:t>
      </w:r>
      <w:bookmarkEnd w:id="1981"/>
    </w:p>
    <w:p w:rsidR="004F34D9" w:rsidRPr="00123108" w:rsidRDefault="004F34D9" w:rsidP="00D06780">
      <w:pPr>
        <w:numPr>
          <w:ilvl w:val="0"/>
          <w:numId w:val="72"/>
        </w:numPr>
        <w:spacing w:line="500" w:lineRule="exact"/>
        <w:ind w:left="0" w:firstLineChars="200" w:firstLine="560"/>
        <w:rPr>
          <w:rFonts w:hint="eastAsia"/>
          <w:sz w:val="28"/>
          <w:szCs w:val="28"/>
        </w:rPr>
      </w:pPr>
      <w:r w:rsidRPr="00123108">
        <w:rPr>
          <w:rFonts w:hint="eastAsia"/>
          <w:sz w:val="28"/>
          <w:szCs w:val="28"/>
        </w:rPr>
        <w:t>委托书</w:t>
      </w:r>
    </w:p>
    <w:p w:rsidR="004F34D9" w:rsidRPr="00123108" w:rsidRDefault="004F34D9" w:rsidP="00D06780">
      <w:pPr>
        <w:numPr>
          <w:ilvl w:val="0"/>
          <w:numId w:val="72"/>
        </w:numPr>
        <w:spacing w:line="500" w:lineRule="exact"/>
        <w:ind w:left="0" w:firstLineChars="200" w:firstLine="560"/>
        <w:rPr>
          <w:rFonts w:hint="eastAsia"/>
          <w:sz w:val="28"/>
          <w:szCs w:val="28"/>
        </w:rPr>
      </w:pPr>
      <w:r w:rsidRPr="00123108">
        <w:rPr>
          <w:rFonts w:hint="eastAsia"/>
          <w:sz w:val="28"/>
          <w:szCs w:val="28"/>
        </w:rPr>
        <w:t>营业执照</w:t>
      </w:r>
    </w:p>
    <w:p w:rsidR="004F34D9" w:rsidRPr="00123108" w:rsidRDefault="004F34D9" w:rsidP="00D06780">
      <w:pPr>
        <w:numPr>
          <w:ilvl w:val="0"/>
          <w:numId w:val="72"/>
        </w:numPr>
        <w:spacing w:line="500" w:lineRule="exact"/>
        <w:ind w:left="0" w:firstLineChars="200" w:firstLine="560"/>
        <w:rPr>
          <w:rFonts w:hint="eastAsia"/>
          <w:sz w:val="28"/>
          <w:szCs w:val="28"/>
        </w:rPr>
      </w:pPr>
      <w:r w:rsidRPr="00123108">
        <w:rPr>
          <w:rFonts w:hint="eastAsia"/>
          <w:sz w:val="28"/>
          <w:szCs w:val="28"/>
        </w:rPr>
        <w:t>生产许可证</w:t>
      </w:r>
    </w:p>
    <w:p w:rsidR="004F34D9" w:rsidRPr="00123108" w:rsidRDefault="004F34D9" w:rsidP="00D06780">
      <w:pPr>
        <w:numPr>
          <w:ilvl w:val="0"/>
          <w:numId w:val="72"/>
        </w:numPr>
        <w:spacing w:line="500" w:lineRule="exact"/>
        <w:ind w:left="0" w:firstLineChars="200" w:firstLine="560"/>
        <w:rPr>
          <w:rFonts w:hint="eastAsia"/>
          <w:sz w:val="28"/>
          <w:szCs w:val="28"/>
        </w:rPr>
      </w:pPr>
      <w:r w:rsidRPr="00123108">
        <w:rPr>
          <w:rFonts w:hint="eastAsia"/>
          <w:sz w:val="28"/>
          <w:szCs w:val="28"/>
        </w:rPr>
        <w:t>重大危险源备案表</w:t>
      </w:r>
    </w:p>
    <w:p w:rsidR="004F34D9" w:rsidRPr="00123108" w:rsidRDefault="004F34D9" w:rsidP="00D06780">
      <w:pPr>
        <w:numPr>
          <w:ilvl w:val="0"/>
          <w:numId w:val="72"/>
        </w:numPr>
        <w:spacing w:line="500" w:lineRule="exact"/>
        <w:ind w:left="0" w:firstLineChars="200" w:firstLine="560"/>
        <w:rPr>
          <w:rFonts w:hint="eastAsia"/>
          <w:sz w:val="28"/>
          <w:szCs w:val="28"/>
        </w:rPr>
      </w:pPr>
      <w:r w:rsidRPr="00123108">
        <w:rPr>
          <w:rFonts w:hint="eastAsia"/>
          <w:sz w:val="28"/>
          <w:szCs w:val="28"/>
        </w:rPr>
        <w:t>应急预案备案表</w:t>
      </w:r>
    </w:p>
    <w:p w:rsidR="004F34D9" w:rsidRPr="00123108" w:rsidRDefault="004F34D9" w:rsidP="00D06780">
      <w:pPr>
        <w:numPr>
          <w:ilvl w:val="0"/>
          <w:numId w:val="72"/>
        </w:numPr>
        <w:spacing w:line="500" w:lineRule="exact"/>
        <w:ind w:left="0" w:firstLineChars="200" w:firstLine="560"/>
        <w:rPr>
          <w:rFonts w:hint="eastAsia"/>
          <w:sz w:val="28"/>
          <w:szCs w:val="28"/>
        </w:rPr>
      </w:pPr>
      <w:r w:rsidRPr="00123108">
        <w:rPr>
          <w:rFonts w:hint="eastAsia"/>
          <w:sz w:val="28"/>
          <w:szCs w:val="28"/>
        </w:rPr>
        <w:t>规范适用意见</w:t>
      </w:r>
    </w:p>
    <w:p w:rsidR="004F34D9" w:rsidRPr="00123108" w:rsidRDefault="004F34D9" w:rsidP="00D06780">
      <w:pPr>
        <w:numPr>
          <w:ilvl w:val="0"/>
          <w:numId w:val="72"/>
        </w:numPr>
        <w:spacing w:line="500" w:lineRule="exact"/>
        <w:ind w:left="0" w:firstLineChars="200" w:firstLine="560"/>
        <w:rPr>
          <w:rFonts w:hint="eastAsia"/>
          <w:sz w:val="28"/>
          <w:szCs w:val="28"/>
        </w:rPr>
      </w:pPr>
      <w:r w:rsidRPr="00123108">
        <w:rPr>
          <w:rFonts w:hint="eastAsia"/>
          <w:sz w:val="28"/>
          <w:szCs w:val="28"/>
        </w:rPr>
        <w:t>危化品登记证</w:t>
      </w:r>
    </w:p>
    <w:p w:rsidR="004F34D9" w:rsidRPr="00123108" w:rsidRDefault="004F34D9" w:rsidP="00D06780">
      <w:pPr>
        <w:numPr>
          <w:ilvl w:val="0"/>
          <w:numId w:val="72"/>
        </w:numPr>
        <w:spacing w:line="500" w:lineRule="exact"/>
        <w:ind w:left="0" w:firstLineChars="200" w:firstLine="560"/>
        <w:rPr>
          <w:rFonts w:hint="eastAsia"/>
          <w:sz w:val="28"/>
          <w:szCs w:val="28"/>
        </w:rPr>
      </w:pPr>
      <w:r w:rsidRPr="00123108">
        <w:rPr>
          <w:rFonts w:hint="eastAsia"/>
          <w:sz w:val="28"/>
          <w:szCs w:val="28"/>
        </w:rPr>
        <w:t>标准化证书</w:t>
      </w:r>
    </w:p>
    <w:p w:rsidR="004F34D9" w:rsidRPr="00123108" w:rsidRDefault="004F34D9" w:rsidP="00D06780">
      <w:pPr>
        <w:numPr>
          <w:ilvl w:val="0"/>
          <w:numId w:val="72"/>
        </w:numPr>
        <w:spacing w:line="500" w:lineRule="exact"/>
        <w:ind w:left="0" w:firstLineChars="200" w:firstLine="560"/>
        <w:rPr>
          <w:rFonts w:hint="eastAsia"/>
          <w:sz w:val="28"/>
          <w:szCs w:val="28"/>
        </w:rPr>
      </w:pPr>
      <w:r w:rsidRPr="00123108">
        <w:rPr>
          <w:rFonts w:hint="eastAsia"/>
          <w:sz w:val="28"/>
          <w:szCs w:val="28"/>
        </w:rPr>
        <w:t>消防验收证明</w:t>
      </w:r>
    </w:p>
    <w:p w:rsidR="004F34D9" w:rsidRPr="00123108" w:rsidRDefault="004F34D9" w:rsidP="00D06780">
      <w:pPr>
        <w:numPr>
          <w:ilvl w:val="0"/>
          <w:numId w:val="72"/>
        </w:numPr>
        <w:spacing w:line="500" w:lineRule="exact"/>
        <w:ind w:left="0" w:firstLineChars="200" w:firstLine="560"/>
        <w:rPr>
          <w:rFonts w:hint="eastAsia"/>
          <w:sz w:val="28"/>
          <w:szCs w:val="28"/>
        </w:rPr>
      </w:pPr>
      <w:r w:rsidRPr="00123108">
        <w:rPr>
          <w:rFonts w:hint="eastAsia"/>
          <w:sz w:val="28"/>
          <w:szCs w:val="28"/>
        </w:rPr>
        <w:t>安全管理机构设置及安全管理人员任命文件</w:t>
      </w:r>
    </w:p>
    <w:p w:rsidR="004F34D9" w:rsidRPr="00123108" w:rsidRDefault="004F34D9" w:rsidP="00D06780">
      <w:pPr>
        <w:numPr>
          <w:ilvl w:val="0"/>
          <w:numId w:val="72"/>
        </w:numPr>
        <w:spacing w:line="500" w:lineRule="exact"/>
        <w:ind w:left="0" w:firstLineChars="200" w:firstLine="560"/>
        <w:rPr>
          <w:rFonts w:hint="eastAsia"/>
          <w:sz w:val="28"/>
          <w:szCs w:val="28"/>
        </w:rPr>
      </w:pPr>
      <w:r w:rsidRPr="00123108">
        <w:rPr>
          <w:rFonts w:hint="eastAsia"/>
          <w:sz w:val="28"/>
          <w:szCs w:val="28"/>
        </w:rPr>
        <w:t>企业负责人、安全管理人员、危险工艺、特种作业人员证书复印件</w:t>
      </w:r>
    </w:p>
    <w:p w:rsidR="004F34D9" w:rsidRPr="00123108" w:rsidRDefault="004F34D9"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t>防雷检测报告</w:t>
      </w:r>
    </w:p>
    <w:p w:rsidR="004F34D9" w:rsidRPr="00123108" w:rsidRDefault="004F34D9"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t>防静电检测报告</w:t>
      </w:r>
    </w:p>
    <w:p w:rsidR="004F34D9" w:rsidRPr="00123108" w:rsidRDefault="004F34D9"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t>防爆电气检测报告</w:t>
      </w:r>
    </w:p>
    <w:p w:rsidR="004F34D9" w:rsidRPr="00123108" w:rsidRDefault="004F34D9"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t>压力容器、压力管道、压力表、安全阀、可燃气体报警仪、厂内机动车、电梯、呼吸阀、爆破片清单</w:t>
      </w:r>
    </w:p>
    <w:p w:rsidR="004F34D9" w:rsidRPr="00123108" w:rsidRDefault="004F34D9"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t>压力容器使用登记证、检验报告样张</w:t>
      </w:r>
    </w:p>
    <w:p w:rsidR="004F34D9" w:rsidRPr="00123108" w:rsidRDefault="004F34D9"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t>压力管道使用登记证及检测报告</w:t>
      </w:r>
    </w:p>
    <w:p w:rsidR="004F34D9" w:rsidRPr="00123108" w:rsidRDefault="004F34D9"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t>压力表检定证书样张</w:t>
      </w:r>
    </w:p>
    <w:p w:rsidR="004F34D9" w:rsidRPr="00123108" w:rsidRDefault="004F34D9"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t>安全阀校验证书</w:t>
      </w:r>
      <w:r w:rsidR="006A709D" w:rsidRPr="00123108">
        <w:rPr>
          <w:rFonts w:ascii="宋体" w:hAnsi="宋体" w:cs="宋体" w:hint="eastAsia"/>
          <w:kern w:val="0"/>
          <w:sz w:val="28"/>
          <w:lang w:val="zh-CN"/>
        </w:rPr>
        <w:t>、可燃气体报警仪校准证书</w:t>
      </w:r>
      <w:r w:rsidRPr="00123108">
        <w:rPr>
          <w:rFonts w:ascii="宋体" w:hAnsi="宋体" w:cs="宋体" w:hint="eastAsia"/>
          <w:kern w:val="0"/>
          <w:sz w:val="28"/>
          <w:lang w:val="zh-CN"/>
        </w:rPr>
        <w:t>样张</w:t>
      </w:r>
    </w:p>
    <w:p w:rsidR="004F34D9" w:rsidRPr="00123108" w:rsidRDefault="004F34D9"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t>厂内机动车登记证、检验报告</w:t>
      </w:r>
    </w:p>
    <w:p w:rsidR="004F34D9" w:rsidRPr="00123108" w:rsidRDefault="004F34D9"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t>电梯检测报告</w:t>
      </w:r>
    </w:p>
    <w:p w:rsidR="004F34D9" w:rsidRPr="00123108" w:rsidRDefault="004F34D9"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t>呼吸阀检测报告</w:t>
      </w:r>
    </w:p>
    <w:p w:rsidR="004F34D9" w:rsidRPr="00123108" w:rsidRDefault="004F34D9"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t>HAZOP分析报告、SIL定级报告、SIL验算报告样张</w:t>
      </w:r>
    </w:p>
    <w:p w:rsidR="004F34D9" w:rsidRPr="00123108" w:rsidRDefault="004F34D9"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t>劳动防护用品发放记录样张</w:t>
      </w:r>
    </w:p>
    <w:p w:rsidR="004F34D9" w:rsidRPr="00123108" w:rsidRDefault="004F34D9"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t>工作场所职业病危害因素检测报告样张</w:t>
      </w:r>
    </w:p>
    <w:p w:rsidR="004F34D9" w:rsidRPr="00123108" w:rsidRDefault="004F34D9"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t>职业病体检</w:t>
      </w:r>
    </w:p>
    <w:p w:rsidR="004F34D9" w:rsidRPr="00123108" w:rsidRDefault="004F34D9"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lastRenderedPageBreak/>
        <w:t>反应热检测报告样张</w:t>
      </w:r>
    </w:p>
    <w:p w:rsidR="004F34D9" w:rsidRPr="00123108" w:rsidRDefault="004F34D9"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t>消防设施年度检测报告样张、三号仓库耐火等级检测报告</w:t>
      </w:r>
    </w:p>
    <w:p w:rsidR="004F34D9" w:rsidRPr="00123108" w:rsidRDefault="004F34D9"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t>储罐定期检测报告样张</w:t>
      </w:r>
    </w:p>
    <w:p w:rsidR="00E36E64" w:rsidRPr="00123108" w:rsidRDefault="00E36E64"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t>企业物料说明</w:t>
      </w:r>
    </w:p>
    <w:p w:rsidR="004F34D9" w:rsidRPr="00123108" w:rsidRDefault="004F34D9"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t>新员工三级教育样张</w:t>
      </w:r>
    </w:p>
    <w:p w:rsidR="00F278C6" w:rsidRPr="00123108" w:rsidRDefault="00F278C6"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t>企业工伤保险及安责险证明</w:t>
      </w:r>
    </w:p>
    <w:p w:rsidR="00F278C6" w:rsidRPr="00123108" w:rsidRDefault="00F278C6"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t>老旧装置评估</w:t>
      </w:r>
      <w:r w:rsidR="00E36E64" w:rsidRPr="00123108">
        <w:rPr>
          <w:rFonts w:ascii="宋体" w:hAnsi="宋体" w:cs="宋体" w:hint="eastAsia"/>
          <w:kern w:val="0"/>
          <w:sz w:val="28"/>
          <w:lang w:val="zh-CN"/>
        </w:rPr>
        <w:t>及整改说明</w:t>
      </w:r>
    </w:p>
    <w:p w:rsidR="004F34D9" w:rsidRPr="00123108" w:rsidRDefault="004F34D9"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t>总平面布置图</w:t>
      </w:r>
    </w:p>
    <w:p w:rsidR="004F34D9" w:rsidRPr="00123108" w:rsidRDefault="004F34D9"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t>设备布置图样张</w:t>
      </w:r>
    </w:p>
    <w:p w:rsidR="004F34D9" w:rsidRPr="00123108" w:rsidRDefault="004F34D9"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t>可燃气体报警仪布置图</w:t>
      </w:r>
    </w:p>
    <w:p w:rsidR="004F34D9" w:rsidRPr="00123108" w:rsidRDefault="004F34D9"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t>爆炸区域划分图</w:t>
      </w:r>
    </w:p>
    <w:p w:rsidR="004F34D9" w:rsidRPr="00123108" w:rsidRDefault="004F34D9"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t>整改落实情况说明</w:t>
      </w:r>
    </w:p>
    <w:p w:rsidR="00F65CE6" w:rsidRPr="00123108" w:rsidRDefault="00F65CE6" w:rsidP="00D06780">
      <w:pPr>
        <w:numPr>
          <w:ilvl w:val="0"/>
          <w:numId w:val="72"/>
        </w:numPr>
        <w:autoSpaceDE w:val="0"/>
        <w:autoSpaceDN w:val="0"/>
        <w:adjustRightInd w:val="0"/>
        <w:spacing w:line="500" w:lineRule="exact"/>
        <w:ind w:left="0" w:firstLineChars="200" w:firstLine="560"/>
        <w:rPr>
          <w:rFonts w:ascii="宋体" w:hAnsi="宋体" w:cs="宋体" w:hint="eastAsia"/>
          <w:kern w:val="0"/>
          <w:sz w:val="28"/>
          <w:lang w:val="zh-CN"/>
        </w:rPr>
      </w:pPr>
      <w:r w:rsidRPr="00123108">
        <w:rPr>
          <w:rFonts w:ascii="宋体" w:hAnsi="宋体" w:cs="宋体" w:hint="eastAsia"/>
          <w:kern w:val="0"/>
          <w:sz w:val="28"/>
          <w:lang w:val="zh-CN"/>
        </w:rPr>
        <w:t>设计院关于企业消防备用泵采用电泵答复</w:t>
      </w:r>
    </w:p>
    <w:p w:rsidR="004F34D9" w:rsidRPr="00123108" w:rsidRDefault="004F34D9">
      <w:pPr>
        <w:autoSpaceDE w:val="0"/>
        <w:autoSpaceDN w:val="0"/>
        <w:adjustRightInd w:val="0"/>
        <w:spacing w:line="360" w:lineRule="auto"/>
        <w:ind w:left="560"/>
        <w:rPr>
          <w:rFonts w:ascii="宋体" w:hAnsi="宋体" w:cs="宋体" w:hint="eastAsia"/>
          <w:kern w:val="0"/>
          <w:sz w:val="28"/>
          <w:lang w:val="zh-CN"/>
        </w:rPr>
      </w:pPr>
    </w:p>
    <w:p w:rsidR="004F34D9" w:rsidRPr="00AC7619" w:rsidRDefault="004F34D9">
      <w:pPr>
        <w:spacing w:line="600" w:lineRule="exact"/>
        <w:ind w:firstLineChars="200" w:firstLine="560"/>
        <w:rPr>
          <w:rFonts w:ascii="宋体" w:hAnsi="宋体" w:cs="宋体" w:hint="eastAsia"/>
          <w:sz w:val="28"/>
        </w:rPr>
      </w:pPr>
    </w:p>
    <w:p w:rsidR="004F34D9" w:rsidRPr="00AC7619" w:rsidRDefault="004F34D9"/>
    <w:sectPr w:rsidR="004F34D9" w:rsidRPr="00AC7619">
      <w:pgSz w:w="11907" w:h="16840"/>
      <w:pgMar w:top="1418" w:right="1134" w:bottom="1134" w:left="1588" w:header="851" w:footer="992" w:gutter="0"/>
      <w:paperSrc w:first="7" w:other="7"/>
      <w:cols w:space="720"/>
      <w:docGrid w:linePitch="437"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374A" w:rsidRDefault="0086374A">
      <w:r>
        <w:separator/>
      </w:r>
    </w:p>
  </w:endnote>
  <w:endnote w:type="continuationSeparator" w:id="0">
    <w:p w:rsidR="0086374A" w:rsidRDefault="0086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ommercialPi BT">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MingLiU">
    <w:altName w:val="細明體"/>
    <w:panose1 w:val="02020309000000000000"/>
    <w:charset w:val="88"/>
    <w:family w:val="modern"/>
    <w:pitch w:val="fixed"/>
    <w:sig w:usb0="00000003" w:usb1="080E0000"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Frutiger 45 Light">
    <w:altName w:val="Courier New"/>
    <w:charset w:val="00"/>
    <w:family w:val="swiss"/>
    <w:pitch w:val="default"/>
    <w:sig w:usb0="00000000"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汉鼎简特宋">
    <w:altName w:val="宋体"/>
    <w:charset w:val="86"/>
    <w:family w:val="modern"/>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華康中楷體">
    <w:altName w:val="Microsoft JhengHei"/>
    <w:charset w:val="88"/>
    <w:family w:val="modern"/>
    <w:pitch w:val="default"/>
    <w:sig w:usb0="00000001" w:usb1="08080000" w:usb2="00000010" w:usb3="00000000" w:csb0="00100000" w:csb1="00000000"/>
  </w:font>
  <w:font w:name="文鼎CS楷体">
    <w:altName w:val="黑体"/>
    <w:charset w:val="86"/>
    <w:family w:val="auto"/>
    <w:pitch w:val="default"/>
    <w:sig w:usb0="00000000" w:usb1="00000000" w:usb2="00000010" w:usb3="00000000" w:csb0="00040000" w:csb1="00000000"/>
  </w:font>
  <w:font w:name="ËÎÌå">
    <w:altName w:val="宋体"/>
    <w:charset w:val="86"/>
    <w:family w:val="roman"/>
    <w:pitch w:val="default"/>
    <w:sig w:usb0="00000000" w:usb1="00000000" w:usb2="00000000" w:usb3="00000000" w:csb0="00040001" w:csb1="00000000"/>
  </w:font>
  <w:font w:name="TimesNewRomanPSMT">
    <w:altName w:val="Times New Roman"/>
    <w:charset w:val="00"/>
    <w:family w:val="auto"/>
    <w:pitch w:val="default"/>
    <w:sig w:usb0="00000000" w:usb1="00000000" w:usb2="00000000" w:usb3="00000000" w:csb0="00040001" w:csb1="00000000"/>
  </w:font>
  <w:font w:name="CG Times">
    <w:panose1 w:val="00000000000000000000"/>
    <w:charset w:val="00"/>
    <w:family w:val="roman"/>
    <w:notTrueType/>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新宋体">
    <w:panose1 w:val="02010609030101010101"/>
    <w:charset w:val="86"/>
    <w:family w:val="modern"/>
    <w:pitch w:val="fixed"/>
    <w:sig w:usb0="00000203" w:usb1="288F0000" w:usb2="00000016" w:usb3="00000000" w:csb0="00040001" w:csb1="00000000"/>
  </w:font>
  <w:font w:name="Tms Rmn">
    <w:panose1 w:val="02020603040505020304"/>
    <w:charset w:val="00"/>
    <w:family w:val="roman"/>
    <w:pitch w:val="variable"/>
    <w:sig w:usb0="00000003" w:usb1="00000000" w:usb2="00000000" w:usb3="00000000" w:csb0="00000001" w:csb1="00000000"/>
  </w:font>
  <w:font w:name="仿宋体">
    <w:altName w:val="宋体"/>
    <w:charset w:val="86"/>
    <w:family w:val="roman"/>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Gautami">
    <w:panose1 w:val="02000500000000000000"/>
    <w:charset w:val="01"/>
    <w:family w:val="roman"/>
    <w:pitch w:val="variable"/>
  </w:font>
  <w:font w:name="DotumChe">
    <w:panose1 w:val="020B0609000101010101"/>
    <w:charset w:val="81"/>
    <w:family w:val="modern"/>
    <w:pitch w:val="fixed"/>
    <w:sig w:usb0="B00002AF" w:usb1="69D77CFB" w:usb2="00000030" w:usb3="00000000" w:csb0="0008009F" w:csb1="00000000"/>
  </w:font>
  <w:font w:name="Univers">
    <w:charset w:val="00"/>
    <w:family w:val="swiss"/>
    <w:pitch w:val="variable"/>
    <w:sig w:usb0="80000287" w:usb1="00000000" w:usb2="00000000" w:usb3="00000000" w:csb0="0000000F" w:csb1="00000000"/>
  </w:font>
  <w:font w:name="五">
    <w:altName w:val="黑体"/>
    <w:charset w:val="86"/>
    <w:family w:val="auto"/>
    <w:pitch w:val="default"/>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
    <w:altName w:val="宋体"/>
    <w:charset w:val="86"/>
    <w:family w:val="auto"/>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Futura Medium">
    <w:altName w:val="Courier New"/>
    <w:charset w:val="00"/>
    <w:family w:val="auto"/>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文鼎大标宋简">
    <w:altName w:val="宋体"/>
    <w:charset w:val="86"/>
    <w:family w:val="modern"/>
    <w:pitch w:val="default"/>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Courier">
    <w:panose1 w:val="02070409020205020404"/>
    <w:charset w:val="00"/>
    <w:family w:val="modern"/>
    <w:pitch w:val="fixed"/>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F81" w:rsidRDefault="00391F81">
    <w:pPr>
      <w:pStyle w:val="af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F81" w:rsidRDefault="00391F81">
    <w:pPr>
      <w:pStyle w:val="afa"/>
      <w:pBdr>
        <w:top w:val="thinThickSmallGap" w:sz="24" w:space="1" w:color="auto"/>
      </w:pBdr>
      <w:rPr>
        <w:rFonts w:ascii="宋体" w:eastAsia="宋体" w:hAnsi="宋体"/>
      </w:rPr>
    </w:pPr>
    <w:r>
      <w:rPr>
        <w:rStyle w:val="affe"/>
        <w:rFonts w:ascii="宋体" w:eastAsia="宋体" w:hAnsi="宋体" w:hint="eastAsia"/>
      </w:rPr>
      <w:t xml:space="preserve">山东实华安全技术有限公司 </w:t>
    </w:r>
    <w:r>
      <w:rPr>
        <w:rStyle w:val="affe"/>
        <w:rFonts w:ascii="宋体" w:eastAsia="宋体" w:hAnsi="宋体"/>
      </w:rPr>
      <w:t xml:space="preserve">                 </w:t>
    </w:r>
    <w:r>
      <w:rPr>
        <w:rStyle w:val="affe"/>
        <w:rFonts w:ascii="宋体" w:eastAsia="宋体" w:hAnsi="宋体" w:hint="eastAsia"/>
      </w:rPr>
      <w:t>-</w:t>
    </w:r>
    <w:r>
      <w:rPr>
        <w:rFonts w:ascii="宋体" w:eastAsia="宋体" w:hAnsi="宋体"/>
      </w:rPr>
      <w:fldChar w:fldCharType="begin"/>
    </w:r>
    <w:r>
      <w:rPr>
        <w:rStyle w:val="affe"/>
        <w:rFonts w:ascii="宋体" w:eastAsia="宋体" w:hAnsi="宋体"/>
      </w:rPr>
      <w:instrText xml:space="preserve"> PAGE </w:instrText>
    </w:r>
    <w:r>
      <w:rPr>
        <w:rFonts w:ascii="宋体" w:eastAsia="宋体" w:hAnsi="宋体"/>
      </w:rPr>
      <w:fldChar w:fldCharType="separate"/>
    </w:r>
    <w:r w:rsidR="00D82871">
      <w:rPr>
        <w:rStyle w:val="affe"/>
        <w:rFonts w:ascii="宋体" w:eastAsia="宋体" w:hAnsi="宋体"/>
        <w:noProof/>
      </w:rPr>
      <w:t>IX</w:t>
    </w:r>
    <w:r>
      <w:rPr>
        <w:rFonts w:ascii="宋体" w:eastAsia="宋体" w:hAnsi="宋体"/>
      </w:rPr>
      <w:fldChar w:fldCharType="end"/>
    </w:r>
    <w:r>
      <w:rPr>
        <w:rStyle w:val="affe"/>
        <w:rFonts w:ascii="宋体" w:eastAsia="宋体" w:hAnsi="宋体"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F81" w:rsidRDefault="00391F81">
    <w:pPr>
      <w:pStyle w:val="afa"/>
      <w:framePr w:wrap="around" w:vAnchor="text" w:hAnchor="margin" w:xAlign="right" w:y="1"/>
      <w:rPr>
        <w:rStyle w:val="affe"/>
      </w:rPr>
    </w:pPr>
    <w:r>
      <w:fldChar w:fldCharType="begin"/>
    </w:r>
    <w:r>
      <w:rPr>
        <w:rStyle w:val="affe"/>
      </w:rPr>
      <w:instrText xml:space="preserve">PAGE  </w:instrText>
    </w:r>
    <w:r>
      <w:fldChar w:fldCharType="end"/>
    </w:r>
  </w:p>
  <w:p w:rsidR="00391F81" w:rsidRDefault="00391F81">
    <w:pPr>
      <w:pStyle w:val="af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F81" w:rsidRDefault="00391F81">
    <w:pPr>
      <w:pStyle w:val="afa"/>
      <w:pBdr>
        <w:top w:val="thickThinSmallGap" w:sz="24" w:space="1" w:color="auto"/>
      </w:pBdr>
      <w:jc w:val="both"/>
      <w:rPr>
        <w:rFonts w:eastAsia="宋体"/>
        <w:snapToGrid/>
        <w:kern w:val="2"/>
        <w:sz w:val="21"/>
        <w:szCs w:val="21"/>
      </w:rPr>
    </w:pPr>
    <w:r>
      <w:rPr>
        <w:rFonts w:ascii="宋体" w:eastAsia="宋体" w:hAnsi="宋体" w:hint="eastAsia"/>
        <w:sz w:val="21"/>
        <w:szCs w:val="21"/>
      </w:rPr>
      <w:t>山东实华安全技术有限公司</w:t>
    </w:r>
    <w:r>
      <w:rPr>
        <w:rFonts w:hint="eastAsia"/>
        <w:sz w:val="21"/>
        <w:szCs w:val="21"/>
      </w:rPr>
      <w:t xml:space="preserve">      </w:t>
    </w:r>
    <w:r>
      <w:rPr>
        <w:sz w:val="21"/>
        <w:szCs w:val="21"/>
      </w:rPr>
      <w:t xml:space="preserve">   </w:t>
    </w:r>
    <w:r>
      <w:rPr>
        <w:rFonts w:eastAsia="宋体"/>
        <w:snapToGrid/>
        <w:kern w:val="2"/>
        <w:sz w:val="21"/>
        <w:szCs w:val="21"/>
      </w:rPr>
      <w:t xml:space="preserve">- </w:t>
    </w:r>
    <w:r>
      <w:rPr>
        <w:rFonts w:ascii="宋体" w:eastAsia="宋体" w:hAnsi="宋体" w:cs="宋体" w:hint="eastAsia"/>
        <w:snapToGrid/>
        <w:kern w:val="2"/>
        <w:sz w:val="21"/>
        <w:szCs w:val="21"/>
      </w:rPr>
      <w:fldChar w:fldCharType="begin"/>
    </w:r>
    <w:r>
      <w:rPr>
        <w:rFonts w:ascii="宋体" w:eastAsia="宋体" w:hAnsi="宋体" w:cs="宋体" w:hint="eastAsia"/>
        <w:snapToGrid/>
        <w:kern w:val="2"/>
        <w:sz w:val="21"/>
        <w:szCs w:val="21"/>
      </w:rPr>
      <w:instrText xml:space="preserve"> PAGE </w:instrText>
    </w:r>
    <w:r>
      <w:rPr>
        <w:rFonts w:ascii="宋体" w:eastAsia="宋体" w:hAnsi="宋体" w:cs="宋体" w:hint="eastAsia"/>
        <w:snapToGrid/>
        <w:kern w:val="2"/>
        <w:sz w:val="21"/>
        <w:szCs w:val="21"/>
      </w:rPr>
      <w:fldChar w:fldCharType="separate"/>
    </w:r>
    <w:r w:rsidR="00D82871">
      <w:rPr>
        <w:rFonts w:ascii="宋体" w:eastAsia="宋体" w:hAnsi="宋体" w:cs="宋体"/>
        <w:noProof/>
        <w:snapToGrid/>
        <w:kern w:val="2"/>
        <w:sz w:val="21"/>
        <w:szCs w:val="21"/>
      </w:rPr>
      <w:t>209</w:t>
    </w:r>
    <w:r>
      <w:rPr>
        <w:rFonts w:ascii="宋体" w:eastAsia="宋体" w:hAnsi="宋体" w:cs="宋体" w:hint="eastAsia"/>
        <w:snapToGrid/>
        <w:kern w:val="2"/>
        <w:sz w:val="21"/>
        <w:szCs w:val="21"/>
      </w:rPr>
      <w:fldChar w:fldCharType="end"/>
    </w:r>
    <w:r>
      <w:rPr>
        <w:rFonts w:eastAsia="宋体"/>
        <w:snapToGrid/>
        <w:kern w:val="2"/>
        <w:sz w:val="21"/>
        <w:szCs w:val="21"/>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F81" w:rsidRDefault="00391F81">
    <w:pPr>
      <w:pStyle w:val="afa"/>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F81" w:rsidRDefault="00391F81">
    <w:pPr>
      <w:pStyle w:val="af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374A" w:rsidRDefault="0086374A">
      <w:r>
        <w:separator/>
      </w:r>
    </w:p>
  </w:footnote>
  <w:footnote w:type="continuationSeparator" w:id="0">
    <w:p w:rsidR="0086374A" w:rsidRDefault="00863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F81" w:rsidRDefault="00391F81">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F81" w:rsidRDefault="00391F81">
    <w:pPr>
      <w:pBdr>
        <w:bottom w:val="thickThinSmallGap" w:sz="24" w:space="1" w:color="auto"/>
      </w:pBdr>
      <w:jc w:val="center"/>
      <w:rPr>
        <w:rFonts w:ascii="宋体" w:hAnsi="宋体" w:cs="宋体" w:hint="eastAsia"/>
      </w:rPr>
    </w:pPr>
    <w:r>
      <w:rPr>
        <w:rFonts w:ascii="宋体" w:hAnsi="宋体" w:cs="宋体" w:hint="eastAsia"/>
        <w:sz w:val="20"/>
        <w:szCs w:val="21"/>
      </w:rPr>
      <w:t>宁波新桥化工有限公司安全现状评价报告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F81" w:rsidRPr="00D67F4D" w:rsidRDefault="00391F81" w:rsidP="00D67F4D">
    <w:pPr>
      <w:pBdr>
        <w:bottom w:val="thickThinSmallGap" w:sz="24" w:space="1" w:color="auto"/>
      </w:pBdr>
      <w:jc w:val="center"/>
      <w:rPr>
        <w:rFonts w:ascii="宋体" w:hAnsi="宋体" w:cs="宋体"/>
      </w:rPr>
    </w:pPr>
    <w:r>
      <w:rPr>
        <w:rFonts w:ascii="宋体" w:hAnsi="宋体" w:cs="宋体" w:hint="eastAsia"/>
        <w:sz w:val="20"/>
        <w:szCs w:val="21"/>
      </w:rPr>
      <w:t>宁波新桥化工有限公司安全现状评价报告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F81" w:rsidRDefault="00391F81">
    <w:pPr>
      <w:pStyle w:val="afc"/>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F81" w:rsidRDefault="00391F81">
    <w:pPr>
      <w:pStyle w:val="af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51F05D"/>
    <w:multiLevelType w:val="singleLevel"/>
    <w:tmpl w:val="8051F05D"/>
    <w:lvl w:ilvl="0">
      <w:start w:val="1"/>
      <w:numFmt w:val="decimal"/>
      <w:lvlText w:val="%1)"/>
      <w:lvlJc w:val="left"/>
      <w:pPr>
        <w:ind w:left="425" w:hanging="425"/>
      </w:pPr>
      <w:rPr>
        <w:rFonts w:hint="default"/>
      </w:rPr>
    </w:lvl>
  </w:abstractNum>
  <w:abstractNum w:abstractNumId="1" w15:restartNumberingAfterBreak="0">
    <w:nsid w:val="83E69F12"/>
    <w:multiLevelType w:val="singleLevel"/>
    <w:tmpl w:val="83E69F12"/>
    <w:lvl w:ilvl="0">
      <w:start w:val="1"/>
      <w:numFmt w:val="decimal"/>
      <w:lvlText w:val="(%1)"/>
      <w:lvlJc w:val="left"/>
      <w:pPr>
        <w:ind w:left="425" w:hanging="425"/>
      </w:pPr>
      <w:rPr>
        <w:rFonts w:hint="default"/>
      </w:rPr>
    </w:lvl>
  </w:abstractNum>
  <w:abstractNum w:abstractNumId="2" w15:restartNumberingAfterBreak="0">
    <w:nsid w:val="844494F6"/>
    <w:multiLevelType w:val="singleLevel"/>
    <w:tmpl w:val="844494F6"/>
    <w:lvl w:ilvl="0">
      <w:start w:val="1"/>
      <w:numFmt w:val="decimal"/>
      <w:lvlText w:val="(%1)"/>
      <w:lvlJc w:val="left"/>
      <w:pPr>
        <w:ind w:left="425" w:hanging="425"/>
      </w:pPr>
      <w:rPr>
        <w:rFonts w:hint="default"/>
      </w:rPr>
    </w:lvl>
  </w:abstractNum>
  <w:abstractNum w:abstractNumId="3" w15:restartNumberingAfterBreak="0">
    <w:nsid w:val="D618234B"/>
    <w:multiLevelType w:val="singleLevel"/>
    <w:tmpl w:val="D618234B"/>
    <w:lvl w:ilvl="0">
      <w:start w:val="1"/>
      <w:numFmt w:val="decimal"/>
      <w:suff w:val="nothing"/>
      <w:lvlText w:val="（%1）"/>
      <w:lvlJc w:val="left"/>
    </w:lvl>
  </w:abstractNum>
  <w:abstractNum w:abstractNumId="4" w15:restartNumberingAfterBreak="0">
    <w:nsid w:val="EE18BA6E"/>
    <w:multiLevelType w:val="singleLevel"/>
    <w:tmpl w:val="EE18BA6E"/>
    <w:lvl w:ilvl="0">
      <w:start w:val="1"/>
      <w:numFmt w:val="decimal"/>
      <w:lvlText w:val="%1."/>
      <w:lvlJc w:val="left"/>
      <w:pPr>
        <w:ind w:left="425" w:hanging="425"/>
      </w:pPr>
      <w:rPr>
        <w:rFonts w:hint="default"/>
      </w:rPr>
    </w:lvl>
  </w:abstractNum>
  <w:abstractNum w:abstractNumId="5" w15:restartNumberingAfterBreak="0">
    <w:nsid w:val="FFFFFF7D"/>
    <w:multiLevelType w:val="singleLevel"/>
    <w:tmpl w:val="FFFFFF7D"/>
    <w:lvl w:ilvl="0">
      <w:start w:val="1"/>
      <w:numFmt w:val="decimal"/>
      <w:lvlText w:val="%1."/>
      <w:lvlJc w:val="left"/>
      <w:pPr>
        <w:tabs>
          <w:tab w:val="num" w:pos="1620"/>
        </w:tabs>
        <w:ind w:left="1620" w:hanging="360"/>
      </w:pPr>
    </w:lvl>
  </w:abstractNum>
  <w:abstractNum w:abstractNumId="6" w15:restartNumberingAfterBreak="0">
    <w:nsid w:val="FFFFFF7E"/>
    <w:multiLevelType w:val="singleLevel"/>
    <w:tmpl w:val="FFFFFF7E"/>
    <w:lvl w:ilvl="0">
      <w:start w:val="1"/>
      <w:numFmt w:val="decimal"/>
      <w:lvlText w:val="%1."/>
      <w:lvlJc w:val="left"/>
      <w:pPr>
        <w:tabs>
          <w:tab w:val="num" w:pos="1200"/>
        </w:tabs>
        <w:ind w:left="1200" w:hanging="360"/>
      </w:pPr>
    </w:lvl>
  </w:abstractNum>
  <w:abstractNum w:abstractNumId="7"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FFFFFF89"/>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000000B"/>
    <w:multiLevelType w:val="multilevel"/>
    <w:tmpl w:val="0000000B"/>
    <w:lvl w:ilvl="0">
      <w:start w:val="1"/>
      <w:numFmt w:val="decimal"/>
      <w:pStyle w:val="Title1"/>
      <w:lvlText w:val="%1"/>
      <w:lvlJc w:val="left"/>
      <w:pPr>
        <w:tabs>
          <w:tab w:val="left" w:pos="425"/>
        </w:tabs>
        <w:ind w:left="425" w:hanging="425"/>
      </w:pPr>
      <w:rPr>
        <w:rFonts w:hint="eastAsia"/>
        <w:color w:val="auto"/>
      </w:rPr>
    </w:lvl>
    <w:lvl w:ilvl="1">
      <w:start w:val="1"/>
      <w:numFmt w:val="decimal"/>
      <w:lvlText w:val="%1.%2"/>
      <w:lvlJc w:val="left"/>
      <w:pPr>
        <w:tabs>
          <w:tab w:val="left" w:pos="747"/>
        </w:tabs>
        <w:ind w:left="74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4."/>
      <w:lvlJc w:val="left"/>
      <w:pPr>
        <w:tabs>
          <w:tab w:val="left" w:pos="1271"/>
        </w:tabs>
        <w:ind w:left="1271" w:hanging="420"/>
      </w:pPr>
      <w:rPr>
        <w:rFonts w:ascii="Times New Roman" w:hAnsi="Times New Roman" w:hint="default"/>
        <w:b w:val="0"/>
        <w:i w:val="0"/>
        <w:color w:val="auto"/>
        <w:sz w:val="24"/>
        <w:szCs w:val="24"/>
      </w:rPr>
    </w:lvl>
    <w:lvl w:ilvl="4">
      <w:start w:val="1"/>
      <w:numFmt w:val="decimal"/>
      <w:lvlText w:val="%1.%2.%3.%4.%5"/>
      <w:lvlJc w:val="left"/>
      <w:pPr>
        <w:tabs>
          <w:tab w:val="left" w:pos="2126"/>
        </w:tabs>
        <w:ind w:left="2126" w:hanging="850"/>
      </w:pPr>
      <w:rPr>
        <w:rFonts w:hint="eastAsia"/>
      </w:rPr>
    </w:lvl>
    <w:lvl w:ilvl="5">
      <w:start w:val="1"/>
      <w:numFmt w:val="decimal"/>
      <w:lvlText w:val="%1.%2.%3.%4.%5.%6"/>
      <w:lvlJc w:val="left"/>
      <w:pPr>
        <w:tabs>
          <w:tab w:val="left" w:pos="2835"/>
        </w:tabs>
        <w:ind w:left="2835" w:hanging="1134"/>
      </w:pPr>
      <w:rPr>
        <w:rFonts w:hint="eastAsia"/>
      </w:rPr>
    </w:lvl>
    <w:lvl w:ilvl="6">
      <w:start w:val="1"/>
      <w:numFmt w:val="decimal"/>
      <w:lvlText w:val="%1.%2.%3.%4.%5.%6.%7"/>
      <w:lvlJc w:val="left"/>
      <w:pPr>
        <w:tabs>
          <w:tab w:val="left" w:pos="3402"/>
        </w:tabs>
        <w:ind w:left="3402" w:hanging="1276"/>
      </w:pPr>
      <w:rPr>
        <w:rFonts w:hint="eastAsia"/>
      </w:rPr>
    </w:lvl>
    <w:lvl w:ilvl="7">
      <w:start w:val="1"/>
      <w:numFmt w:val="decimal"/>
      <w:lvlText w:val="%1.%2.%3.%4.%5.%6.%7.%8"/>
      <w:lvlJc w:val="left"/>
      <w:pPr>
        <w:tabs>
          <w:tab w:val="left" w:pos="3969"/>
        </w:tabs>
        <w:ind w:left="3969" w:hanging="1418"/>
      </w:pPr>
      <w:rPr>
        <w:rFonts w:hint="eastAsia"/>
      </w:rPr>
    </w:lvl>
    <w:lvl w:ilvl="8">
      <w:start w:val="1"/>
      <w:numFmt w:val="decimal"/>
      <w:lvlText w:val="%1.%2.%3.%4.%5.%6.%7.%8.%9"/>
      <w:lvlJc w:val="left"/>
      <w:pPr>
        <w:tabs>
          <w:tab w:val="left" w:pos="4677"/>
        </w:tabs>
        <w:ind w:left="4677" w:hanging="1700"/>
      </w:pPr>
      <w:rPr>
        <w:rFonts w:hint="eastAsia"/>
      </w:rPr>
    </w:lvl>
  </w:abstractNum>
  <w:abstractNum w:abstractNumId="10" w15:restartNumberingAfterBreak="0">
    <w:nsid w:val="00A73F86"/>
    <w:multiLevelType w:val="multilevel"/>
    <w:tmpl w:val="00A73F8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880040"/>
    <w:multiLevelType w:val="multilevel"/>
    <w:tmpl w:val="01880040"/>
    <w:lvl w:ilvl="0">
      <w:start w:val="1"/>
      <w:numFmt w:val="decimal"/>
      <w:lvlText w:val="（%1）"/>
      <w:lvlJc w:val="left"/>
      <w:pPr>
        <w:tabs>
          <w:tab w:val="num" w:pos="560"/>
        </w:tabs>
        <w:ind w:left="560" w:firstLine="227"/>
      </w:pPr>
      <w:rPr>
        <w:rFonts w:hint="eastAsia"/>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12" w15:restartNumberingAfterBreak="0">
    <w:nsid w:val="0BBD0933"/>
    <w:multiLevelType w:val="multilevel"/>
    <w:tmpl w:val="0BBD0933"/>
    <w:lvl w:ilvl="0">
      <w:start w:val="4"/>
      <w:numFmt w:val="decimal"/>
      <w:suff w:val="space"/>
      <w:lvlText w:val="%1"/>
      <w:lvlJc w:val="left"/>
      <w:pPr>
        <w:ind w:left="0" w:firstLine="0"/>
      </w:pPr>
      <w:rPr>
        <w:rFonts w:ascii="黑体" w:eastAsia="黑体" w:hint="eastAsia"/>
        <w:b w:val="0"/>
        <w:bCs w:val="0"/>
        <w:i w:val="0"/>
        <w:iCs w:val="0"/>
        <w:color w:val="auto"/>
        <w:sz w:val="28"/>
        <w:szCs w:val="28"/>
      </w:rPr>
    </w:lvl>
    <w:lvl w:ilvl="1">
      <w:start w:val="1"/>
      <w:numFmt w:val="decimal"/>
      <w:suff w:val="space"/>
      <w:lvlText w:val="%1.%2"/>
      <w:lvlJc w:val="left"/>
      <w:pPr>
        <w:ind w:left="0" w:firstLine="0"/>
      </w:pPr>
      <w:rPr>
        <w:rFonts w:ascii="黑体" w:eastAsia="黑体" w:hint="eastAsia"/>
        <w:b w:val="0"/>
        <w:bCs w:val="0"/>
        <w:i w:val="0"/>
        <w:iCs w:val="0"/>
        <w:color w:val="auto"/>
        <w:sz w:val="28"/>
        <w:szCs w:val="28"/>
      </w:rPr>
    </w:lvl>
    <w:lvl w:ilvl="2">
      <w:start w:val="1"/>
      <w:numFmt w:val="decimal"/>
      <w:suff w:val="space"/>
      <w:lvlText w:val="%1.%2.%3"/>
      <w:lvlJc w:val="left"/>
      <w:pPr>
        <w:ind w:left="0" w:firstLine="0"/>
      </w:pPr>
      <w:rPr>
        <w:rFonts w:ascii="宋体" w:eastAsia="宋体" w:hAnsi="Times New Roman" w:hint="eastAsia"/>
        <w:b w:val="0"/>
        <w:bCs w:val="0"/>
        <w:i w:val="0"/>
        <w:iCs w:val="0"/>
        <w:color w:val="auto"/>
        <w:sz w:val="28"/>
        <w:szCs w:val="28"/>
      </w:rPr>
    </w:lvl>
    <w:lvl w:ilvl="3">
      <w:start w:val="1"/>
      <w:numFmt w:val="decimal"/>
      <w:suff w:val="space"/>
      <w:lvlText w:val="%1.%2.%3.%4"/>
      <w:lvlJc w:val="left"/>
      <w:pPr>
        <w:ind w:left="0" w:firstLine="0"/>
      </w:pPr>
      <w:rPr>
        <w:rFonts w:ascii="宋体" w:eastAsia="宋体" w:hAnsi="Arial" w:hint="eastAsia"/>
        <w:b w:val="0"/>
        <w:bCs w:val="0"/>
        <w:i w:val="0"/>
        <w:iCs w:val="0"/>
        <w:color w:val="auto"/>
        <w:sz w:val="28"/>
        <w:szCs w:val="28"/>
      </w:rPr>
    </w:lvl>
    <w:lvl w:ilvl="4">
      <w:start w:val="1"/>
      <w:numFmt w:val="decimal"/>
      <w:suff w:val="space"/>
      <w:lvlText w:val="%5)"/>
      <w:lvlJc w:val="left"/>
      <w:pPr>
        <w:ind w:left="0" w:firstLine="567"/>
      </w:pPr>
      <w:rPr>
        <w:rFonts w:ascii="宋体" w:eastAsia="宋体" w:hAnsi="Times New Roman" w:hint="eastAsia"/>
        <w:b w:val="0"/>
        <w:bCs w:val="0"/>
        <w:i w:val="0"/>
        <w:iCs w:val="0"/>
        <w:sz w:val="28"/>
        <w:szCs w:val="28"/>
      </w:rPr>
    </w:lvl>
    <w:lvl w:ilvl="5">
      <w:start w:val="1"/>
      <w:numFmt w:val="decimal"/>
      <w:suff w:val="space"/>
      <w:lvlText w:val="(%6)"/>
      <w:lvlJc w:val="left"/>
      <w:pPr>
        <w:ind w:left="-102" w:firstLine="567"/>
      </w:pPr>
      <w:rPr>
        <w:rFonts w:ascii="宋体" w:eastAsia="宋体" w:hAnsi="Times New Roman" w:hint="eastAsia"/>
        <w:b w:val="0"/>
        <w:bCs w:val="0"/>
        <w:i w:val="0"/>
        <w:iCs w:val="0"/>
        <w:sz w:val="28"/>
        <w:szCs w:val="28"/>
      </w:r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3" w15:restartNumberingAfterBreak="0">
    <w:nsid w:val="0C793946"/>
    <w:multiLevelType w:val="multilevel"/>
    <w:tmpl w:val="0C793946"/>
    <w:lvl w:ilvl="0">
      <w:start w:val="13"/>
      <w:numFmt w:val="decimal"/>
      <w:suff w:val="space"/>
      <w:lvlText w:val="%1"/>
      <w:lvlJc w:val="left"/>
      <w:pPr>
        <w:ind w:left="200" w:firstLine="0"/>
      </w:pPr>
      <w:rPr>
        <w:rFonts w:ascii="Times New Roman" w:eastAsia="黑体" w:hint="eastAsia"/>
        <w:b w:val="0"/>
        <w:i w:val="0"/>
        <w:sz w:val="28"/>
        <w:szCs w:val="28"/>
      </w:rPr>
    </w:lvl>
    <w:lvl w:ilvl="1">
      <w:start w:val="1"/>
      <w:numFmt w:val="decimal"/>
      <w:suff w:val="space"/>
      <w:lvlText w:val="%1.%2"/>
      <w:lvlJc w:val="left"/>
      <w:pPr>
        <w:ind w:left="200" w:firstLine="0"/>
      </w:pPr>
      <w:rPr>
        <w:rFonts w:ascii="Times New Roman" w:eastAsia="黑体" w:hint="eastAsia"/>
        <w:b w:val="0"/>
        <w:i w:val="0"/>
        <w:sz w:val="28"/>
        <w:szCs w:val="28"/>
      </w:rPr>
    </w:lvl>
    <w:lvl w:ilvl="2">
      <w:start w:val="1"/>
      <w:numFmt w:val="decimal"/>
      <w:suff w:val="space"/>
      <w:lvlText w:val="%1.%2.%3"/>
      <w:lvlJc w:val="left"/>
      <w:pPr>
        <w:ind w:left="200" w:firstLine="0"/>
      </w:pPr>
      <w:rPr>
        <w:rFonts w:ascii="Times New Roman" w:eastAsia="宋体" w:hAnsi="Times New Roman" w:hint="eastAsia"/>
        <w:b w:val="0"/>
        <w:i w:val="0"/>
        <w:sz w:val="28"/>
        <w:szCs w:val="28"/>
      </w:rPr>
    </w:lvl>
    <w:lvl w:ilvl="3">
      <w:start w:val="1"/>
      <w:numFmt w:val="decimal"/>
      <w:lvlText w:val="%1.%2.%3.%4"/>
      <w:lvlJc w:val="left"/>
      <w:pPr>
        <w:tabs>
          <w:tab w:val="num" w:pos="1064"/>
        </w:tabs>
        <w:ind w:left="1064" w:hanging="864"/>
      </w:pPr>
    </w:lvl>
    <w:lvl w:ilvl="4">
      <w:start w:val="1"/>
      <w:numFmt w:val="decimal"/>
      <w:suff w:val="space"/>
      <w:lvlText w:val="%5)"/>
      <w:lvlJc w:val="left"/>
      <w:pPr>
        <w:ind w:left="0" w:firstLine="0"/>
      </w:pPr>
      <w:rPr>
        <w:rFonts w:ascii="宋体" w:eastAsia="宋体" w:hAnsi="Times New Roman" w:hint="eastAsia"/>
        <w:b w:val="0"/>
        <w:i w:val="0"/>
        <w:sz w:val="28"/>
        <w:szCs w:val="28"/>
      </w:rPr>
    </w:lvl>
    <w:lvl w:ilvl="5">
      <w:start w:val="1"/>
      <w:numFmt w:val="decimal"/>
      <w:lvlText w:val="（%6）"/>
      <w:lvlJc w:val="left"/>
      <w:pPr>
        <w:tabs>
          <w:tab w:val="num" w:pos="920"/>
        </w:tabs>
        <w:ind w:left="200" w:firstLine="0"/>
      </w:pPr>
    </w:lvl>
    <w:lvl w:ilvl="6">
      <w:start w:val="1"/>
      <w:numFmt w:val="decimal"/>
      <w:lvlText w:val="%1.%2.%3.%4.%5.%6.%7"/>
      <w:lvlJc w:val="left"/>
      <w:pPr>
        <w:tabs>
          <w:tab w:val="num" w:pos="1496"/>
        </w:tabs>
        <w:ind w:left="1496" w:hanging="1296"/>
      </w:pPr>
    </w:lvl>
    <w:lvl w:ilvl="7">
      <w:start w:val="1"/>
      <w:numFmt w:val="decimal"/>
      <w:lvlText w:val="%1.%2.%3.%4.%5.%6.%7.%8"/>
      <w:lvlJc w:val="left"/>
      <w:pPr>
        <w:tabs>
          <w:tab w:val="num" w:pos="1640"/>
        </w:tabs>
        <w:ind w:left="1640" w:hanging="1440"/>
      </w:pPr>
    </w:lvl>
    <w:lvl w:ilvl="8">
      <w:start w:val="1"/>
      <w:numFmt w:val="decimal"/>
      <w:lvlText w:val="%1.%2.%3.%4.%5.%6.%7.%8.%9"/>
      <w:lvlJc w:val="left"/>
      <w:pPr>
        <w:tabs>
          <w:tab w:val="num" w:pos="1784"/>
        </w:tabs>
        <w:ind w:left="1784" w:hanging="1584"/>
      </w:pPr>
    </w:lvl>
  </w:abstractNum>
  <w:abstractNum w:abstractNumId="14" w15:restartNumberingAfterBreak="0">
    <w:nsid w:val="0F347B2A"/>
    <w:multiLevelType w:val="multilevel"/>
    <w:tmpl w:val="0F347B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0B47B6B"/>
    <w:multiLevelType w:val="multilevel"/>
    <w:tmpl w:val="10B47B6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1260CDF"/>
    <w:multiLevelType w:val="multilevel"/>
    <w:tmpl w:val="11260CDF"/>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15:restartNumberingAfterBreak="0">
    <w:nsid w:val="13165B39"/>
    <w:multiLevelType w:val="multilevel"/>
    <w:tmpl w:val="13165B3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BE96476"/>
    <w:multiLevelType w:val="multilevel"/>
    <w:tmpl w:val="1BE9647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5B5A95"/>
    <w:multiLevelType w:val="multilevel"/>
    <w:tmpl w:val="1D5B5A95"/>
    <w:lvl w:ilvl="0">
      <w:start w:val="1"/>
      <w:numFmt w:val="decimal"/>
      <w:lvlText w:val="附件2.13.%1 "/>
      <w:lvlJc w:val="left"/>
      <w:pPr>
        <w:ind w:left="127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DBF583A"/>
    <w:multiLevelType w:val="multilevel"/>
    <w:tmpl w:val="1DBF583A"/>
    <w:lvl w:ilvl="0">
      <w:start w:val="1"/>
      <w:numFmt w:val="decimal"/>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21" w15:restartNumberingAfterBreak="0">
    <w:nsid w:val="1E94C0F6"/>
    <w:multiLevelType w:val="singleLevel"/>
    <w:tmpl w:val="1E94C0F6"/>
    <w:lvl w:ilvl="0">
      <w:start w:val="1"/>
      <w:numFmt w:val="decimal"/>
      <w:suff w:val="nothing"/>
      <w:lvlText w:val="（%1）"/>
      <w:lvlJc w:val="left"/>
    </w:lvl>
  </w:abstractNum>
  <w:abstractNum w:abstractNumId="22" w15:restartNumberingAfterBreak="0">
    <w:nsid w:val="1F650DEA"/>
    <w:multiLevelType w:val="singleLevel"/>
    <w:tmpl w:val="1F650DE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F9F5E18"/>
    <w:multiLevelType w:val="multilevel"/>
    <w:tmpl w:val="1F9F5E1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FBA5E7B"/>
    <w:multiLevelType w:val="multilevel"/>
    <w:tmpl w:val="1FBA5E7B"/>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281557DD"/>
    <w:multiLevelType w:val="multilevel"/>
    <w:tmpl w:val="281557DD"/>
    <w:lvl w:ilvl="0">
      <w:start w:val="1"/>
      <w:numFmt w:val="decimal"/>
      <w:lvlText w:val="（%1）"/>
      <w:lvlJc w:val="left"/>
      <w:pPr>
        <w:tabs>
          <w:tab w:val="num" w:pos="7427"/>
        </w:tabs>
        <w:ind w:left="7427" w:firstLine="227"/>
      </w:pPr>
      <w:rPr>
        <w:rFonts w:hint="eastAsia"/>
      </w:rPr>
    </w:lvl>
    <w:lvl w:ilvl="1">
      <w:start w:val="1"/>
      <w:numFmt w:val="decimal"/>
      <w:lvlText w:val="（%2）"/>
      <w:lvlJc w:val="left"/>
      <w:pPr>
        <w:tabs>
          <w:tab w:val="num" w:pos="613"/>
        </w:tabs>
        <w:ind w:left="613" w:hanging="420"/>
      </w:pPr>
      <w:rPr>
        <w:rFonts w:hint="eastAsia"/>
      </w:rPr>
    </w:lvl>
    <w:lvl w:ilvl="2">
      <w:start w:val="1"/>
      <w:numFmt w:val="lowerRoman"/>
      <w:lvlText w:val="%3."/>
      <w:lvlJc w:val="right"/>
      <w:pPr>
        <w:tabs>
          <w:tab w:val="num" w:pos="1033"/>
        </w:tabs>
        <w:ind w:left="1033" w:hanging="420"/>
      </w:pPr>
    </w:lvl>
    <w:lvl w:ilvl="3">
      <w:start w:val="1"/>
      <w:numFmt w:val="decimal"/>
      <w:lvlText w:val="%4."/>
      <w:lvlJc w:val="left"/>
      <w:pPr>
        <w:tabs>
          <w:tab w:val="num" w:pos="1453"/>
        </w:tabs>
        <w:ind w:left="1453" w:hanging="420"/>
      </w:pPr>
    </w:lvl>
    <w:lvl w:ilvl="4">
      <w:start w:val="1"/>
      <w:numFmt w:val="lowerLetter"/>
      <w:lvlText w:val="%5)"/>
      <w:lvlJc w:val="left"/>
      <w:pPr>
        <w:tabs>
          <w:tab w:val="num" w:pos="1873"/>
        </w:tabs>
        <w:ind w:left="1873" w:hanging="420"/>
      </w:pPr>
    </w:lvl>
    <w:lvl w:ilvl="5">
      <w:start w:val="1"/>
      <w:numFmt w:val="lowerRoman"/>
      <w:lvlText w:val="%6."/>
      <w:lvlJc w:val="right"/>
      <w:pPr>
        <w:tabs>
          <w:tab w:val="num" w:pos="2293"/>
        </w:tabs>
        <w:ind w:left="2293" w:hanging="420"/>
      </w:pPr>
    </w:lvl>
    <w:lvl w:ilvl="6">
      <w:start w:val="1"/>
      <w:numFmt w:val="decimal"/>
      <w:lvlText w:val="%7."/>
      <w:lvlJc w:val="left"/>
      <w:pPr>
        <w:tabs>
          <w:tab w:val="num" w:pos="2713"/>
        </w:tabs>
        <w:ind w:left="2713" w:hanging="420"/>
      </w:pPr>
    </w:lvl>
    <w:lvl w:ilvl="7">
      <w:start w:val="1"/>
      <w:numFmt w:val="lowerLetter"/>
      <w:lvlText w:val="%8)"/>
      <w:lvlJc w:val="left"/>
      <w:pPr>
        <w:tabs>
          <w:tab w:val="num" w:pos="3133"/>
        </w:tabs>
        <w:ind w:left="3133" w:hanging="420"/>
      </w:pPr>
    </w:lvl>
    <w:lvl w:ilvl="8">
      <w:start w:val="1"/>
      <w:numFmt w:val="lowerRoman"/>
      <w:lvlText w:val="%9."/>
      <w:lvlJc w:val="right"/>
      <w:pPr>
        <w:tabs>
          <w:tab w:val="num" w:pos="3553"/>
        </w:tabs>
        <w:ind w:left="3553" w:hanging="420"/>
      </w:pPr>
    </w:lvl>
  </w:abstractNum>
  <w:abstractNum w:abstractNumId="26" w15:restartNumberingAfterBreak="0">
    <w:nsid w:val="2A180E5C"/>
    <w:multiLevelType w:val="multilevel"/>
    <w:tmpl w:val="2A180E5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04F7FAC"/>
    <w:multiLevelType w:val="multilevel"/>
    <w:tmpl w:val="304F7FA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15:restartNumberingAfterBreak="0">
    <w:nsid w:val="338A69B0"/>
    <w:multiLevelType w:val="multilevel"/>
    <w:tmpl w:val="338A69B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3BAA10D"/>
    <w:multiLevelType w:val="singleLevel"/>
    <w:tmpl w:val="33BAA10D"/>
    <w:lvl w:ilvl="0">
      <w:start w:val="1"/>
      <w:numFmt w:val="decimal"/>
      <w:lvlText w:val="%1."/>
      <w:lvlJc w:val="left"/>
      <w:pPr>
        <w:ind w:left="425" w:hanging="425"/>
      </w:pPr>
      <w:rPr>
        <w:rFonts w:hint="default"/>
      </w:rPr>
    </w:lvl>
  </w:abstractNum>
  <w:abstractNum w:abstractNumId="30" w15:restartNumberingAfterBreak="0">
    <w:nsid w:val="353026D9"/>
    <w:multiLevelType w:val="multilevel"/>
    <w:tmpl w:val="353026D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15:restartNumberingAfterBreak="0">
    <w:nsid w:val="35C80672"/>
    <w:multiLevelType w:val="multilevel"/>
    <w:tmpl w:val="35C8067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2" w15:restartNumberingAfterBreak="0">
    <w:nsid w:val="36952027"/>
    <w:multiLevelType w:val="multilevel"/>
    <w:tmpl w:val="369520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82A6DB7"/>
    <w:multiLevelType w:val="multilevel"/>
    <w:tmpl w:val="382A6DB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4" w15:restartNumberingAfterBreak="0">
    <w:nsid w:val="38957169"/>
    <w:multiLevelType w:val="multilevel"/>
    <w:tmpl w:val="38957169"/>
    <w:lvl w:ilvl="0">
      <w:start w:val="1"/>
      <w:numFmt w:val="decimal"/>
      <w:pStyle w:val="a"/>
      <w:lvlText w:val="（%1）"/>
      <w:lvlJc w:val="left"/>
      <w:pPr>
        <w:tabs>
          <w:tab w:val="num" w:pos="544"/>
        </w:tabs>
        <w:ind w:left="544" w:firstLine="227"/>
      </w:pPr>
      <w:rPr>
        <w:rFonts w:hint="eastAsia"/>
      </w:rPr>
    </w:lvl>
    <w:lvl w:ilvl="1">
      <w:start w:val="1"/>
      <w:numFmt w:val="decimal"/>
      <w:lvlText w:val="%2、"/>
      <w:lvlJc w:val="left"/>
      <w:pPr>
        <w:tabs>
          <w:tab w:val="num" w:pos="1684"/>
        </w:tabs>
        <w:ind w:left="1684" w:hanging="720"/>
      </w:pPr>
      <w:rPr>
        <w:rFonts w:hint="default"/>
      </w:rPr>
    </w:lvl>
    <w:lvl w:ilvl="2">
      <w:start w:val="1"/>
      <w:numFmt w:val="lowerRoman"/>
      <w:lvlText w:val="%3."/>
      <w:lvlJc w:val="right"/>
      <w:pPr>
        <w:tabs>
          <w:tab w:val="num" w:pos="1804"/>
        </w:tabs>
        <w:ind w:left="1804" w:hanging="420"/>
      </w:pPr>
    </w:lvl>
    <w:lvl w:ilvl="3">
      <w:start w:val="1"/>
      <w:numFmt w:val="decimal"/>
      <w:lvlText w:val="%4."/>
      <w:lvlJc w:val="left"/>
      <w:pPr>
        <w:tabs>
          <w:tab w:val="num" w:pos="2224"/>
        </w:tabs>
        <w:ind w:left="2224" w:hanging="420"/>
      </w:pPr>
    </w:lvl>
    <w:lvl w:ilvl="4">
      <w:start w:val="1"/>
      <w:numFmt w:val="lowerLetter"/>
      <w:lvlText w:val="%5)"/>
      <w:lvlJc w:val="left"/>
      <w:pPr>
        <w:tabs>
          <w:tab w:val="num" w:pos="2644"/>
        </w:tabs>
        <w:ind w:left="2644" w:hanging="420"/>
      </w:pPr>
    </w:lvl>
    <w:lvl w:ilvl="5">
      <w:start w:val="1"/>
      <w:numFmt w:val="lowerRoman"/>
      <w:lvlText w:val="%6."/>
      <w:lvlJc w:val="right"/>
      <w:pPr>
        <w:tabs>
          <w:tab w:val="num" w:pos="3064"/>
        </w:tabs>
        <w:ind w:left="3064" w:hanging="420"/>
      </w:pPr>
    </w:lvl>
    <w:lvl w:ilvl="6">
      <w:start w:val="1"/>
      <w:numFmt w:val="decimal"/>
      <w:lvlText w:val="%7."/>
      <w:lvlJc w:val="left"/>
      <w:pPr>
        <w:tabs>
          <w:tab w:val="num" w:pos="3484"/>
        </w:tabs>
        <w:ind w:left="3484" w:hanging="420"/>
      </w:pPr>
    </w:lvl>
    <w:lvl w:ilvl="7">
      <w:start w:val="1"/>
      <w:numFmt w:val="lowerLetter"/>
      <w:lvlText w:val="%8)"/>
      <w:lvlJc w:val="left"/>
      <w:pPr>
        <w:tabs>
          <w:tab w:val="num" w:pos="3904"/>
        </w:tabs>
        <w:ind w:left="3904" w:hanging="420"/>
      </w:pPr>
    </w:lvl>
    <w:lvl w:ilvl="8">
      <w:start w:val="1"/>
      <w:numFmt w:val="lowerRoman"/>
      <w:lvlText w:val="%9."/>
      <w:lvlJc w:val="right"/>
      <w:pPr>
        <w:tabs>
          <w:tab w:val="num" w:pos="4324"/>
        </w:tabs>
        <w:ind w:left="4324" w:hanging="420"/>
      </w:pPr>
    </w:lvl>
  </w:abstractNum>
  <w:abstractNum w:abstractNumId="35" w15:restartNumberingAfterBreak="0">
    <w:nsid w:val="3BEC02EE"/>
    <w:multiLevelType w:val="multilevel"/>
    <w:tmpl w:val="3BEC02EE"/>
    <w:lvl w:ilvl="0">
      <w:start w:val="1"/>
      <w:numFmt w:val="decimal"/>
      <w:lvlText w:val="%1)"/>
      <w:lvlJc w:val="left"/>
      <w:pPr>
        <w:ind w:left="980" w:hanging="420"/>
      </w:pPr>
    </w:lvl>
    <w:lvl w:ilvl="1">
      <w:start w:val="1"/>
      <w:numFmt w:val="decimal"/>
      <w:lvlText w:val="(%2)"/>
      <w:lvlJc w:val="left"/>
      <w:pPr>
        <w:ind w:left="1400" w:hanging="420"/>
      </w:pPr>
      <w:rPr>
        <w:rFonts w:hint="eastAsia"/>
      </w:rPr>
    </w:lvl>
    <w:lvl w:ilvl="2">
      <w:start w:val="1"/>
      <w:numFmt w:val="decimal"/>
      <w:lvlText w:val="（%3）"/>
      <w:lvlJc w:val="left"/>
      <w:pPr>
        <w:ind w:left="2675" w:hanging="1275"/>
      </w:pPr>
      <w:rPr>
        <w:rFonts w:hint="default"/>
      </w:r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6" w15:restartNumberingAfterBreak="0">
    <w:nsid w:val="3D064CF6"/>
    <w:multiLevelType w:val="multilevel"/>
    <w:tmpl w:val="3D064C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3F8210EF"/>
    <w:multiLevelType w:val="multilevel"/>
    <w:tmpl w:val="3F8210E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400843AF"/>
    <w:multiLevelType w:val="multilevel"/>
    <w:tmpl w:val="400843AF"/>
    <w:lvl w:ilvl="0">
      <w:start w:val="1"/>
      <w:numFmt w:val="decimal"/>
      <w:lvlText w:val="%1"/>
      <w:lvlJc w:val="left"/>
      <w:pPr>
        <w:tabs>
          <w:tab w:val="num" w:pos="0"/>
        </w:tabs>
        <w:ind w:left="0" w:firstLine="0"/>
      </w:pPr>
      <w:rPr>
        <w:rFonts w:hint="eastAsia"/>
      </w:rPr>
    </w:lvl>
    <w:lvl w:ilvl="1">
      <w:start w:val="1"/>
      <w:numFmt w:val="decimal"/>
      <w:lvlText w:val="%1.%2"/>
      <w:lvlJc w:val="left"/>
      <w:pPr>
        <w:tabs>
          <w:tab w:val="num" w:pos="0"/>
        </w:tabs>
        <w:ind w:left="425" w:hanging="425"/>
      </w:pPr>
      <w:rPr>
        <w:rFonts w:hint="eastAsia"/>
      </w:rPr>
    </w:lvl>
    <w:lvl w:ilvl="2">
      <w:start w:val="1"/>
      <w:numFmt w:val="decimal"/>
      <w:lvlText w:val="%1.%2.%3"/>
      <w:lvlJc w:val="left"/>
      <w:pPr>
        <w:tabs>
          <w:tab w:val="num" w:pos="425"/>
        </w:tabs>
        <w:ind w:left="1134" w:hanging="709"/>
      </w:pPr>
      <w:rPr>
        <w:rFonts w:ascii="Arial" w:hAnsi="Arial" w:hint="default"/>
      </w:rPr>
    </w:lvl>
    <w:lvl w:ilvl="3">
      <w:start w:val="1"/>
      <w:numFmt w:val="decimal"/>
      <w:lvlText w:val="（%4）"/>
      <w:lvlJc w:val="left"/>
      <w:pPr>
        <w:tabs>
          <w:tab w:val="num" w:pos="1814"/>
        </w:tabs>
        <w:ind w:left="1531" w:hanging="510"/>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39" w15:restartNumberingAfterBreak="0">
    <w:nsid w:val="406F17D1"/>
    <w:multiLevelType w:val="multilevel"/>
    <w:tmpl w:val="406F17D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409A1F09"/>
    <w:multiLevelType w:val="multilevel"/>
    <w:tmpl w:val="409A1F09"/>
    <w:lvl w:ilvl="0">
      <w:start w:val="1"/>
      <w:numFmt w:val="decimal"/>
      <w:lvlText w:val="%1"/>
      <w:lvlJc w:val="left"/>
      <w:pPr>
        <w:tabs>
          <w:tab w:val="num" w:pos="425"/>
        </w:tabs>
        <w:ind w:left="425" w:hanging="425"/>
      </w:pPr>
    </w:lvl>
    <w:lvl w:ilvl="1">
      <w:start w:val="1"/>
      <w:numFmt w:val="decimal"/>
      <w:lvlText w:val="4.%2"/>
      <w:lvlJc w:val="left"/>
      <w:pPr>
        <w:tabs>
          <w:tab w:val="num" w:pos="1505"/>
        </w:tabs>
        <w:ind w:left="992" w:hanging="567"/>
      </w:pPr>
    </w:lvl>
    <w:lvl w:ilvl="2">
      <w:start w:val="1"/>
      <w:numFmt w:val="decimal"/>
      <w:lvlText w:val="%1.%2.%3"/>
      <w:lvlJc w:val="left"/>
      <w:pPr>
        <w:tabs>
          <w:tab w:val="num" w:pos="2651"/>
        </w:tabs>
        <w:ind w:left="1418" w:hanging="567"/>
      </w:pPr>
    </w:lvl>
    <w:lvl w:ilvl="3">
      <w:start w:val="1"/>
      <w:numFmt w:val="decimal"/>
      <w:lvlText w:val="%1.%2.%3.%4"/>
      <w:lvlJc w:val="left"/>
      <w:pPr>
        <w:tabs>
          <w:tab w:val="num" w:pos="3796"/>
        </w:tabs>
        <w:ind w:left="1984" w:hanging="708"/>
      </w:pPr>
    </w:lvl>
    <w:lvl w:ilvl="4">
      <w:start w:val="1"/>
      <w:numFmt w:val="decimal"/>
      <w:lvlText w:val="%1.%2.%3.%4.%5"/>
      <w:lvlJc w:val="left"/>
      <w:pPr>
        <w:tabs>
          <w:tab w:val="num" w:pos="4581"/>
        </w:tabs>
        <w:ind w:left="2551" w:hanging="850"/>
      </w:pPr>
    </w:lvl>
    <w:lvl w:ilvl="5">
      <w:start w:val="1"/>
      <w:numFmt w:val="decimal"/>
      <w:lvlText w:val="%1.%2.%3.%4.%5.%6"/>
      <w:lvlJc w:val="left"/>
      <w:pPr>
        <w:tabs>
          <w:tab w:val="num" w:pos="5726"/>
        </w:tabs>
        <w:ind w:left="3260" w:hanging="1134"/>
      </w:pPr>
    </w:lvl>
    <w:lvl w:ilvl="6">
      <w:start w:val="1"/>
      <w:numFmt w:val="decimal"/>
      <w:lvlText w:val="%1.%2.%3.%4.%5.%6.%7"/>
      <w:lvlJc w:val="left"/>
      <w:pPr>
        <w:tabs>
          <w:tab w:val="num" w:pos="6871"/>
        </w:tabs>
        <w:ind w:left="3827" w:hanging="1276"/>
      </w:pPr>
    </w:lvl>
    <w:lvl w:ilvl="7">
      <w:start w:val="1"/>
      <w:numFmt w:val="decimal"/>
      <w:lvlText w:val="%1.%2.%3.%4.%5.%6.%7.%8"/>
      <w:lvlJc w:val="left"/>
      <w:pPr>
        <w:tabs>
          <w:tab w:val="num" w:pos="8016"/>
        </w:tabs>
        <w:ind w:left="4394" w:hanging="1418"/>
      </w:pPr>
    </w:lvl>
    <w:lvl w:ilvl="8">
      <w:start w:val="1"/>
      <w:numFmt w:val="decimal"/>
      <w:lvlText w:val="%1.%2.%3.%4.%5.%6.%7.%8.%9"/>
      <w:lvlJc w:val="left"/>
      <w:pPr>
        <w:tabs>
          <w:tab w:val="num" w:pos="9162"/>
        </w:tabs>
        <w:ind w:left="5102" w:hanging="1700"/>
      </w:pPr>
    </w:lvl>
  </w:abstractNum>
  <w:abstractNum w:abstractNumId="41" w15:restartNumberingAfterBreak="0">
    <w:nsid w:val="42A1499F"/>
    <w:multiLevelType w:val="multilevel"/>
    <w:tmpl w:val="42A1499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43C10507"/>
    <w:multiLevelType w:val="multilevel"/>
    <w:tmpl w:val="43C10507"/>
    <w:lvl w:ilvl="0">
      <w:start w:val="1"/>
      <w:numFmt w:val="decimal"/>
      <w:lvlText w:val="附件1.%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451B4F80"/>
    <w:multiLevelType w:val="multilevel"/>
    <w:tmpl w:val="451B4F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5726970"/>
    <w:multiLevelType w:val="multilevel"/>
    <w:tmpl w:val="45726970"/>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5" w15:restartNumberingAfterBreak="0">
    <w:nsid w:val="4646418B"/>
    <w:multiLevelType w:val="multilevel"/>
    <w:tmpl w:val="4646418B"/>
    <w:lvl w:ilvl="0">
      <w:start w:val="1"/>
      <w:numFmt w:val="decimal"/>
      <w:suff w:val="space"/>
      <w:lvlText w:val="%1"/>
      <w:lvlJc w:val="left"/>
      <w:pPr>
        <w:ind w:left="0" w:firstLine="0"/>
      </w:pPr>
      <w:rPr>
        <w:rFonts w:ascii="黑体" w:eastAsia="黑体" w:hint="eastAsia"/>
        <w:b w:val="0"/>
        <w:bCs w:val="0"/>
        <w:i w:val="0"/>
        <w:iCs w:val="0"/>
        <w:color w:val="auto"/>
        <w:sz w:val="28"/>
        <w:szCs w:val="28"/>
      </w:rPr>
    </w:lvl>
    <w:lvl w:ilvl="1">
      <w:start w:val="1"/>
      <w:numFmt w:val="decimal"/>
      <w:suff w:val="space"/>
      <w:lvlText w:val="%1.%2"/>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em w:val="none"/>
      </w:rPr>
    </w:lvl>
    <w:lvl w:ilvl="2">
      <w:start w:val="1"/>
      <w:numFmt w:val="decimal"/>
      <w:suff w:val="space"/>
      <w:lvlText w:val="%1.%2.%3"/>
      <w:lvlJc w:val="left"/>
      <w:pPr>
        <w:ind w:left="0" w:firstLine="0"/>
      </w:pPr>
      <w:rPr>
        <w:rFonts w:ascii="宋体" w:eastAsia="宋体" w:hAnsi="Times New Roman" w:hint="eastAsia"/>
        <w:b w:val="0"/>
        <w:bCs w:val="0"/>
        <w:i w:val="0"/>
        <w:iCs w:val="0"/>
        <w:caps w:val="0"/>
        <w:smallCaps w:val="0"/>
        <w:strike w:val="0"/>
        <w:dstrike w:val="0"/>
        <w:color w:val="auto"/>
        <w:spacing w:val="0"/>
        <w:sz w:val="28"/>
        <w:szCs w:val="28"/>
        <w:u w:val="none"/>
        <w:em w:val="none"/>
      </w:rPr>
    </w:lvl>
    <w:lvl w:ilvl="3">
      <w:start w:val="1"/>
      <w:numFmt w:val="decimal"/>
      <w:suff w:val="space"/>
      <w:lvlText w:val="%1.%2.%3.%4"/>
      <w:lvlJc w:val="left"/>
      <w:pPr>
        <w:ind w:left="0" w:firstLine="0"/>
      </w:pPr>
      <w:rPr>
        <w:rFonts w:ascii="宋体" w:eastAsia="宋体" w:hAnsi="Arial" w:hint="eastAsia"/>
        <w:b w:val="0"/>
        <w:bCs w:val="0"/>
        <w:i w:val="0"/>
        <w:iCs w:val="0"/>
        <w:color w:val="auto"/>
        <w:sz w:val="28"/>
        <w:szCs w:val="28"/>
      </w:rPr>
    </w:lvl>
    <w:lvl w:ilvl="4">
      <w:start w:val="1"/>
      <w:numFmt w:val="decimal"/>
      <w:suff w:val="space"/>
      <w:lvlText w:val="%5)"/>
      <w:lvlJc w:val="left"/>
      <w:pPr>
        <w:ind w:left="153" w:firstLine="567"/>
      </w:pPr>
      <w:rPr>
        <w:rFonts w:ascii="宋体" w:eastAsia="宋体" w:hAnsi="Times New Roman" w:hint="eastAsia"/>
        <w:b w:val="0"/>
        <w:i w:val="0"/>
        <w:sz w:val="28"/>
        <w:szCs w:val="28"/>
      </w:rPr>
    </w:lvl>
    <w:lvl w:ilvl="5">
      <w:start w:val="1"/>
      <w:numFmt w:val="decimal"/>
      <w:suff w:val="space"/>
      <w:lvlText w:val="(%6)"/>
      <w:lvlJc w:val="left"/>
      <w:pPr>
        <w:ind w:left="0" w:firstLine="567"/>
      </w:pPr>
      <w:rPr>
        <w:rFonts w:ascii="宋体" w:eastAsia="宋体" w:hAnsi="Times New Roman" w:hint="eastAsia"/>
        <w:b w:val="0"/>
        <w:bCs w:val="0"/>
        <w:i w:val="0"/>
        <w:iCs w:val="0"/>
        <w:sz w:val="28"/>
        <w:szCs w:val="28"/>
      </w:rPr>
    </w:lvl>
    <w:lvl w:ilvl="6">
      <w:start w:val="1"/>
      <w:numFmt w:val="decimal"/>
      <w:lvlText w:val="%1.%2.%3.%4.%5.%6.%7"/>
      <w:lvlJc w:val="left"/>
      <w:pPr>
        <w:tabs>
          <w:tab w:val="num" w:pos="936"/>
        </w:tabs>
        <w:ind w:left="936" w:hanging="1296"/>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224"/>
        </w:tabs>
        <w:ind w:left="1224" w:hanging="1584"/>
      </w:pPr>
    </w:lvl>
  </w:abstractNum>
  <w:abstractNum w:abstractNumId="46" w15:restartNumberingAfterBreak="0">
    <w:nsid w:val="4660194C"/>
    <w:multiLevelType w:val="multilevel"/>
    <w:tmpl w:val="4660194C"/>
    <w:lvl w:ilvl="0">
      <w:start w:val="1"/>
      <w:numFmt w:val="decimal"/>
      <w:lvlText w:val="(%1)"/>
      <w:lvlJc w:val="left"/>
      <w:pPr>
        <w:tabs>
          <w:tab w:val="num" w:pos="900"/>
        </w:tabs>
        <w:ind w:left="844" w:hanging="171"/>
      </w:pPr>
      <w:rPr>
        <w:rFonts w:hint="eastAsia"/>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47" w15:restartNumberingAfterBreak="0">
    <w:nsid w:val="491576ED"/>
    <w:multiLevelType w:val="multilevel"/>
    <w:tmpl w:val="491576ED"/>
    <w:lvl w:ilvl="0">
      <w:start w:val="4"/>
      <w:numFmt w:val="decimal"/>
      <w:suff w:val="space"/>
      <w:lvlText w:val="%1"/>
      <w:lvlJc w:val="left"/>
      <w:pPr>
        <w:ind w:left="50" w:firstLine="0"/>
      </w:pPr>
      <w:rPr>
        <w:rFonts w:ascii="黑体" w:eastAsia="黑体" w:hint="eastAsia"/>
        <w:b w:val="0"/>
        <w:i w:val="0"/>
        <w:color w:val="auto"/>
        <w:sz w:val="28"/>
        <w:szCs w:val="28"/>
      </w:rPr>
    </w:lvl>
    <w:lvl w:ilvl="1">
      <w:start w:val="5"/>
      <w:numFmt w:val="decimal"/>
      <w:suff w:val="space"/>
      <w:lvlText w:val="%1.%2"/>
      <w:lvlJc w:val="left"/>
      <w:pPr>
        <w:ind w:left="50" w:firstLine="0"/>
      </w:pPr>
      <w:rPr>
        <w:rFonts w:ascii="黑体" w:eastAsia="黑体" w:hint="eastAsia"/>
        <w:b w:val="0"/>
        <w:i w:val="0"/>
        <w:color w:val="auto"/>
        <w:sz w:val="28"/>
        <w:szCs w:val="28"/>
      </w:rPr>
    </w:lvl>
    <w:lvl w:ilvl="2">
      <w:start w:val="1"/>
      <w:numFmt w:val="decimal"/>
      <w:suff w:val="space"/>
      <w:lvlText w:val="%1.1.%3"/>
      <w:lvlJc w:val="left"/>
      <w:pPr>
        <w:ind w:left="540" w:firstLine="0"/>
      </w:pPr>
      <w:rPr>
        <w:rFonts w:ascii="宋体" w:eastAsia="宋体" w:hAnsi="Times New Roman" w:hint="eastAsia"/>
        <w:b w:val="0"/>
        <w:i w:val="0"/>
        <w:color w:val="auto"/>
        <w:sz w:val="28"/>
        <w:szCs w:val="28"/>
      </w:rPr>
    </w:lvl>
    <w:lvl w:ilvl="3">
      <w:start w:val="1"/>
      <w:numFmt w:val="decimal"/>
      <w:suff w:val="space"/>
      <w:lvlText w:val="%1.%2.%3.%4"/>
      <w:lvlJc w:val="left"/>
      <w:pPr>
        <w:ind w:left="50" w:firstLine="0"/>
      </w:pPr>
      <w:rPr>
        <w:rFonts w:ascii="宋体" w:eastAsia="宋体" w:hAnsi="Arial" w:hint="eastAsia"/>
        <w:b w:val="0"/>
        <w:i w:val="0"/>
        <w:color w:val="auto"/>
        <w:sz w:val="28"/>
        <w:szCs w:val="28"/>
      </w:rPr>
    </w:lvl>
    <w:lvl w:ilvl="4">
      <w:start w:val="1"/>
      <w:numFmt w:val="decimal"/>
      <w:suff w:val="space"/>
      <w:lvlText w:val="%5)"/>
      <w:lvlJc w:val="left"/>
      <w:pPr>
        <w:ind w:left="263" w:firstLine="567"/>
      </w:pPr>
      <w:rPr>
        <w:rFonts w:ascii="Times New Roman" w:eastAsia="黑体" w:hAnsi="Times New Roman" w:cs="Times New Roman" w:hint="default"/>
        <w:sz w:val="24"/>
        <w:szCs w:val="24"/>
      </w:rPr>
    </w:lvl>
    <w:lvl w:ilvl="5">
      <w:start w:val="1"/>
      <w:numFmt w:val="decimal"/>
      <w:suff w:val="space"/>
      <w:lvlText w:val="(%6)"/>
      <w:lvlJc w:val="left"/>
      <w:pPr>
        <w:ind w:left="242" w:firstLine="567"/>
      </w:pPr>
      <w:rPr>
        <w:rFonts w:ascii="宋体" w:eastAsia="宋体" w:hAnsi="Times New Roman" w:hint="eastAsia"/>
        <w:b w:val="0"/>
        <w:i w:val="0"/>
        <w:sz w:val="28"/>
        <w:szCs w:val="28"/>
      </w:rPr>
    </w:lvl>
    <w:lvl w:ilvl="6">
      <w:start w:val="1"/>
      <w:numFmt w:val="decimal"/>
      <w:lvlText w:val="%1.%2.%3.%4.%5.%6.%7"/>
      <w:lvlJc w:val="left"/>
      <w:pPr>
        <w:tabs>
          <w:tab w:val="num" w:pos="446"/>
        </w:tabs>
        <w:ind w:left="446" w:hanging="1296"/>
      </w:pPr>
    </w:lvl>
    <w:lvl w:ilvl="7">
      <w:start w:val="1"/>
      <w:numFmt w:val="decimal"/>
      <w:lvlText w:val="%1.%2.%3.%4.%5.%6.%7.%8"/>
      <w:lvlJc w:val="left"/>
      <w:pPr>
        <w:tabs>
          <w:tab w:val="num" w:pos="590"/>
        </w:tabs>
        <w:ind w:left="590" w:hanging="1440"/>
      </w:pPr>
    </w:lvl>
    <w:lvl w:ilvl="8">
      <w:start w:val="1"/>
      <w:numFmt w:val="decimal"/>
      <w:lvlText w:val="%1.%2.%3.%4.%5.%6.%7.%8.%9"/>
      <w:lvlJc w:val="left"/>
      <w:pPr>
        <w:tabs>
          <w:tab w:val="num" w:pos="734"/>
        </w:tabs>
        <w:ind w:left="734" w:hanging="1584"/>
      </w:pPr>
    </w:lvl>
  </w:abstractNum>
  <w:abstractNum w:abstractNumId="48" w15:restartNumberingAfterBreak="0">
    <w:nsid w:val="4A817256"/>
    <w:multiLevelType w:val="multilevel"/>
    <w:tmpl w:val="4A817256"/>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9" w15:restartNumberingAfterBreak="0">
    <w:nsid w:val="4E8342F5"/>
    <w:multiLevelType w:val="multilevel"/>
    <w:tmpl w:val="4E8342F5"/>
    <w:lvl w:ilvl="0">
      <w:start w:val="1"/>
      <w:numFmt w:val="decimal"/>
      <w:lvlText w:val="%1."/>
      <w:lvlJc w:val="left"/>
      <w:pPr>
        <w:tabs>
          <w:tab w:val="num" w:pos="435"/>
        </w:tabs>
        <w:ind w:left="435" w:hanging="360"/>
      </w:pPr>
      <w:rPr>
        <w:rFonts w:hint="default"/>
      </w:rPr>
    </w:lvl>
    <w:lvl w:ilvl="1">
      <w:start w:val="1"/>
      <w:numFmt w:val="lowerLetter"/>
      <w:lvlText w:val="%2)"/>
      <w:lvlJc w:val="left"/>
      <w:pPr>
        <w:tabs>
          <w:tab w:val="num" w:pos="915"/>
        </w:tabs>
        <w:ind w:left="915" w:hanging="420"/>
      </w:pPr>
    </w:lvl>
    <w:lvl w:ilvl="2">
      <w:start w:val="1"/>
      <w:numFmt w:val="lowerRoman"/>
      <w:lvlText w:val="%3."/>
      <w:lvlJc w:val="right"/>
      <w:pPr>
        <w:tabs>
          <w:tab w:val="num" w:pos="1335"/>
        </w:tabs>
        <w:ind w:left="1335" w:hanging="420"/>
      </w:pPr>
    </w:lvl>
    <w:lvl w:ilvl="3">
      <w:start w:val="1"/>
      <w:numFmt w:val="decimal"/>
      <w:lvlText w:val="%4."/>
      <w:lvlJc w:val="left"/>
      <w:pPr>
        <w:tabs>
          <w:tab w:val="num" w:pos="1755"/>
        </w:tabs>
        <w:ind w:left="1755" w:hanging="420"/>
      </w:pPr>
    </w:lvl>
    <w:lvl w:ilvl="4">
      <w:start w:val="1"/>
      <w:numFmt w:val="lowerLetter"/>
      <w:lvlText w:val="%5)"/>
      <w:lvlJc w:val="left"/>
      <w:pPr>
        <w:tabs>
          <w:tab w:val="num" w:pos="2175"/>
        </w:tabs>
        <w:ind w:left="2175" w:hanging="420"/>
      </w:pPr>
    </w:lvl>
    <w:lvl w:ilvl="5">
      <w:start w:val="1"/>
      <w:numFmt w:val="lowerRoman"/>
      <w:lvlText w:val="%6."/>
      <w:lvlJc w:val="right"/>
      <w:pPr>
        <w:tabs>
          <w:tab w:val="num" w:pos="2595"/>
        </w:tabs>
        <w:ind w:left="2595" w:hanging="420"/>
      </w:pPr>
    </w:lvl>
    <w:lvl w:ilvl="6">
      <w:start w:val="1"/>
      <w:numFmt w:val="decimal"/>
      <w:lvlText w:val="%7."/>
      <w:lvlJc w:val="left"/>
      <w:pPr>
        <w:tabs>
          <w:tab w:val="num" w:pos="3015"/>
        </w:tabs>
        <w:ind w:left="3015" w:hanging="420"/>
      </w:pPr>
    </w:lvl>
    <w:lvl w:ilvl="7">
      <w:start w:val="1"/>
      <w:numFmt w:val="lowerLetter"/>
      <w:lvlText w:val="%8)"/>
      <w:lvlJc w:val="left"/>
      <w:pPr>
        <w:tabs>
          <w:tab w:val="num" w:pos="3435"/>
        </w:tabs>
        <w:ind w:left="3435" w:hanging="420"/>
      </w:pPr>
    </w:lvl>
    <w:lvl w:ilvl="8">
      <w:start w:val="1"/>
      <w:numFmt w:val="lowerRoman"/>
      <w:lvlText w:val="%9."/>
      <w:lvlJc w:val="right"/>
      <w:pPr>
        <w:tabs>
          <w:tab w:val="num" w:pos="3855"/>
        </w:tabs>
        <w:ind w:left="3855" w:hanging="420"/>
      </w:pPr>
    </w:lvl>
  </w:abstractNum>
  <w:abstractNum w:abstractNumId="50" w15:restartNumberingAfterBreak="0">
    <w:nsid w:val="552B1217"/>
    <w:multiLevelType w:val="multilevel"/>
    <w:tmpl w:val="552B1217"/>
    <w:lvl w:ilvl="0">
      <w:start w:val="1"/>
      <w:numFmt w:val="decimal"/>
      <w:lvlText w:val="附件2.10.%1 "/>
      <w:lvlJc w:val="left"/>
      <w:pPr>
        <w:ind w:left="127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57C2AF5"/>
    <w:multiLevelType w:val="multilevel"/>
    <w:tmpl w:val="557C2AF5"/>
    <w:lvl w:ilvl="0">
      <w:start w:val="1"/>
      <w:numFmt w:val="decimal"/>
      <w:suff w:val="nothing"/>
      <w:lvlText w:val="图%1　"/>
      <w:lvlJc w:val="left"/>
      <w:pPr>
        <w:ind w:left="0" w:firstLine="0"/>
      </w:pPr>
      <w:rPr>
        <w:rFonts w:ascii="Cambria Math" w:eastAsia="Cambria Math" w:hAnsi="Times New Roman" w:hint="eastAsia"/>
        <w:b w:val="0"/>
        <w:i w:val="0"/>
        <w:sz w:val="21"/>
      </w:rPr>
    </w:lvl>
    <w:lvl w:ilvl="1">
      <w:start w:val="1"/>
      <w:numFmt w:val="decimal"/>
      <w:suff w:val="nothing"/>
      <w:lvlText w:val="%1%2　"/>
      <w:lvlJc w:val="left"/>
      <w:pPr>
        <w:ind w:left="0" w:firstLine="0"/>
      </w:pPr>
      <w:rPr>
        <w:rFonts w:ascii="Times New Roman" w:eastAsia="Cambria Math" w:hAnsi="Times New Roman" w:hint="default"/>
        <w:b w:val="0"/>
        <w:i w:val="0"/>
        <w:sz w:val="21"/>
      </w:rPr>
    </w:lvl>
    <w:lvl w:ilvl="2">
      <w:start w:val="1"/>
      <w:numFmt w:val="decimal"/>
      <w:suff w:val="nothing"/>
      <w:lvlText w:val="%1%2.%3　"/>
      <w:lvlJc w:val="left"/>
      <w:pPr>
        <w:ind w:left="0" w:firstLine="0"/>
      </w:pPr>
      <w:rPr>
        <w:rFonts w:ascii="Times New Roman" w:eastAsia="Cambria Math" w:hAnsi="Times New Roman" w:hint="default"/>
        <w:b w:val="0"/>
        <w:i w:val="0"/>
        <w:sz w:val="21"/>
      </w:rPr>
    </w:lvl>
    <w:lvl w:ilvl="3">
      <w:start w:val="1"/>
      <w:numFmt w:val="decimal"/>
      <w:suff w:val="nothing"/>
      <w:lvlText w:val="%1%2.%3.%4　"/>
      <w:lvlJc w:val="left"/>
      <w:pPr>
        <w:ind w:left="0" w:firstLine="0"/>
      </w:pPr>
      <w:rPr>
        <w:rFonts w:ascii="Times New Roman" w:eastAsia="Cambria Math" w:hAnsi="Times New Roman" w:hint="default"/>
        <w:b w:val="0"/>
        <w:i w:val="0"/>
        <w:sz w:val="21"/>
      </w:rPr>
    </w:lvl>
    <w:lvl w:ilvl="4">
      <w:start w:val="1"/>
      <w:numFmt w:val="decimal"/>
      <w:suff w:val="nothing"/>
      <w:lvlText w:val="%1%2.%3.%4.%5　"/>
      <w:lvlJc w:val="left"/>
      <w:pPr>
        <w:ind w:left="0" w:firstLine="0"/>
      </w:pPr>
      <w:rPr>
        <w:rFonts w:ascii="Times New Roman" w:eastAsia="Cambria Math" w:hAnsi="Times New Roman" w:hint="default"/>
        <w:b w:val="0"/>
        <w:i w:val="0"/>
        <w:sz w:val="21"/>
      </w:rPr>
    </w:lvl>
    <w:lvl w:ilvl="5">
      <w:start w:val="1"/>
      <w:numFmt w:val="decimal"/>
      <w:suff w:val="nothing"/>
      <w:lvlText w:val="%1%2.%3.%4.%5.%6　"/>
      <w:lvlJc w:val="left"/>
      <w:pPr>
        <w:ind w:left="0" w:firstLine="0"/>
      </w:pPr>
      <w:rPr>
        <w:rFonts w:ascii="Times New Roman" w:eastAsia="Cambria Math" w:hAnsi="Times New Roman" w:hint="default"/>
        <w:b w:val="0"/>
        <w:i w:val="0"/>
        <w:sz w:val="21"/>
      </w:rPr>
    </w:lvl>
    <w:lvl w:ilvl="6">
      <w:start w:val="1"/>
      <w:numFmt w:val="decimal"/>
      <w:suff w:val="nothing"/>
      <w:lvlText w:val="%1%2.%3.%4.%5.%6.%7　"/>
      <w:lvlJc w:val="left"/>
      <w:pPr>
        <w:ind w:left="0" w:firstLine="0"/>
      </w:pPr>
      <w:rPr>
        <w:rFonts w:ascii="Times New Roman" w:eastAsia="Cambria Math"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2" w15:restartNumberingAfterBreak="0">
    <w:nsid w:val="561772FF"/>
    <w:multiLevelType w:val="multilevel"/>
    <w:tmpl w:val="561772FF"/>
    <w:lvl w:ilvl="0">
      <w:start w:val="1"/>
      <w:numFmt w:val="bullet"/>
      <w:lvlText w:val=""/>
      <w:lvlJc w:val="left"/>
      <w:pPr>
        <w:ind w:left="987" w:hanging="420"/>
      </w:pPr>
      <w:rPr>
        <w:rFonts w:ascii="Wingdings" w:hAnsi="Wingdings" w:hint="default"/>
        <w:color w:val="auto"/>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53" w15:restartNumberingAfterBreak="0">
    <w:nsid w:val="566222F7"/>
    <w:multiLevelType w:val="multilevel"/>
    <w:tmpl w:val="566222F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4" w15:restartNumberingAfterBreak="0">
    <w:nsid w:val="5A6C3802"/>
    <w:multiLevelType w:val="multilevel"/>
    <w:tmpl w:val="5A6C3802"/>
    <w:lvl w:ilvl="0">
      <w:start w:val="13"/>
      <w:numFmt w:val="decimal"/>
      <w:lvlText w:val="%1."/>
      <w:lvlJc w:val="left"/>
      <w:pPr>
        <w:tabs>
          <w:tab w:val="num" w:pos="0"/>
        </w:tabs>
        <w:ind w:left="425" w:hanging="425"/>
      </w:pPr>
      <w:rPr>
        <w:rFonts w:ascii="Times New Roman" w:eastAsia="宋体" w:hAnsi="Times New Roman" w:cs="Times New Roman" w:hint="eastAsia"/>
      </w:rPr>
    </w:lvl>
    <w:lvl w:ilvl="1">
      <w:start w:val="1"/>
      <w:numFmt w:val="decimal"/>
      <w:lvlText w:val="%1.%2."/>
      <w:lvlJc w:val="left"/>
      <w:pPr>
        <w:tabs>
          <w:tab w:val="num" w:pos="0"/>
        </w:tabs>
        <w:ind w:left="567" w:hanging="567"/>
      </w:pPr>
      <w:rPr>
        <w:rFonts w:hint="eastAsia"/>
      </w:rPr>
    </w:lvl>
    <w:lvl w:ilvl="2">
      <w:start w:val="1"/>
      <w:numFmt w:val="decimal"/>
      <w:lvlText w:val="%1.%2.%3."/>
      <w:lvlJc w:val="left"/>
      <w:pPr>
        <w:tabs>
          <w:tab w:val="num" w:pos="0"/>
        </w:tabs>
        <w:ind w:left="709" w:hanging="709"/>
      </w:pPr>
      <w:rPr>
        <w:rFonts w:hint="eastAsia"/>
      </w:rPr>
    </w:lvl>
    <w:lvl w:ilvl="3">
      <w:start w:val="1"/>
      <w:numFmt w:val="decimal"/>
      <w:lvlText w:val="%1.%2.%3.%4."/>
      <w:lvlJc w:val="left"/>
      <w:pPr>
        <w:tabs>
          <w:tab w:val="num" w:pos="0"/>
        </w:tabs>
        <w:ind w:left="851" w:hanging="851"/>
      </w:pPr>
      <w:rPr>
        <w:rFonts w:hint="eastAsia"/>
      </w:rPr>
    </w:lvl>
    <w:lvl w:ilvl="4">
      <w:start w:val="1"/>
      <w:numFmt w:val="decimal"/>
      <w:lvlText w:val="%1.%2.%3.%4.%5."/>
      <w:lvlJc w:val="left"/>
      <w:pPr>
        <w:tabs>
          <w:tab w:val="num" w:pos="0"/>
        </w:tabs>
        <w:ind w:left="992" w:hanging="992"/>
      </w:pPr>
      <w:rPr>
        <w:rFonts w:hint="eastAsia"/>
      </w:rPr>
    </w:lvl>
    <w:lvl w:ilvl="5">
      <w:start w:val="1"/>
      <w:numFmt w:val="decimal"/>
      <w:lvlText w:val="%1.%2.%3.%4.%5.%6."/>
      <w:lvlJc w:val="left"/>
      <w:pPr>
        <w:tabs>
          <w:tab w:val="num" w:pos="0"/>
        </w:tabs>
        <w:ind w:left="1134" w:hanging="1134"/>
      </w:pPr>
      <w:rPr>
        <w:rFonts w:hint="eastAsia"/>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55" w15:restartNumberingAfterBreak="0">
    <w:nsid w:val="5A9418B3"/>
    <w:multiLevelType w:val="multilevel"/>
    <w:tmpl w:val="5A9418B3"/>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6" w15:restartNumberingAfterBreak="0">
    <w:nsid w:val="5BA45918"/>
    <w:multiLevelType w:val="multilevel"/>
    <w:tmpl w:val="5BA45918"/>
    <w:lvl w:ilvl="0">
      <w:start w:val="1"/>
      <w:numFmt w:val="upperLetter"/>
      <w:suff w:val="nothing"/>
      <w:lvlText w:val="附录%1"/>
      <w:lvlJc w:val="left"/>
      <w:pPr>
        <w:ind w:left="108" w:firstLine="0"/>
      </w:pPr>
      <w:rPr>
        <w:rFonts w:ascii="黑体" w:eastAsia="黑体" w:hAnsi="Times New Roman" w:hint="eastAsia"/>
        <w:b w:val="0"/>
        <w:i w:val="0"/>
        <w:sz w:val="24"/>
      </w:rPr>
    </w:lvl>
    <w:lvl w:ilvl="1">
      <w:start w:val="1"/>
      <w:numFmt w:val="decimal"/>
      <w:suff w:val="nothing"/>
      <w:lvlText w:val="%1%2　"/>
      <w:lvlJc w:val="left"/>
      <w:pPr>
        <w:ind w:left="108" w:firstLine="0"/>
      </w:pPr>
      <w:rPr>
        <w:rFonts w:eastAsia="黑体" w:hint="eastAsia"/>
        <w:b w:val="0"/>
        <w:i w:val="0"/>
        <w:spacing w:val="0"/>
        <w:position w:val="0"/>
        <w:sz w:val="24"/>
      </w:rPr>
    </w:lvl>
    <w:lvl w:ilvl="2">
      <w:start w:val="1"/>
      <w:numFmt w:val="decimal"/>
      <w:suff w:val="nothing"/>
      <w:lvlText w:val="%2.%3　"/>
      <w:lvlJc w:val="left"/>
      <w:pPr>
        <w:ind w:left="180" w:firstLine="0"/>
      </w:pPr>
      <w:rPr>
        <w:rFonts w:ascii="宋体" w:eastAsia="宋体" w:hAnsi="Times New Roman" w:hint="eastAsia"/>
        <w:b w:val="0"/>
        <w:i w:val="0"/>
        <w:sz w:val="24"/>
      </w:rPr>
    </w:lvl>
    <w:lvl w:ilvl="3">
      <w:start w:val="1"/>
      <w:numFmt w:val="decimal"/>
      <w:suff w:val="nothing"/>
      <w:lvlText w:val="%1%2.%3.%4　"/>
      <w:lvlJc w:val="left"/>
      <w:pPr>
        <w:ind w:left="0" w:firstLine="0"/>
      </w:pPr>
      <w:rPr>
        <w:rFonts w:ascii="宋体" w:eastAsia="宋体" w:hAnsi="Times New Roman" w:hint="eastAsia"/>
        <w:b w:val="0"/>
        <w:i w:val="0"/>
        <w:sz w:val="24"/>
      </w:rPr>
    </w:lvl>
    <w:lvl w:ilvl="4">
      <w:start w:val="1"/>
      <w:numFmt w:val="decimal"/>
      <w:suff w:val="nothing"/>
      <w:lvlText w:val="%1%2.%3.%4.%5　"/>
      <w:lvlJc w:val="left"/>
      <w:pPr>
        <w:ind w:left="108" w:firstLine="0"/>
      </w:pPr>
      <w:rPr>
        <w:rFonts w:ascii="宋体" w:eastAsia="宋体" w:hAnsi="Times New Roman" w:hint="eastAsia"/>
        <w:b w:val="0"/>
        <w:i w:val="0"/>
        <w:spacing w:val="0"/>
        <w:position w:val="0"/>
        <w:sz w:val="24"/>
      </w:rPr>
    </w:lvl>
    <w:lvl w:ilvl="5">
      <w:start w:val="1"/>
      <w:numFmt w:val="decimal"/>
      <w:suff w:val="nothing"/>
      <w:lvlText w:val="%1%2.%3.%4.%5.%6　"/>
      <w:lvlJc w:val="left"/>
      <w:pPr>
        <w:ind w:left="108" w:firstLine="0"/>
      </w:pPr>
      <w:rPr>
        <w:rFonts w:ascii="宋体" w:eastAsia="宋体" w:hAnsi="Times New Roman" w:hint="eastAsia"/>
        <w:b w:val="0"/>
        <w:i w:val="0"/>
        <w:sz w:val="24"/>
      </w:rPr>
    </w:lvl>
    <w:lvl w:ilvl="6">
      <w:start w:val="1"/>
      <w:numFmt w:val="none"/>
      <w:suff w:val="nothing"/>
      <w:lvlText w:val="—— "/>
      <w:lvlJc w:val="left"/>
      <w:pPr>
        <w:ind w:left="488" w:firstLine="0"/>
      </w:pPr>
      <w:rPr>
        <w:rFonts w:ascii="宋体" w:eastAsia="宋体" w:hAnsi="Times New Roman" w:hint="eastAsia"/>
        <w:b w:val="0"/>
        <w:i w:val="0"/>
        <w:sz w:val="24"/>
      </w:rPr>
    </w:lvl>
    <w:lvl w:ilvl="7">
      <w:start w:val="1"/>
      <w:numFmt w:val="lowerLetter"/>
      <w:suff w:val="nothing"/>
      <w:lvlText w:val="%8） "/>
      <w:lvlJc w:val="left"/>
      <w:pPr>
        <w:ind w:left="488" w:firstLine="0"/>
      </w:pPr>
      <w:rPr>
        <w:rFonts w:ascii="宋体" w:eastAsia="宋体" w:hint="eastAsia"/>
        <w:b w:val="0"/>
        <w:i w:val="0"/>
        <w:spacing w:val="0"/>
        <w:position w:val="0"/>
        <w:sz w:val="24"/>
      </w:rPr>
    </w:lvl>
    <w:lvl w:ilvl="8">
      <w:start w:val="1"/>
      <w:numFmt w:val="decimal"/>
      <w:suff w:val="nothing"/>
      <w:lvlText w:val="%9） "/>
      <w:lvlJc w:val="left"/>
      <w:pPr>
        <w:ind w:left="1270" w:hanging="482"/>
      </w:pPr>
      <w:rPr>
        <w:rFonts w:ascii="宋体" w:eastAsia="宋体" w:hint="eastAsia"/>
        <w:b w:val="0"/>
        <w:i w:val="0"/>
        <w:spacing w:val="0"/>
        <w:position w:val="0"/>
        <w:sz w:val="24"/>
      </w:rPr>
    </w:lvl>
  </w:abstractNum>
  <w:abstractNum w:abstractNumId="57" w15:restartNumberingAfterBreak="0">
    <w:nsid w:val="5D7D5232"/>
    <w:multiLevelType w:val="multilevel"/>
    <w:tmpl w:val="5D7D5232"/>
    <w:lvl w:ilvl="0">
      <w:start w:val="1"/>
      <w:numFmt w:val="decimal"/>
      <w:lvlText w:val="附件1.4.%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5EA1237A"/>
    <w:multiLevelType w:val="multilevel"/>
    <w:tmpl w:val="5EA1237A"/>
    <w:lvl w:ilvl="0">
      <w:start w:val="1"/>
      <w:numFmt w:val="decimal"/>
      <w:lvlText w:val="（%1）"/>
      <w:lvlJc w:val="left"/>
      <w:pPr>
        <w:ind w:left="1700" w:hanging="720"/>
      </w:pPr>
      <w:rPr>
        <w:rFonts w:hint="default"/>
      </w:rPr>
    </w:lvl>
    <w:lvl w:ilvl="1">
      <w:start w:val="1"/>
      <w:numFmt w:val="lowerLetter"/>
      <w:lvlText w:val="%2)"/>
      <w:lvlJc w:val="left"/>
      <w:pPr>
        <w:ind w:left="1820" w:hanging="420"/>
      </w:pPr>
    </w:lvl>
    <w:lvl w:ilvl="2">
      <w:start w:val="1"/>
      <w:numFmt w:val="lowerRoman"/>
      <w:lvlText w:val="%3."/>
      <w:lvlJc w:val="right"/>
      <w:pPr>
        <w:ind w:left="2240" w:hanging="420"/>
      </w:pPr>
    </w:lvl>
    <w:lvl w:ilvl="3">
      <w:start w:val="1"/>
      <w:numFmt w:val="decimal"/>
      <w:lvlText w:val="%4."/>
      <w:lvlJc w:val="left"/>
      <w:pPr>
        <w:ind w:left="2660" w:hanging="420"/>
      </w:pPr>
    </w:lvl>
    <w:lvl w:ilvl="4">
      <w:start w:val="1"/>
      <w:numFmt w:val="lowerLetter"/>
      <w:lvlText w:val="%5)"/>
      <w:lvlJc w:val="left"/>
      <w:pPr>
        <w:ind w:left="3080" w:hanging="420"/>
      </w:pPr>
    </w:lvl>
    <w:lvl w:ilvl="5">
      <w:start w:val="1"/>
      <w:numFmt w:val="lowerRoman"/>
      <w:lvlText w:val="%6."/>
      <w:lvlJc w:val="right"/>
      <w:pPr>
        <w:ind w:left="3500" w:hanging="420"/>
      </w:pPr>
    </w:lvl>
    <w:lvl w:ilvl="6">
      <w:start w:val="1"/>
      <w:numFmt w:val="decimal"/>
      <w:lvlText w:val="%7."/>
      <w:lvlJc w:val="left"/>
      <w:pPr>
        <w:ind w:left="3920" w:hanging="420"/>
      </w:pPr>
    </w:lvl>
    <w:lvl w:ilvl="7">
      <w:start w:val="1"/>
      <w:numFmt w:val="lowerLetter"/>
      <w:lvlText w:val="%8)"/>
      <w:lvlJc w:val="left"/>
      <w:pPr>
        <w:ind w:left="4340" w:hanging="420"/>
      </w:pPr>
    </w:lvl>
    <w:lvl w:ilvl="8">
      <w:start w:val="1"/>
      <w:numFmt w:val="lowerRoman"/>
      <w:lvlText w:val="%9."/>
      <w:lvlJc w:val="right"/>
      <w:pPr>
        <w:ind w:left="4760" w:hanging="420"/>
      </w:pPr>
    </w:lvl>
  </w:abstractNum>
  <w:abstractNum w:abstractNumId="59" w15:restartNumberingAfterBreak="0">
    <w:nsid w:val="5EA80C66"/>
    <w:multiLevelType w:val="multilevel"/>
    <w:tmpl w:val="5EA80C66"/>
    <w:lvl w:ilvl="0">
      <w:start w:val="5"/>
      <w:numFmt w:val="decimal"/>
      <w:suff w:val="space"/>
      <w:lvlText w:val="%1"/>
      <w:lvlJc w:val="left"/>
      <w:pPr>
        <w:ind w:left="0" w:firstLine="0"/>
      </w:pPr>
      <w:rPr>
        <w:rFonts w:ascii="黑体" w:eastAsia="黑体" w:hint="eastAsia"/>
        <w:b w:val="0"/>
        <w:bCs w:val="0"/>
        <w:i w:val="0"/>
        <w:iCs w:val="0"/>
        <w:color w:val="auto"/>
        <w:sz w:val="28"/>
        <w:szCs w:val="28"/>
      </w:rPr>
    </w:lvl>
    <w:lvl w:ilvl="1">
      <w:start w:val="1"/>
      <w:numFmt w:val="decimal"/>
      <w:suff w:val="space"/>
      <w:lvlText w:val="%1.%2"/>
      <w:lvlJc w:val="left"/>
      <w:pPr>
        <w:ind w:left="-629" w:firstLine="0"/>
      </w:pPr>
      <w:rPr>
        <w:rFonts w:ascii="黑体" w:eastAsia="黑体" w:hint="eastAsia"/>
        <w:b w:val="0"/>
        <w:bCs w:val="0"/>
        <w:i w:val="0"/>
        <w:iCs w:val="0"/>
        <w:color w:val="auto"/>
        <w:sz w:val="28"/>
        <w:szCs w:val="28"/>
      </w:rPr>
    </w:lvl>
    <w:lvl w:ilvl="2">
      <w:start w:val="1"/>
      <w:numFmt w:val="decimal"/>
      <w:suff w:val="space"/>
      <w:lvlText w:val="%1.%2.%3"/>
      <w:lvlJc w:val="left"/>
      <w:pPr>
        <w:ind w:left="-629" w:firstLine="0"/>
      </w:pPr>
      <w:rPr>
        <w:rFonts w:ascii="宋体" w:eastAsia="宋体" w:hAnsi="Times New Roman" w:hint="eastAsia"/>
        <w:b w:val="0"/>
        <w:bCs w:val="0"/>
        <w:i w:val="0"/>
        <w:iCs w:val="0"/>
        <w:color w:val="auto"/>
        <w:sz w:val="28"/>
        <w:szCs w:val="28"/>
      </w:rPr>
    </w:lvl>
    <w:lvl w:ilvl="3">
      <w:start w:val="1"/>
      <w:numFmt w:val="decimal"/>
      <w:suff w:val="space"/>
      <w:lvlText w:val="%1.%2.%3.%4"/>
      <w:lvlJc w:val="left"/>
      <w:pPr>
        <w:ind w:left="532" w:firstLine="0"/>
      </w:pPr>
      <w:rPr>
        <w:rFonts w:ascii="宋体" w:eastAsia="宋体" w:hAnsi="Arial" w:hint="eastAsia"/>
        <w:b w:val="0"/>
        <w:bCs w:val="0"/>
        <w:i w:val="0"/>
        <w:iCs w:val="0"/>
        <w:color w:val="auto"/>
        <w:sz w:val="28"/>
        <w:szCs w:val="28"/>
      </w:rPr>
    </w:lvl>
    <w:lvl w:ilvl="4">
      <w:start w:val="1"/>
      <w:numFmt w:val="decimal"/>
      <w:suff w:val="space"/>
      <w:lvlText w:val="%5)"/>
      <w:lvlJc w:val="left"/>
      <w:pPr>
        <w:ind w:left="-629" w:firstLine="567"/>
      </w:pPr>
      <w:rPr>
        <w:rFonts w:ascii="宋体" w:eastAsia="宋体" w:hAnsi="Times New Roman" w:hint="eastAsia"/>
        <w:b w:val="0"/>
        <w:bCs w:val="0"/>
        <w:i w:val="0"/>
        <w:iCs w:val="0"/>
        <w:sz w:val="28"/>
        <w:szCs w:val="28"/>
      </w:rPr>
    </w:lvl>
    <w:lvl w:ilvl="5">
      <w:start w:val="1"/>
      <w:numFmt w:val="decimal"/>
      <w:suff w:val="space"/>
      <w:lvlText w:val="(%6)"/>
      <w:lvlJc w:val="left"/>
      <w:pPr>
        <w:ind w:left="-731" w:firstLine="567"/>
      </w:pPr>
      <w:rPr>
        <w:rFonts w:ascii="宋体" w:eastAsia="宋体" w:hAnsi="Times New Roman" w:hint="eastAsia"/>
        <w:b w:val="0"/>
        <w:bCs w:val="0"/>
        <w:i w:val="0"/>
        <w:iCs w:val="0"/>
        <w:sz w:val="28"/>
        <w:szCs w:val="28"/>
      </w:rPr>
    </w:lvl>
    <w:lvl w:ilvl="6">
      <w:start w:val="1"/>
      <w:numFmt w:val="decimal"/>
      <w:lvlText w:val="%1.%2.%3.%4.%5.%6.%7"/>
      <w:lvlJc w:val="left"/>
      <w:pPr>
        <w:tabs>
          <w:tab w:val="num" w:pos="-233"/>
        </w:tabs>
        <w:ind w:left="-233" w:hanging="1296"/>
      </w:pPr>
    </w:lvl>
    <w:lvl w:ilvl="7">
      <w:start w:val="1"/>
      <w:numFmt w:val="decimal"/>
      <w:lvlText w:val="%1.%2.%3.%4.%5.%6.%7.%8"/>
      <w:lvlJc w:val="left"/>
      <w:pPr>
        <w:tabs>
          <w:tab w:val="num" w:pos="-89"/>
        </w:tabs>
        <w:ind w:left="-89" w:hanging="1440"/>
      </w:pPr>
    </w:lvl>
    <w:lvl w:ilvl="8">
      <w:start w:val="1"/>
      <w:numFmt w:val="decimal"/>
      <w:lvlText w:val="%1.%2.%3.%4.%5.%6.%7.%8.%9"/>
      <w:lvlJc w:val="left"/>
      <w:pPr>
        <w:tabs>
          <w:tab w:val="num" w:pos="55"/>
        </w:tabs>
        <w:ind w:left="55" w:hanging="1584"/>
      </w:pPr>
    </w:lvl>
  </w:abstractNum>
  <w:abstractNum w:abstractNumId="60" w15:restartNumberingAfterBreak="0">
    <w:nsid w:val="60630646"/>
    <w:multiLevelType w:val="multilevel"/>
    <w:tmpl w:val="6063064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610260DB"/>
    <w:multiLevelType w:val="multilevel"/>
    <w:tmpl w:val="610260DB"/>
    <w:lvl w:ilvl="0">
      <w:start w:val="5"/>
      <w:numFmt w:val="decimal"/>
      <w:suff w:val="space"/>
      <w:lvlText w:val="%1"/>
      <w:lvlJc w:val="left"/>
      <w:pPr>
        <w:ind w:left="-200" w:firstLine="0"/>
      </w:pPr>
      <w:rPr>
        <w:rFonts w:ascii="黑体" w:eastAsia="黑体" w:hint="eastAsia"/>
        <w:b w:val="0"/>
        <w:bCs w:val="0"/>
        <w:i w:val="0"/>
        <w:iCs w:val="0"/>
        <w:color w:val="auto"/>
        <w:sz w:val="28"/>
        <w:szCs w:val="28"/>
      </w:rPr>
    </w:lvl>
    <w:lvl w:ilvl="1">
      <w:start w:val="1"/>
      <w:numFmt w:val="decimal"/>
      <w:suff w:val="space"/>
      <w:lvlText w:val="%1.%2"/>
      <w:lvlJc w:val="left"/>
      <w:pPr>
        <w:ind w:left="0" w:firstLine="0"/>
      </w:pPr>
      <w:rPr>
        <w:rFonts w:ascii="黑体" w:eastAsia="黑体" w:hint="eastAsia"/>
        <w:b w:val="0"/>
        <w:bCs w:val="0"/>
        <w:i w:val="0"/>
        <w:iCs w:val="0"/>
        <w:color w:val="auto"/>
        <w:sz w:val="28"/>
        <w:szCs w:val="28"/>
      </w:rPr>
    </w:lvl>
    <w:lvl w:ilvl="2">
      <w:start w:val="1"/>
      <w:numFmt w:val="decimal"/>
      <w:suff w:val="space"/>
      <w:lvlText w:val="%1.%2.%3"/>
      <w:lvlJc w:val="left"/>
      <w:pPr>
        <w:ind w:left="0" w:firstLine="0"/>
      </w:pPr>
      <w:rPr>
        <w:rFonts w:ascii="宋体" w:eastAsia="宋体" w:hAnsi="Times New Roman" w:hint="eastAsia"/>
        <w:b w:val="0"/>
        <w:bCs w:val="0"/>
        <w:i w:val="0"/>
        <w:iCs w:val="0"/>
        <w:color w:val="auto"/>
        <w:sz w:val="28"/>
        <w:szCs w:val="28"/>
      </w:rPr>
    </w:lvl>
    <w:lvl w:ilvl="3">
      <w:start w:val="1"/>
      <w:numFmt w:val="decimal"/>
      <w:suff w:val="space"/>
      <w:lvlText w:val="%1.%2.%3.%4"/>
      <w:lvlJc w:val="left"/>
      <w:pPr>
        <w:ind w:left="0" w:firstLine="0"/>
      </w:pPr>
      <w:rPr>
        <w:rFonts w:ascii="宋体" w:eastAsia="宋体" w:hAnsi="Arial" w:hint="eastAsia"/>
        <w:b w:val="0"/>
        <w:bCs w:val="0"/>
        <w:i w:val="0"/>
        <w:iCs w:val="0"/>
        <w:color w:val="auto"/>
        <w:sz w:val="28"/>
        <w:szCs w:val="28"/>
      </w:rPr>
    </w:lvl>
    <w:lvl w:ilvl="4">
      <w:start w:val="1"/>
      <w:numFmt w:val="decimal"/>
      <w:suff w:val="space"/>
      <w:lvlText w:val="%5)"/>
      <w:lvlJc w:val="left"/>
      <w:pPr>
        <w:ind w:left="0" w:firstLine="567"/>
      </w:pPr>
      <w:rPr>
        <w:rFonts w:ascii="宋体" w:eastAsia="宋体" w:hAnsi="Times New Roman" w:hint="eastAsia"/>
        <w:b w:val="0"/>
        <w:bCs w:val="0"/>
        <w:i w:val="0"/>
        <w:iCs w:val="0"/>
        <w:sz w:val="28"/>
        <w:szCs w:val="28"/>
      </w:rPr>
    </w:lvl>
    <w:lvl w:ilvl="5">
      <w:start w:val="1"/>
      <w:numFmt w:val="decimal"/>
      <w:suff w:val="space"/>
      <w:lvlText w:val="(%6)"/>
      <w:lvlJc w:val="left"/>
      <w:pPr>
        <w:ind w:left="-102" w:firstLine="567"/>
      </w:pPr>
      <w:rPr>
        <w:rFonts w:ascii="宋体" w:eastAsia="宋体" w:hAnsi="Times New Roman" w:hint="eastAsia"/>
        <w:b w:val="0"/>
        <w:bCs w:val="0"/>
        <w:i w:val="0"/>
        <w:iCs w:val="0"/>
        <w:sz w:val="28"/>
        <w:szCs w:val="28"/>
      </w:r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62" w15:restartNumberingAfterBreak="0">
    <w:nsid w:val="623855F3"/>
    <w:multiLevelType w:val="multilevel"/>
    <w:tmpl w:val="623855F3"/>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3" w15:restartNumberingAfterBreak="0">
    <w:nsid w:val="62FE6654"/>
    <w:multiLevelType w:val="multilevel"/>
    <w:tmpl w:val="62FE665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63217906"/>
    <w:multiLevelType w:val="singleLevel"/>
    <w:tmpl w:val="63217906"/>
    <w:lvl w:ilvl="0">
      <w:start w:val="1"/>
      <w:numFmt w:val="decimal"/>
      <w:lvlText w:val="%1."/>
      <w:lvlJc w:val="left"/>
      <w:pPr>
        <w:ind w:left="425" w:hanging="425"/>
      </w:pPr>
      <w:rPr>
        <w:rFonts w:hint="default"/>
      </w:rPr>
    </w:lvl>
  </w:abstractNum>
  <w:abstractNum w:abstractNumId="65" w15:restartNumberingAfterBreak="0">
    <w:nsid w:val="6481B66F"/>
    <w:multiLevelType w:val="singleLevel"/>
    <w:tmpl w:val="6481B66F"/>
    <w:lvl w:ilvl="0">
      <w:start w:val="1"/>
      <w:numFmt w:val="decimal"/>
      <w:lvlText w:val="(%1)"/>
      <w:lvlJc w:val="left"/>
      <w:pPr>
        <w:ind w:left="425" w:hanging="425"/>
      </w:pPr>
      <w:rPr>
        <w:rFonts w:hint="default"/>
      </w:rPr>
    </w:lvl>
  </w:abstractNum>
  <w:abstractNum w:abstractNumId="66" w15:restartNumberingAfterBreak="0">
    <w:nsid w:val="68E729CB"/>
    <w:multiLevelType w:val="multilevel"/>
    <w:tmpl w:val="68E729C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7" w15:restartNumberingAfterBreak="0">
    <w:nsid w:val="694B2EA6"/>
    <w:multiLevelType w:val="multilevel"/>
    <w:tmpl w:val="694B2EA6"/>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8" w15:restartNumberingAfterBreak="0">
    <w:nsid w:val="6A96405D"/>
    <w:multiLevelType w:val="multilevel"/>
    <w:tmpl w:val="6A96405D"/>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9" w15:restartNumberingAfterBreak="0">
    <w:nsid w:val="6AE64386"/>
    <w:multiLevelType w:val="multilevel"/>
    <w:tmpl w:val="6AE643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6F320F00"/>
    <w:multiLevelType w:val="multilevel"/>
    <w:tmpl w:val="6F320F00"/>
    <w:lvl w:ilvl="0">
      <w:start w:val="1"/>
      <w:numFmt w:val="decimal"/>
      <w:lvlText w:val="（%1）"/>
      <w:lvlJc w:val="left"/>
      <w:pPr>
        <w:ind w:left="420" w:hanging="420"/>
      </w:pPr>
    </w:lvl>
    <w:lvl w:ilvl="1">
      <w:start w:val="1"/>
      <w:numFmt w:val="decimal"/>
      <w:lvlText w:val="（%2）"/>
      <w:lvlJc w:val="left"/>
      <w:pPr>
        <w:ind w:left="1140" w:hanging="720"/>
      </w:pPr>
      <w:rPr>
        <w:rFonts w:hint="default"/>
        <w:color w:val="auto"/>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70140175"/>
    <w:multiLevelType w:val="multilevel"/>
    <w:tmpl w:val="7014017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70B92B88"/>
    <w:multiLevelType w:val="multilevel"/>
    <w:tmpl w:val="70B92B8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3" w15:restartNumberingAfterBreak="0">
    <w:nsid w:val="762493FB"/>
    <w:multiLevelType w:val="singleLevel"/>
    <w:tmpl w:val="762493FB"/>
    <w:lvl w:ilvl="0">
      <w:start w:val="1"/>
      <w:numFmt w:val="decimal"/>
      <w:suff w:val="nothing"/>
      <w:lvlText w:val="%1）"/>
      <w:lvlJc w:val="left"/>
    </w:lvl>
  </w:abstractNum>
  <w:abstractNum w:abstractNumId="74" w15:restartNumberingAfterBreak="0">
    <w:nsid w:val="769347BF"/>
    <w:multiLevelType w:val="multilevel"/>
    <w:tmpl w:val="769347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774272D7"/>
    <w:multiLevelType w:val="multilevel"/>
    <w:tmpl w:val="774272D7"/>
    <w:lvl w:ilvl="0">
      <w:start w:val="4"/>
      <w:numFmt w:val="decimal"/>
      <w:suff w:val="space"/>
      <w:lvlText w:val="%1"/>
      <w:lvlJc w:val="left"/>
      <w:pPr>
        <w:ind w:left="0" w:firstLine="0"/>
      </w:pPr>
      <w:rPr>
        <w:rFonts w:ascii="Times New Roman" w:eastAsia="黑体" w:hint="eastAsia"/>
        <w:b w:val="0"/>
        <w:i w:val="0"/>
        <w:sz w:val="28"/>
        <w:szCs w:val="28"/>
      </w:rPr>
    </w:lvl>
    <w:lvl w:ilvl="1">
      <w:start w:val="10"/>
      <w:numFmt w:val="decimal"/>
      <w:suff w:val="space"/>
      <w:lvlText w:val="%1.%2"/>
      <w:lvlJc w:val="left"/>
      <w:pPr>
        <w:ind w:left="0" w:firstLine="0"/>
      </w:pPr>
      <w:rPr>
        <w:rFonts w:ascii="Times New Roman" w:eastAsia="黑体" w:hint="eastAsia"/>
        <w:b w:val="0"/>
        <w:i w:val="0"/>
        <w:sz w:val="28"/>
        <w:szCs w:val="28"/>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5)"/>
      <w:lvlJc w:val="left"/>
      <w:pPr>
        <w:ind w:left="0" w:firstLine="567"/>
      </w:pPr>
      <w:rPr>
        <w:rFonts w:ascii="宋体" w:eastAsia="宋体" w:hAnsi="Times New Roman" w:hint="eastAsia"/>
        <w:b w:val="0"/>
        <w:i w:val="0"/>
        <w:sz w:val="28"/>
        <w:szCs w:val="28"/>
      </w:rPr>
    </w:lvl>
    <w:lvl w:ilvl="5">
      <w:start w:val="1"/>
      <w:numFmt w:val="decimal"/>
      <w:suff w:val="space"/>
      <w:lvlText w:val="（%6）"/>
      <w:lvlJc w:val="left"/>
      <w:pPr>
        <w:ind w:left="0" w:firstLine="567"/>
      </w:pPr>
      <w:rPr>
        <w:rFonts w:ascii="Times New Roman" w:hAnsi="Times New Roman"/>
        <w:b w:val="0"/>
        <w:bCs w:val="0"/>
        <w:i w:val="0"/>
        <w:iCs w:val="0"/>
        <w:caps w:val="0"/>
        <w:smallCaps w:val="0"/>
        <w:strike w:val="0"/>
        <w:dstrike w:val="0"/>
        <w:vanish w:val="0"/>
        <w:color w:val="000000"/>
        <w:spacing w:val="0"/>
        <w:position w:val="0"/>
        <w:u w:val="none"/>
        <w:vertAlign w:val="baseline"/>
        <w:em w:val="none"/>
      </w:rPr>
    </w:lvl>
    <w:lvl w:ilvl="6">
      <w:start w:val="1"/>
      <w:numFmt w:val="decimal"/>
      <w:lvlText w:val="%1.%2.%3.%4.%5.%6.%7"/>
      <w:lvlJc w:val="left"/>
      <w:pPr>
        <w:tabs>
          <w:tab w:val="num" w:pos="715"/>
        </w:tabs>
        <w:ind w:left="715" w:hanging="1296"/>
      </w:pPr>
    </w:lvl>
    <w:lvl w:ilvl="7">
      <w:start w:val="1"/>
      <w:numFmt w:val="decimal"/>
      <w:lvlText w:val="%1.%2.%3.%4.%5.%6.%7.%8"/>
      <w:lvlJc w:val="left"/>
      <w:pPr>
        <w:tabs>
          <w:tab w:val="num" w:pos="859"/>
        </w:tabs>
        <w:ind w:left="859" w:hanging="1440"/>
      </w:pPr>
    </w:lvl>
    <w:lvl w:ilvl="8">
      <w:start w:val="1"/>
      <w:numFmt w:val="decimal"/>
      <w:lvlText w:val="%1.%2.%3.%4.%5.%6.%7.%8.%9"/>
      <w:lvlJc w:val="left"/>
      <w:pPr>
        <w:tabs>
          <w:tab w:val="num" w:pos="1003"/>
        </w:tabs>
        <w:ind w:left="1003" w:hanging="1584"/>
      </w:pPr>
    </w:lvl>
  </w:abstractNum>
  <w:abstractNum w:abstractNumId="76" w15:restartNumberingAfterBreak="0">
    <w:nsid w:val="7A211425"/>
    <w:multiLevelType w:val="multilevel"/>
    <w:tmpl w:val="7A21142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7E315F7A"/>
    <w:multiLevelType w:val="multilevel"/>
    <w:tmpl w:val="7E315F7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15:restartNumberingAfterBreak="0">
    <w:nsid w:val="7FB46489"/>
    <w:multiLevelType w:val="multilevel"/>
    <w:tmpl w:val="7FB46489"/>
    <w:lvl w:ilvl="0">
      <w:start w:val="1"/>
      <w:numFmt w:val="decimal"/>
      <w:lvlText w:val="附件3.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69288656">
    <w:abstractNumId w:val="7"/>
  </w:num>
  <w:num w:numId="2" w16cid:durableId="1063717929">
    <w:abstractNumId w:val="6"/>
  </w:num>
  <w:num w:numId="3" w16cid:durableId="975139660">
    <w:abstractNumId w:val="5"/>
  </w:num>
  <w:num w:numId="4" w16cid:durableId="1934438230">
    <w:abstractNumId w:val="19"/>
  </w:num>
  <w:num w:numId="5" w16cid:durableId="1049918919">
    <w:abstractNumId w:val="78"/>
  </w:num>
  <w:num w:numId="6" w16cid:durableId="289819656">
    <w:abstractNumId w:val="34"/>
  </w:num>
  <w:num w:numId="7" w16cid:durableId="404379365">
    <w:abstractNumId w:val="42"/>
  </w:num>
  <w:num w:numId="8" w16cid:durableId="1633748279">
    <w:abstractNumId w:val="54"/>
  </w:num>
  <w:num w:numId="9" w16cid:durableId="1154100868">
    <w:abstractNumId w:val="52"/>
  </w:num>
  <w:num w:numId="10" w16cid:durableId="1221596321">
    <w:abstractNumId w:val="30"/>
  </w:num>
  <w:num w:numId="11" w16cid:durableId="681324291">
    <w:abstractNumId w:val="57"/>
  </w:num>
  <w:num w:numId="12" w16cid:durableId="1151558654">
    <w:abstractNumId w:val="50"/>
  </w:num>
  <w:num w:numId="13" w16cid:durableId="1110663704">
    <w:abstractNumId w:val="8"/>
  </w:num>
  <w:num w:numId="14" w16cid:durableId="150340595">
    <w:abstractNumId w:val="66"/>
  </w:num>
  <w:num w:numId="15" w16cid:durableId="882132105">
    <w:abstractNumId w:val="24"/>
  </w:num>
  <w:num w:numId="16" w16cid:durableId="2062629458">
    <w:abstractNumId w:val="68"/>
  </w:num>
  <w:num w:numId="17" w16cid:durableId="690763840">
    <w:abstractNumId w:val="38"/>
  </w:num>
  <w:num w:numId="18" w16cid:durableId="4712929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1210198">
    <w:abstractNumId w:val="51"/>
  </w:num>
  <w:num w:numId="20" w16cid:durableId="774131552">
    <w:abstractNumId w:val="56"/>
  </w:num>
  <w:num w:numId="21" w16cid:durableId="1698896510">
    <w:abstractNumId w:val="20"/>
  </w:num>
  <w:num w:numId="22" w16cid:durableId="2125492676">
    <w:abstractNumId w:val="12"/>
  </w:num>
  <w:num w:numId="23" w16cid:durableId="1184325387">
    <w:abstractNumId w:val="45"/>
  </w:num>
  <w:num w:numId="24" w16cid:durableId="1742874795">
    <w:abstractNumId w:val="13"/>
  </w:num>
  <w:num w:numId="25" w16cid:durableId="1367756040">
    <w:abstractNumId w:val="75"/>
  </w:num>
  <w:num w:numId="26" w16cid:durableId="1839072655">
    <w:abstractNumId w:val="47"/>
  </w:num>
  <w:num w:numId="27" w16cid:durableId="1791512454">
    <w:abstractNumId w:val="40"/>
  </w:num>
  <w:num w:numId="28" w16cid:durableId="400714929">
    <w:abstractNumId w:val="59"/>
  </w:num>
  <w:num w:numId="29" w16cid:durableId="2139250579">
    <w:abstractNumId w:val="61"/>
  </w:num>
  <w:num w:numId="30" w16cid:durableId="1617448035">
    <w:abstractNumId w:val="22"/>
  </w:num>
  <w:num w:numId="31" w16cid:durableId="837500472">
    <w:abstractNumId w:val="11"/>
  </w:num>
  <w:num w:numId="32" w16cid:durableId="894584281">
    <w:abstractNumId w:val="77"/>
  </w:num>
  <w:num w:numId="33" w16cid:durableId="1583417604">
    <w:abstractNumId w:val="70"/>
  </w:num>
  <w:num w:numId="34" w16cid:durableId="2117820044">
    <w:abstractNumId w:val="25"/>
  </w:num>
  <w:num w:numId="35" w16cid:durableId="1774747323">
    <w:abstractNumId w:val="73"/>
  </w:num>
  <w:num w:numId="36" w16cid:durableId="609552913">
    <w:abstractNumId w:val="10"/>
  </w:num>
  <w:num w:numId="37" w16cid:durableId="1711683097">
    <w:abstractNumId w:val="65"/>
  </w:num>
  <w:num w:numId="38" w16cid:durableId="641345770">
    <w:abstractNumId w:val="29"/>
  </w:num>
  <w:num w:numId="39" w16cid:durableId="1084183393">
    <w:abstractNumId w:val="2"/>
  </w:num>
  <w:num w:numId="40" w16cid:durableId="1933471893">
    <w:abstractNumId w:val="4"/>
  </w:num>
  <w:num w:numId="41" w16cid:durableId="1615819397">
    <w:abstractNumId w:val="64"/>
  </w:num>
  <w:num w:numId="42" w16cid:durableId="990714378">
    <w:abstractNumId w:val="26"/>
  </w:num>
  <w:num w:numId="43" w16cid:durableId="811950462">
    <w:abstractNumId w:val="14"/>
  </w:num>
  <w:num w:numId="44" w16cid:durableId="1845513143">
    <w:abstractNumId w:val="37"/>
  </w:num>
  <w:num w:numId="45" w16cid:durableId="1652443876">
    <w:abstractNumId w:val="74"/>
  </w:num>
  <w:num w:numId="46" w16cid:durableId="1374231340">
    <w:abstractNumId w:val="36"/>
  </w:num>
  <w:num w:numId="47" w16cid:durableId="247925028">
    <w:abstractNumId w:val="15"/>
  </w:num>
  <w:num w:numId="48" w16cid:durableId="1259748551">
    <w:abstractNumId w:val="39"/>
  </w:num>
  <w:num w:numId="49" w16cid:durableId="1732388998">
    <w:abstractNumId w:val="76"/>
  </w:num>
  <w:num w:numId="50" w16cid:durableId="1547714728">
    <w:abstractNumId w:val="41"/>
  </w:num>
  <w:num w:numId="51" w16cid:durableId="770704485">
    <w:abstractNumId w:val="18"/>
  </w:num>
  <w:num w:numId="52" w16cid:durableId="1388188057">
    <w:abstractNumId w:val="21"/>
  </w:num>
  <w:num w:numId="53" w16cid:durableId="1437948858">
    <w:abstractNumId w:val="33"/>
  </w:num>
  <w:num w:numId="54" w16cid:durableId="862474637">
    <w:abstractNumId w:val="35"/>
  </w:num>
  <w:num w:numId="55" w16cid:durableId="1164666258">
    <w:abstractNumId w:val="58"/>
  </w:num>
  <w:num w:numId="56" w16cid:durableId="1804031734">
    <w:abstractNumId w:val="46"/>
  </w:num>
  <w:num w:numId="57" w16cid:durableId="1897542306">
    <w:abstractNumId w:val="63"/>
  </w:num>
  <w:num w:numId="58" w16cid:durableId="723724918">
    <w:abstractNumId w:val="67"/>
  </w:num>
  <w:num w:numId="59" w16cid:durableId="1048411410">
    <w:abstractNumId w:val="49"/>
  </w:num>
  <w:num w:numId="60" w16cid:durableId="1662541714">
    <w:abstractNumId w:val="27"/>
  </w:num>
  <w:num w:numId="61" w16cid:durableId="932589295">
    <w:abstractNumId w:val="55"/>
  </w:num>
  <w:num w:numId="62" w16cid:durableId="1083332712">
    <w:abstractNumId w:val="62"/>
  </w:num>
  <w:num w:numId="63" w16cid:durableId="1227299701">
    <w:abstractNumId w:val="71"/>
  </w:num>
  <w:num w:numId="64" w16cid:durableId="2093813115">
    <w:abstractNumId w:val="23"/>
  </w:num>
  <w:num w:numId="65" w16cid:durableId="1206139138">
    <w:abstractNumId w:val="60"/>
  </w:num>
  <w:num w:numId="66" w16cid:durableId="1122188036">
    <w:abstractNumId w:val="3"/>
  </w:num>
  <w:num w:numId="67" w16cid:durableId="946549259">
    <w:abstractNumId w:val="48"/>
  </w:num>
  <w:num w:numId="68" w16cid:durableId="420027556">
    <w:abstractNumId w:val="44"/>
  </w:num>
  <w:num w:numId="69" w16cid:durableId="1746149393">
    <w:abstractNumId w:val="1"/>
  </w:num>
  <w:num w:numId="70" w16cid:durableId="1666544373">
    <w:abstractNumId w:val="0"/>
  </w:num>
  <w:num w:numId="71" w16cid:durableId="2105108178">
    <w:abstractNumId w:val="43"/>
  </w:num>
  <w:num w:numId="72" w16cid:durableId="1494756076">
    <w:abstractNumId w:val="16"/>
  </w:num>
  <w:num w:numId="73" w16cid:durableId="1594435198">
    <w:abstractNumId w:val="34"/>
  </w:num>
  <w:num w:numId="74" w16cid:durableId="1901400192">
    <w:abstractNumId w:val="9"/>
  </w:num>
  <w:num w:numId="75" w16cid:durableId="615791370">
    <w:abstractNumId w:val="32"/>
  </w:num>
  <w:num w:numId="76" w16cid:durableId="844247838">
    <w:abstractNumId w:val="17"/>
  </w:num>
  <w:num w:numId="77" w16cid:durableId="1325864914">
    <w:abstractNumId w:val="72"/>
  </w:num>
  <w:num w:numId="78" w16cid:durableId="36707656">
    <w:abstractNumId w:val="69"/>
  </w:num>
  <w:num w:numId="79" w16cid:durableId="380518102">
    <w:abstractNumId w:val="31"/>
  </w:num>
  <w:num w:numId="80" w16cid:durableId="1385986174">
    <w:abstractNumId w:val="2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23"/>
  <w:drawingGridVerticalSpacing w:val="381"/>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gzY2NmNmIzZWI5MTI1MzIyOWQxNjJmYmE3MTlhYmEifQ=="/>
  </w:docVars>
  <w:rsids>
    <w:rsidRoot w:val="00172A27"/>
    <w:rsid w:val="000003B1"/>
    <w:rsid w:val="00000445"/>
    <w:rsid w:val="000004E5"/>
    <w:rsid w:val="00000D1B"/>
    <w:rsid w:val="00000E39"/>
    <w:rsid w:val="00000E67"/>
    <w:rsid w:val="00000F29"/>
    <w:rsid w:val="00001872"/>
    <w:rsid w:val="00001A81"/>
    <w:rsid w:val="00001AB4"/>
    <w:rsid w:val="00001AD3"/>
    <w:rsid w:val="00001C59"/>
    <w:rsid w:val="00001E7B"/>
    <w:rsid w:val="000021F4"/>
    <w:rsid w:val="00002270"/>
    <w:rsid w:val="00002288"/>
    <w:rsid w:val="000029FE"/>
    <w:rsid w:val="00002BAD"/>
    <w:rsid w:val="00002FE7"/>
    <w:rsid w:val="00003890"/>
    <w:rsid w:val="00003B2D"/>
    <w:rsid w:val="00003F58"/>
    <w:rsid w:val="00003F8E"/>
    <w:rsid w:val="000042FC"/>
    <w:rsid w:val="000043EA"/>
    <w:rsid w:val="0000455F"/>
    <w:rsid w:val="00004A50"/>
    <w:rsid w:val="00004A89"/>
    <w:rsid w:val="00004AE5"/>
    <w:rsid w:val="00004E8C"/>
    <w:rsid w:val="00005491"/>
    <w:rsid w:val="00005CCF"/>
    <w:rsid w:val="00005E41"/>
    <w:rsid w:val="00005F3B"/>
    <w:rsid w:val="00006A30"/>
    <w:rsid w:val="00006DEA"/>
    <w:rsid w:val="00007161"/>
    <w:rsid w:val="0000720C"/>
    <w:rsid w:val="0000721A"/>
    <w:rsid w:val="0000739E"/>
    <w:rsid w:val="000075D1"/>
    <w:rsid w:val="000076A5"/>
    <w:rsid w:val="0000772B"/>
    <w:rsid w:val="0000782B"/>
    <w:rsid w:val="0001002B"/>
    <w:rsid w:val="00010369"/>
    <w:rsid w:val="00010470"/>
    <w:rsid w:val="00010506"/>
    <w:rsid w:val="000105EA"/>
    <w:rsid w:val="000107A6"/>
    <w:rsid w:val="000109BB"/>
    <w:rsid w:val="000109F1"/>
    <w:rsid w:val="00010B2D"/>
    <w:rsid w:val="00010FB6"/>
    <w:rsid w:val="00011076"/>
    <w:rsid w:val="000111B1"/>
    <w:rsid w:val="0001191D"/>
    <w:rsid w:val="00011A47"/>
    <w:rsid w:val="000121A6"/>
    <w:rsid w:val="000124EF"/>
    <w:rsid w:val="000129B1"/>
    <w:rsid w:val="00012E53"/>
    <w:rsid w:val="00012E7D"/>
    <w:rsid w:val="0001309A"/>
    <w:rsid w:val="00013397"/>
    <w:rsid w:val="0001342D"/>
    <w:rsid w:val="000134DC"/>
    <w:rsid w:val="00014027"/>
    <w:rsid w:val="00014567"/>
    <w:rsid w:val="00014603"/>
    <w:rsid w:val="00014856"/>
    <w:rsid w:val="0001494A"/>
    <w:rsid w:val="00015138"/>
    <w:rsid w:val="0001517F"/>
    <w:rsid w:val="00015526"/>
    <w:rsid w:val="00015C51"/>
    <w:rsid w:val="00015CF4"/>
    <w:rsid w:val="00015F79"/>
    <w:rsid w:val="0001659B"/>
    <w:rsid w:val="00016D43"/>
    <w:rsid w:val="00016F43"/>
    <w:rsid w:val="00017203"/>
    <w:rsid w:val="00017258"/>
    <w:rsid w:val="000172FD"/>
    <w:rsid w:val="00017310"/>
    <w:rsid w:val="00017C53"/>
    <w:rsid w:val="00017F65"/>
    <w:rsid w:val="000202BF"/>
    <w:rsid w:val="000205C3"/>
    <w:rsid w:val="00020769"/>
    <w:rsid w:val="0002084A"/>
    <w:rsid w:val="000209F2"/>
    <w:rsid w:val="00020FA2"/>
    <w:rsid w:val="00021684"/>
    <w:rsid w:val="0002168A"/>
    <w:rsid w:val="00021711"/>
    <w:rsid w:val="0002175F"/>
    <w:rsid w:val="00021B7F"/>
    <w:rsid w:val="00021D44"/>
    <w:rsid w:val="00021EE9"/>
    <w:rsid w:val="000224C4"/>
    <w:rsid w:val="00022A5F"/>
    <w:rsid w:val="00022CDF"/>
    <w:rsid w:val="00022DBF"/>
    <w:rsid w:val="0002342C"/>
    <w:rsid w:val="0002361B"/>
    <w:rsid w:val="00023C9F"/>
    <w:rsid w:val="00023DCA"/>
    <w:rsid w:val="00023F72"/>
    <w:rsid w:val="0002400F"/>
    <w:rsid w:val="00024303"/>
    <w:rsid w:val="000243EC"/>
    <w:rsid w:val="0002441D"/>
    <w:rsid w:val="00024554"/>
    <w:rsid w:val="000254E0"/>
    <w:rsid w:val="00025A32"/>
    <w:rsid w:val="00025E21"/>
    <w:rsid w:val="00025F9E"/>
    <w:rsid w:val="000261A1"/>
    <w:rsid w:val="00026622"/>
    <w:rsid w:val="0002691E"/>
    <w:rsid w:val="00026D5D"/>
    <w:rsid w:val="00026E77"/>
    <w:rsid w:val="00026EB3"/>
    <w:rsid w:val="0002737C"/>
    <w:rsid w:val="000277CA"/>
    <w:rsid w:val="000300D3"/>
    <w:rsid w:val="000301F5"/>
    <w:rsid w:val="0003035E"/>
    <w:rsid w:val="00030403"/>
    <w:rsid w:val="000304E9"/>
    <w:rsid w:val="00030CBB"/>
    <w:rsid w:val="00031104"/>
    <w:rsid w:val="0003130F"/>
    <w:rsid w:val="000313BC"/>
    <w:rsid w:val="000313BF"/>
    <w:rsid w:val="000316E3"/>
    <w:rsid w:val="00031DC1"/>
    <w:rsid w:val="00032065"/>
    <w:rsid w:val="00032119"/>
    <w:rsid w:val="00032249"/>
    <w:rsid w:val="000324D0"/>
    <w:rsid w:val="00032EF8"/>
    <w:rsid w:val="00032FDB"/>
    <w:rsid w:val="000332F5"/>
    <w:rsid w:val="00033935"/>
    <w:rsid w:val="00033ADE"/>
    <w:rsid w:val="00033E8B"/>
    <w:rsid w:val="00033EA8"/>
    <w:rsid w:val="00033F9A"/>
    <w:rsid w:val="00034161"/>
    <w:rsid w:val="000345C7"/>
    <w:rsid w:val="0003480A"/>
    <w:rsid w:val="0003481B"/>
    <w:rsid w:val="00034E07"/>
    <w:rsid w:val="00035CFB"/>
    <w:rsid w:val="00035EC9"/>
    <w:rsid w:val="00035FB3"/>
    <w:rsid w:val="0003608A"/>
    <w:rsid w:val="000364CA"/>
    <w:rsid w:val="000365F1"/>
    <w:rsid w:val="000366CC"/>
    <w:rsid w:val="00036A3C"/>
    <w:rsid w:val="00036C39"/>
    <w:rsid w:val="0003747C"/>
    <w:rsid w:val="0003755C"/>
    <w:rsid w:val="000378EB"/>
    <w:rsid w:val="00037BAF"/>
    <w:rsid w:val="00037DF2"/>
    <w:rsid w:val="00037ECF"/>
    <w:rsid w:val="0004018C"/>
    <w:rsid w:val="000403D1"/>
    <w:rsid w:val="0004051C"/>
    <w:rsid w:val="00040BB7"/>
    <w:rsid w:val="000415CB"/>
    <w:rsid w:val="0004166F"/>
    <w:rsid w:val="00041793"/>
    <w:rsid w:val="00041D9E"/>
    <w:rsid w:val="00041FB0"/>
    <w:rsid w:val="00042011"/>
    <w:rsid w:val="0004230C"/>
    <w:rsid w:val="00042684"/>
    <w:rsid w:val="0004273B"/>
    <w:rsid w:val="000428FE"/>
    <w:rsid w:val="0004299D"/>
    <w:rsid w:val="000429AB"/>
    <w:rsid w:val="000436DB"/>
    <w:rsid w:val="000443EA"/>
    <w:rsid w:val="00044704"/>
    <w:rsid w:val="00045131"/>
    <w:rsid w:val="000452F8"/>
    <w:rsid w:val="00045415"/>
    <w:rsid w:val="00045EFB"/>
    <w:rsid w:val="0004606D"/>
    <w:rsid w:val="00046B2F"/>
    <w:rsid w:val="00046DD6"/>
    <w:rsid w:val="0004708D"/>
    <w:rsid w:val="000474D2"/>
    <w:rsid w:val="00047756"/>
    <w:rsid w:val="00047928"/>
    <w:rsid w:val="00047C00"/>
    <w:rsid w:val="00050044"/>
    <w:rsid w:val="00050E48"/>
    <w:rsid w:val="00050E49"/>
    <w:rsid w:val="000511C2"/>
    <w:rsid w:val="000513FA"/>
    <w:rsid w:val="00051755"/>
    <w:rsid w:val="00051B28"/>
    <w:rsid w:val="00052038"/>
    <w:rsid w:val="000524C5"/>
    <w:rsid w:val="000525A6"/>
    <w:rsid w:val="00052DDF"/>
    <w:rsid w:val="000530B3"/>
    <w:rsid w:val="00053279"/>
    <w:rsid w:val="0005333B"/>
    <w:rsid w:val="00053725"/>
    <w:rsid w:val="00053BCD"/>
    <w:rsid w:val="00053BD6"/>
    <w:rsid w:val="00053BF6"/>
    <w:rsid w:val="00053CB5"/>
    <w:rsid w:val="000540C6"/>
    <w:rsid w:val="000542C3"/>
    <w:rsid w:val="00054EB7"/>
    <w:rsid w:val="000552BD"/>
    <w:rsid w:val="000552D5"/>
    <w:rsid w:val="0005561A"/>
    <w:rsid w:val="000556EB"/>
    <w:rsid w:val="000557F0"/>
    <w:rsid w:val="00055B34"/>
    <w:rsid w:val="00055D44"/>
    <w:rsid w:val="00056145"/>
    <w:rsid w:val="00056570"/>
    <w:rsid w:val="00056992"/>
    <w:rsid w:val="00060AAF"/>
    <w:rsid w:val="00061843"/>
    <w:rsid w:val="000619B3"/>
    <w:rsid w:val="000619D5"/>
    <w:rsid w:val="00062B35"/>
    <w:rsid w:val="00063BC0"/>
    <w:rsid w:val="00064C06"/>
    <w:rsid w:val="00064E01"/>
    <w:rsid w:val="00064F12"/>
    <w:rsid w:val="00064FFC"/>
    <w:rsid w:val="0006515C"/>
    <w:rsid w:val="00065389"/>
    <w:rsid w:val="00065485"/>
    <w:rsid w:val="000656B3"/>
    <w:rsid w:val="00065AB4"/>
    <w:rsid w:val="00065B3B"/>
    <w:rsid w:val="00065C76"/>
    <w:rsid w:val="00066CB9"/>
    <w:rsid w:val="00066DA0"/>
    <w:rsid w:val="00066EF9"/>
    <w:rsid w:val="00067133"/>
    <w:rsid w:val="0006720B"/>
    <w:rsid w:val="00067AB9"/>
    <w:rsid w:val="00067E82"/>
    <w:rsid w:val="0007027F"/>
    <w:rsid w:val="00070644"/>
    <w:rsid w:val="00070979"/>
    <w:rsid w:val="00070B80"/>
    <w:rsid w:val="0007148E"/>
    <w:rsid w:val="00071686"/>
    <w:rsid w:val="00071835"/>
    <w:rsid w:val="000719CE"/>
    <w:rsid w:val="00071D2A"/>
    <w:rsid w:val="0007226A"/>
    <w:rsid w:val="00072C3E"/>
    <w:rsid w:val="00072D16"/>
    <w:rsid w:val="0007379E"/>
    <w:rsid w:val="0007410F"/>
    <w:rsid w:val="00074430"/>
    <w:rsid w:val="00074BE6"/>
    <w:rsid w:val="00074C16"/>
    <w:rsid w:val="00074CA6"/>
    <w:rsid w:val="00074DC1"/>
    <w:rsid w:val="00074EB5"/>
    <w:rsid w:val="00074F1F"/>
    <w:rsid w:val="00075136"/>
    <w:rsid w:val="00075868"/>
    <w:rsid w:val="00075B01"/>
    <w:rsid w:val="00075BF3"/>
    <w:rsid w:val="00075C01"/>
    <w:rsid w:val="00076908"/>
    <w:rsid w:val="00076B77"/>
    <w:rsid w:val="000771FC"/>
    <w:rsid w:val="0007726B"/>
    <w:rsid w:val="0007779B"/>
    <w:rsid w:val="000777A6"/>
    <w:rsid w:val="00077A8F"/>
    <w:rsid w:val="00077D95"/>
    <w:rsid w:val="00077EA5"/>
    <w:rsid w:val="00080887"/>
    <w:rsid w:val="00080A24"/>
    <w:rsid w:val="00080C06"/>
    <w:rsid w:val="0008105D"/>
    <w:rsid w:val="000811A4"/>
    <w:rsid w:val="000811C3"/>
    <w:rsid w:val="0008138F"/>
    <w:rsid w:val="00081513"/>
    <w:rsid w:val="0008193C"/>
    <w:rsid w:val="00081C75"/>
    <w:rsid w:val="0008271E"/>
    <w:rsid w:val="00082742"/>
    <w:rsid w:val="00082ABB"/>
    <w:rsid w:val="00082B8A"/>
    <w:rsid w:val="00083463"/>
    <w:rsid w:val="00083616"/>
    <w:rsid w:val="00083C5F"/>
    <w:rsid w:val="00084222"/>
    <w:rsid w:val="0008476A"/>
    <w:rsid w:val="0008485D"/>
    <w:rsid w:val="00084926"/>
    <w:rsid w:val="00084964"/>
    <w:rsid w:val="00084B74"/>
    <w:rsid w:val="000856D4"/>
    <w:rsid w:val="000859D5"/>
    <w:rsid w:val="00085C76"/>
    <w:rsid w:val="00085E87"/>
    <w:rsid w:val="00086089"/>
    <w:rsid w:val="000862B3"/>
    <w:rsid w:val="0008651A"/>
    <w:rsid w:val="00086524"/>
    <w:rsid w:val="000868DE"/>
    <w:rsid w:val="00086D07"/>
    <w:rsid w:val="00087966"/>
    <w:rsid w:val="00087BEE"/>
    <w:rsid w:val="00087C41"/>
    <w:rsid w:val="00087E32"/>
    <w:rsid w:val="0009006A"/>
    <w:rsid w:val="0009008D"/>
    <w:rsid w:val="00090184"/>
    <w:rsid w:val="00090766"/>
    <w:rsid w:val="00090D07"/>
    <w:rsid w:val="00091083"/>
    <w:rsid w:val="0009114E"/>
    <w:rsid w:val="00091345"/>
    <w:rsid w:val="0009213F"/>
    <w:rsid w:val="000921FF"/>
    <w:rsid w:val="000923AB"/>
    <w:rsid w:val="000925F4"/>
    <w:rsid w:val="00092B54"/>
    <w:rsid w:val="00092CAF"/>
    <w:rsid w:val="00093102"/>
    <w:rsid w:val="00093524"/>
    <w:rsid w:val="0009371F"/>
    <w:rsid w:val="00093723"/>
    <w:rsid w:val="00093AC6"/>
    <w:rsid w:val="00093AE8"/>
    <w:rsid w:val="00093CA7"/>
    <w:rsid w:val="000940E6"/>
    <w:rsid w:val="00094486"/>
    <w:rsid w:val="000946BE"/>
    <w:rsid w:val="00094D5C"/>
    <w:rsid w:val="00096001"/>
    <w:rsid w:val="00096622"/>
    <w:rsid w:val="0009697D"/>
    <w:rsid w:val="00096B0D"/>
    <w:rsid w:val="000A1948"/>
    <w:rsid w:val="000A1B3C"/>
    <w:rsid w:val="000A1EAA"/>
    <w:rsid w:val="000A2039"/>
    <w:rsid w:val="000A21E5"/>
    <w:rsid w:val="000A2220"/>
    <w:rsid w:val="000A2846"/>
    <w:rsid w:val="000A2A24"/>
    <w:rsid w:val="000A33E9"/>
    <w:rsid w:val="000A3B3B"/>
    <w:rsid w:val="000A3D91"/>
    <w:rsid w:val="000A3ED1"/>
    <w:rsid w:val="000A3F3E"/>
    <w:rsid w:val="000A4333"/>
    <w:rsid w:val="000A4614"/>
    <w:rsid w:val="000A473C"/>
    <w:rsid w:val="000A47A5"/>
    <w:rsid w:val="000A4BCA"/>
    <w:rsid w:val="000A50F1"/>
    <w:rsid w:val="000A52C5"/>
    <w:rsid w:val="000A56F8"/>
    <w:rsid w:val="000A5BD2"/>
    <w:rsid w:val="000A62CB"/>
    <w:rsid w:val="000A652C"/>
    <w:rsid w:val="000A674B"/>
    <w:rsid w:val="000A6A77"/>
    <w:rsid w:val="000A6E44"/>
    <w:rsid w:val="000A71C4"/>
    <w:rsid w:val="000A71CA"/>
    <w:rsid w:val="000A74A4"/>
    <w:rsid w:val="000A750F"/>
    <w:rsid w:val="000A78DF"/>
    <w:rsid w:val="000A7B3F"/>
    <w:rsid w:val="000A7DD7"/>
    <w:rsid w:val="000B03F5"/>
    <w:rsid w:val="000B0B97"/>
    <w:rsid w:val="000B11C2"/>
    <w:rsid w:val="000B1397"/>
    <w:rsid w:val="000B1480"/>
    <w:rsid w:val="000B14B5"/>
    <w:rsid w:val="000B1883"/>
    <w:rsid w:val="000B19B1"/>
    <w:rsid w:val="000B1A11"/>
    <w:rsid w:val="000B1BFE"/>
    <w:rsid w:val="000B1DBA"/>
    <w:rsid w:val="000B1E5F"/>
    <w:rsid w:val="000B200E"/>
    <w:rsid w:val="000B223A"/>
    <w:rsid w:val="000B2256"/>
    <w:rsid w:val="000B27BD"/>
    <w:rsid w:val="000B2E26"/>
    <w:rsid w:val="000B33E5"/>
    <w:rsid w:val="000B34B4"/>
    <w:rsid w:val="000B3615"/>
    <w:rsid w:val="000B3750"/>
    <w:rsid w:val="000B3BF7"/>
    <w:rsid w:val="000B3C93"/>
    <w:rsid w:val="000B3E2F"/>
    <w:rsid w:val="000B3F4E"/>
    <w:rsid w:val="000B45F6"/>
    <w:rsid w:val="000B49A7"/>
    <w:rsid w:val="000B5032"/>
    <w:rsid w:val="000B625B"/>
    <w:rsid w:val="000B6295"/>
    <w:rsid w:val="000B63A4"/>
    <w:rsid w:val="000B654D"/>
    <w:rsid w:val="000B6D39"/>
    <w:rsid w:val="000B6F88"/>
    <w:rsid w:val="000B72F0"/>
    <w:rsid w:val="000B75FC"/>
    <w:rsid w:val="000B773A"/>
    <w:rsid w:val="000B7B47"/>
    <w:rsid w:val="000B7D52"/>
    <w:rsid w:val="000B7EEE"/>
    <w:rsid w:val="000C04A9"/>
    <w:rsid w:val="000C0CD0"/>
    <w:rsid w:val="000C0E1A"/>
    <w:rsid w:val="000C1C67"/>
    <w:rsid w:val="000C2156"/>
    <w:rsid w:val="000C23FD"/>
    <w:rsid w:val="000C251F"/>
    <w:rsid w:val="000C27F6"/>
    <w:rsid w:val="000C312C"/>
    <w:rsid w:val="000C32CD"/>
    <w:rsid w:val="000C3328"/>
    <w:rsid w:val="000C3641"/>
    <w:rsid w:val="000C3853"/>
    <w:rsid w:val="000C3BD6"/>
    <w:rsid w:val="000C3D02"/>
    <w:rsid w:val="000C3D90"/>
    <w:rsid w:val="000C3E0F"/>
    <w:rsid w:val="000C3E2C"/>
    <w:rsid w:val="000C3F1F"/>
    <w:rsid w:val="000C4213"/>
    <w:rsid w:val="000C4404"/>
    <w:rsid w:val="000C4851"/>
    <w:rsid w:val="000C4900"/>
    <w:rsid w:val="000C4CEF"/>
    <w:rsid w:val="000C4E06"/>
    <w:rsid w:val="000C5E93"/>
    <w:rsid w:val="000C5F49"/>
    <w:rsid w:val="000C5F8B"/>
    <w:rsid w:val="000C65C3"/>
    <w:rsid w:val="000C683B"/>
    <w:rsid w:val="000C69B2"/>
    <w:rsid w:val="000C6B68"/>
    <w:rsid w:val="000C6EC4"/>
    <w:rsid w:val="000C70C1"/>
    <w:rsid w:val="000C7381"/>
    <w:rsid w:val="000C74F2"/>
    <w:rsid w:val="000C796A"/>
    <w:rsid w:val="000C79F9"/>
    <w:rsid w:val="000D0101"/>
    <w:rsid w:val="000D01F8"/>
    <w:rsid w:val="000D08E2"/>
    <w:rsid w:val="000D0D80"/>
    <w:rsid w:val="000D0DF1"/>
    <w:rsid w:val="000D0F2B"/>
    <w:rsid w:val="000D10A6"/>
    <w:rsid w:val="000D10D1"/>
    <w:rsid w:val="000D12B6"/>
    <w:rsid w:val="000D19C2"/>
    <w:rsid w:val="000D1CAF"/>
    <w:rsid w:val="000D2668"/>
    <w:rsid w:val="000D2B6D"/>
    <w:rsid w:val="000D2E58"/>
    <w:rsid w:val="000D3AB9"/>
    <w:rsid w:val="000D466F"/>
    <w:rsid w:val="000D4921"/>
    <w:rsid w:val="000D4BAA"/>
    <w:rsid w:val="000D4C9B"/>
    <w:rsid w:val="000D4CE7"/>
    <w:rsid w:val="000D50D5"/>
    <w:rsid w:val="000D518C"/>
    <w:rsid w:val="000D51D7"/>
    <w:rsid w:val="000D52FE"/>
    <w:rsid w:val="000D530E"/>
    <w:rsid w:val="000D6757"/>
    <w:rsid w:val="000D6817"/>
    <w:rsid w:val="000D696D"/>
    <w:rsid w:val="000D69C6"/>
    <w:rsid w:val="000D6CB6"/>
    <w:rsid w:val="000D72A8"/>
    <w:rsid w:val="000D75D6"/>
    <w:rsid w:val="000D7FC4"/>
    <w:rsid w:val="000E00EF"/>
    <w:rsid w:val="000E07E4"/>
    <w:rsid w:val="000E0AA0"/>
    <w:rsid w:val="000E0BF4"/>
    <w:rsid w:val="000E0C68"/>
    <w:rsid w:val="000E106B"/>
    <w:rsid w:val="000E192A"/>
    <w:rsid w:val="000E1DCB"/>
    <w:rsid w:val="000E299A"/>
    <w:rsid w:val="000E2CF1"/>
    <w:rsid w:val="000E32CD"/>
    <w:rsid w:val="000E3BBF"/>
    <w:rsid w:val="000E5005"/>
    <w:rsid w:val="000E5C20"/>
    <w:rsid w:val="000E5DE0"/>
    <w:rsid w:val="000E65D7"/>
    <w:rsid w:val="000E6943"/>
    <w:rsid w:val="000E6D8D"/>
    <w:rsid w:val="000E6E55"/>
    <w:rsid w:val="000E6EA6"/>
    <w:rsid w:val="000E701F"/>
    <w:rsid w:val="000E714C"/>
    <w:rsid w:val="000E7584"/>
    <w:rsid w:val="000E7842"/>
    <w:rsid w:val="000E787B"/>
    <w:rsid w:val="000E791F"/>
    <w:rsid w:val="000F0069"/>
    <w:rsid w:val="000F00EC"/>
    <w:rsid w:val="000F0663"/>
    <w:rsid w:val="000F0B00"/>
    <w:rsid w:val="000F0E8E"/>
    <w:rsid w:val="000F0F44"/>
    <w:rsid w:val="000F101C"/>
    <w:rsid w:val="000F1183"/>
    <w:rsid w:val="000F236A"/>
    <w:rsid w:val="000F2E39"/>
    <w:rsid w:val="000F2F3A"/>
    <w:rsid w:val="000F30DE"/>
    <w:rsid w:val="000F3806"/>
    <w:rsid w:val="000F38AD"/>
    <w:rsid w:val="000F4010"/>
    <w:rsid w:val="000F40B0"/>
    <w:rsid w:val="000F4675"/>
    <w:rsid w:val="000F4903"/>
    <w:rsid w:val="000F4F48"/>
    <w:rsid w:val="000F5BC1"/>
    <w:rsid w:val="000F63D6"/>
    <w:rsid w:val="000F6440"/>
    <w:rsid w:val="000F6586"/>
    <w:rsid w:val="000F6715"/>
    <w:rsid w:val="000F6B7A"/>
    <w:rsid w:val="000F6BFF"/>
    <w:rsid w:val="000F6FDA"/>
    <w:rsid w:val="000F7004"/>
    <w:rsid w:val="000F7115"/>
    <w:rsid w:val="000F7A61"/>
    <w:rsid w:val="000F7BC9"/>
    <w:rsid w:val="0010011A"/>
    <w:rsid w:val="00100706"/>
    <w:rsid w:val="00100AE6"/>
    <w:rsid w:val="00100E9F"/>
    <w:rsid w:val="0010108E"/>
    <w:rsid w:val="0010151C"/>
    <w:rsid w:val="00101841"/>
    <w:rsid w:val="001019C4"/>
    <w:rsid w:val="001022C4"/>
    <w:rsid w:val="00102551"/>
    <w:rsid w:val="00102A49"/>
    <w:rsid w:val="00102E7E"/>
    <w:rsid w:val="001031A5"/>
    <w:rsid w:val="001039EE"/>
    <w:rsid w:val="00103DF9"/>
    <w:rsid w:val="0010407D"/>
    <w:rsid w:val="00104367"/>
    <w:rsid w:val="001043A1"/>
    <w:rsid w:val="00104570"/>
    <w:rsid w:val="00105256"/>
    <w:rsid w:val="00105297"/>
    <w:rsid w:val="001056E3"/>
    <w:rsid w:val="0010597D"/>
    <w:rsid w:val="001059B2"/>
    <w:rsid w:val="00105B0D"/>
    <w:rsid w:val="00105D73"/>
    <w:rsid w:val="00105ECE"/>
    <w:rsid w:val="0010621C"/>
    <w:rsid w:val="001063FD"/>
    <w:rsid w:val="0010670E"/>
    <w:rsid w:val="00106911"/>
    <w:rsid w:val="00106AE1"/>
    <w:rsid w:val="00106B61"/>
    <w:rsid w:val="00107117"/>
    <w:rsid w:val="001071C7"/>
    <w:rsid w:val="001073BA"/>
    <w:rsid w:val="00107662"/>
    <w:rsid w:val="00107A47"/>
    <w:rsid w:val="00110061"/>
    <w:rsid w:val="0011028A"/>
    <w:rsid w:val="0011104E"/>
    <w:rsid w:val="001115A3"/>
    <w:rsid w:val="0011163B"/>
    <w:rsid w:val="0011181B"/>
    <w:rsid w:val="0011249C"/>
    <w:rsid w:val="0011277E"/>
    <w:rsid w:val="00112A23"/>
    <w:rsid w:val="00112DCC"/>
    <w:rsid w:val="00112FAC"/>
    <w:rsid w:val="001133CB"/>
    <w:rsid w:val="00113511"/>
    <w:rsid w:val="0011378B"/>
    <w:rsid w:val="00113A09"/>
    <w:rsid w:val="00113C20"/>
    <w:rsid w:val="00115649"/>
    <w:rsid w:val="00115839"/>
    <w:rsid w:val="00115A0B"/>
    <w:rsid w:val="00115BB9"/>
    <w:rsid w:val="0011617D"/>
    <w:rsid w:val="00116912"/>
    <w:rsid w:val="00116B1A"/>
    <w:rsid w:val="00117075"/>
    <w:rsid w:val="0011755E"/>
    <w:rsid w:val="00117E02"/>
    <w:rsid w:val="00120160"/>
    <w:rsid w:val="00120251"/>
    <w:rsid w:val="001203B9"/>
    <w:rsid w:val="00120999"/>
    <w:rsid w:val="001209A5"/>
    <w:rsid w:val="00120C66"/>
    <w:rsid w:val="00120D47"/>
    <w:rsid w:val="00120EFA"/>
    <w:rsid w:val="00120FAC"/>
    <w:rsid w:val="00121224"/>
    <w:rsid w:val="00121328"/>
    <w:rsid w:val="001224A8"/>
    <w:rsid w:val="001227DF"/>
    <w:rsid w:val="00122D88"/>
    <w:rsid w:val="00123105"/>
    <w:rsid w:val="00123108"/>
    <w:rsid w:val="0012313E"/>
    <w:rsid w:val="001237E9"/>
    <w:rsid w:val="00124439"/>
    <w:rsid w:val="001248E6"/>
    <w:rsid w:val="00125762"/>
    <w:rsid w:val="00125893"/>
    <w:rsid w:val="00125998"/>
    <w:rsid w:val="001259B5"/>
    <w:rsid w:val="00126126"/>
    <w:rsid w:val="00126210"/>
    <w:rsid w:val="001263D2"/>
    <w:rsid w:val="0012646F"/>
    <w:rsid w:val="001267F0"/>
    <w:rsid w:val="00126910"/>
    <w:rsid w:val="00126A97"/>
    <w:rsid w:val="00126AE9"/>
    <w:rsid w:val="00126ECE"/>
    <w:rsid w:val="001273BB"/>
    <w:rsid w:val="0012760D"/>
    <w:rsid w:val="00127A85"/>
    <w:rsid w:val="00127C76"/>
    <w:rsid w:val="00127CAE"/>
    <w:rsid w:val="0013058D"/>
    <w:rsid w:val="00130BB6"/>
    <w:rsid w:val="00131571"/>
    <w:rsid w:val="00131731"/>
    <w:rsid w:val="00131854"/>
    <w:rsid w:val="001321F7"/>
    <w:rsid w:val="001322F4"/>
    <w:rsid w:val="00132A6E"/>
    <w:rsid w:val="001334EE"/>
    <w:rsid w:val="001334F7"/>
    <w:rsid w:val="00133606"/>
    <w:rsid w:val="0013383C"/>
    <w:rsid w:val="001338E8"/>
    <w:rsid w:val="0013390B"/>
    <w:rsid w:val="0013477E"/>
    <w:rsid w:val="0013483A"/>
    <w:rsid w:val="001349AD"/>
    <w:rsid w:val="001351D7"/>
    <w:rsid w:val="00135EAB"/>
    <w:rsid w:val="001360B3"/>
    <w:rsid w:val="001363E1"/>
    <w:rsid w:val="0013678F"/>
    <w:rsid w:val="00136FA7"/>
    <w:rsid w:val="00137193"/>
    <w:rsid w:val="001373C5"/>
    <w:rsid w:val="0013770A"/>
    <w:rsid w:val="001400CE"/>
    <w:rsid w:val="001406BA"/>
    <w:rsid w:val="00141136"/>
    <w:rsid w:val="001412D2"/>
    <w:rsid w:val="0014136D"/>
    <w:rsid w:val="00141A11"/>
    <w:rsid w:val="00141B90"/>
    <w:rsid w:val="00141D32"/>
    <w:rsid w:val="00141F56"/>
    <w:rsid w:val="001422A9"/>
    <w:rsid w:val="001422D8"/>
    <w:rsid w:val="00142624"/>
    <w:rsid w:val="00142C45"/>
    <w:rsid w:val="00142E0A"/>
    <w:rsid w:val="00143913"/>
    <w:rsid w:val="00143992"/>
    <w:rsid w:val="00143F74"/>
    <w:rsid w:val="00144285"/>
    <w:rsid w:val="00144506"/>
    <w:rsid w:val="0014463A"/>
    <w:rsid w:val="0014504F"/>
    <w:rsid w:val="001453CB"/>
    <w:rsid w:val="0014564F"/>
    <w:rsid w:val="0014575B"/>
    <w:rsid w:val="00145CB1"/>
    <w:rsid w:val="00145D52"/>
    <w:rsid w:val="00146AD3"/>
    <w:rsid w:val="00147029"/>
    <w:rsid w:val="00147048"/>
    <w:rsid w:val="00147065"/>
    <w:rsid w:val="001470AB"/>
    <w:rsid w:val="00147162"/>
    <w:rsid w:val="0014719A"/>
    <w:rsid w:val="00147561"/>
    <w:rsid w:val="00147B5D"/>
    <w:rsid w:val="00147B8B"/>
    <w:rsid w:val="00147E3E"/>
    <w:rsid w:val="0015025E"/>
    <w:rsid w:val="001503CF"/>
    <w:rsid w:val="00150497"/>
    <w:rsid w:val="001506E1"/>
    <w:rsid w:val="00150B0B"/>
    <w:rsid w:val="00150B7E"/>
    <w:rsid w:val="00150D77"/>
    <w:rsid w:val="00150D85"/>
    <w:rsid w:val="00150F94"/>
    <w:rsid w:val="001511FE"/>
    <w:rsid w:val="00151233"/>
    <w:rsid w:val="00151578"/>
    <w:rsid w:val="00151B2C"/>
    <w:rsid w:val="00151F8B"/>
    <w:rsid w:val="0015221B"/>
    <w:rsid w:val="00152339"/>
    <w:rsid w:val="001524FC"/>
    <w:rsid w:val="0015250A"/>
    <w:rsid w:val="00152708"/>
    <w:rsid w:val="00152C45"/>
    <w:rsid w:val="001530D6"/>
    <w:rsid w:val="0015342B"/>
    <w:rsid w:val="001535E3"/>
    <w:rsid w:val="00153C00"/>
    <w:rsid w:val="00154094"/>
    <w:rsid w:val="00155023"/>
    <w:rsid w:val="00155243"/>
    <w:rsid w:val="0015563A"/>
    <w:rsid w:val="001559A9"/>
    <w:rsid w:val="00155E89"/>
    <w:rsid w:val="00155E93"/>
    <w:rsid w:val="001569E8"/>
    <w:rsid w:val="00156BB8"/>
    <w:rsid w:val="00156C31"/>
    <w:rsid w:val="00156D68"/>
    <w:rsid w:val="00157392"/>
    <w:rsid w:val="00157887"/>
    <w:rsid w:val="001578A0"/>
    <w:rsid w:val="00157F7C"/>
    <w:rsid w:val="0016007E"/>
    <w:rsid w:val="00160332"/>
    <w:rsid w:val="001603FF"/>
    <w:rsid w:val="0016041A"/>
    <w:rsid w:val="00160DED"/>
    <w:rsid w:val="001610ED"/>
    <w:rsid w:val="00161355"/>
    <w:rsid w:val="00161378"/>
    <w:rsid w:val="00162332"/>
    <w:rsid w:val="00162C55"/>
    <w:rsid w:val="00162F5B"/>
    <w:rsid w:val="0016318C"/>
    <w:rsid w:val="0016339B"/>
    <w:rsid w:val="001638E6"/>
    <w:rsid w:val="001648BB"/>
    <w:rsid w:val="001648CB"/>
    <w:rsid w:val="00164B52"/>
    <w:rsid w:val="00165039"/>
    <w:rsid w:val="0016540C"/>
    <w:rsid w:val="00166392"/>
    <w:rsid w:val="00166784"/>
    <w:rsid w:val="00166EC9"/>
    <w:rsid w:val="001671B4"/>
    <w:rsid w:val="00167263"/>
    <w:rsid w:val="001672A2"/>
    <w:rsid w:val="001672AB"/>
    <w:rsid w:val="0016766D"/>
    <w:rsid w:val="001676B4"/>
    <w:rsid w:val="001677D9"/>
    <w:rsid w:val="00167BD3"/>
    <w:rsid w:val="00167D31"/>
    <w:rsid w:val="00170062"/>
    <w:rsid w:val="001703FB"/>
    <w:rsid w:val="0017093D"/>
    <w:rsid w:val="00170AD7"/>
    <w:rsid w:val="001712E4"/>
    <w:rsid w:val="00171CBE"/>
    <w:rsid w:val="00171D7B"/>
    <w:rsid w:val="001722B3"/>
    <w:rsid w:val="00172FBF"/>
    <w:rsid w:val="001733A3"/>
    <w:rsid w:val="001737B8"/>
    <w:rsid w:val="00173AA1"/>
    <w:rsid w:val="00174605"/>
    <w:rsid w:val="00174627"/>
    <w:rsid w:val="00174A9F"/>
    <w:rsid w:val="00174BE7"/>
    <w:rsid w:val="00174BED"/>
    <w:rsid w:val="00174F76"/>
    <w:rsid w:val="001750BA"/>
    <w:rsid w:val="001752AE"/>
    <w:rsid w:val="00175775"/>
    <w:rsid w:val="0017617F"/>
    <w:rsid w:val="00176286"/>
    <w:rsid w:val="0017643D"/>
    <w:rsid w:val="00176BE6"/>
    <w:rsid w:val="00176CBF"/>
    <w:rsid w:val="00176D77"/>
    <w:rsid w:val="001772CA"/>
    <w:rsid w:val="00177511"/>
    <w:rsid w:val="00177562"/>
    <w:rsid w:val="001776E2"/>
    <w:rsid w:val="00177961"/>
    <w:rsid w:val="001779AC"/>
    <w:rsid w:val="00177BDE"/>
    <w:rsid w:val="00177EA9"/>
    <w:rsid w:val="00177ED0"/>
    <w:rsid w:val="00177EFC"/>
    <w:rsid w:val="0018099D"/>
    <w:rsid w:val="00180BD2"/>
    <w:rsid w:val="00180FFE"/>
    <w:rsid w:val="0018113E"/>
    <w:rsid w:val="0018138E"/>
    <w:rsid w:val="00181455"/>
    <w:rsid w:val="001816FD"/>
    <w:rsid w:val="001819BA"/>
    <w:rsid w:val="00181E05"/>
    <w:rsid w:val="00181F69"/>
    <w:rsid w:val="00182259"/>
    <w:rsid w:val="0018230B"/>
    <w:rsid w:val="00182322"/>
    <w:rsid w:val="0018249A"/>
    <w:rsid w:val="0018252D"/>
    <w:rsid w:val="001826D3"/>
    <w:rsid w:val="00182730"/>
    <w:rsid w:val="001827D0"/>
    <w:rsid w:val="00182B79"/>
    <w:rsid w:val="00182DF6"/>
    <w:rsid w:val="00182EB1"/>
    <w:rsid w:val="00182F53"/>
    <w:rsid w:val="00182F5A"/>
    <w:rsid w:val="00183AD9"/>
    <w:rsid w:val="00183F3E"/>
    <w:rsid w:val="00184D6A"/>
    <w:rsid w:val="001852EF"/>
    <w:rsid w:val="001854BE"/>
    <w:rsid w:val="001858B6"/>
    <w:rsid w:val="00185C3D"/>
    <w:rsid w:val="0018644E"/>
    <w:rsid w:val="00186565"/>
    <w:rsid w:val="001865EC"/>
    <w:rsid w:val="0018666B"/>
    <w:rsid w:val="00186DDD"/>
    <w:rsid w:val="00186E4E"/>
    <w:rsid w:val="00187299"/>
    <w:rsid w:val="00187742"/>
    <w:rsid w:val="001877CD"/>
    <w:rsid w:val="00187EAD"/>
    <w:rsid w:val="00190AE5"/>
    <w:rsid w:val="00191D52"/>
    <w:rsid w:val="001920A5"/>
    <w:rsid w:val="00192533"/>
    <w:rsid w:val="00192A3D"/>
    <w:rsid w:val="00192CDC"/>
    <w:rsid w:val="00192E02"/>
    <w:rsid w:val="00192F19"/>
    <w:rsid w:val="00193240"/>
    <w:rsid w:val="001932B0"/>
    <w:rsid w:val="001932FE"/>
    <w:rsid w:val="0019396C"/>
    <w:rsid w:val="00193E17"/>
    <w:rsid w:val="00193E9A"/>
    <w:rsid w:val="001942F2"/>
    <w:rsid w:val="00194878"/>
    <w:rsid w:val="001949E7"/>
    <w:rsid w:val="00194E3D"/>
    <w:rsid w:val="00195985"/>
    <w:rsid w:val="00195D61"/>
    <w:rsid w:val="00195D6C"/>
    <w:rsid w:val="0019603B"/>
    <w:rsid w:val="001960E3"/>
    <w:rsid w:val="001963BB"/>
    <w:rsid w:val="00196D0F"/>
    <w:rsid w:val="001974C5"/>
    <w:rsid w:val="00197CD1"/>
    <w:rsid w:val="001A02BE"/>
    <w:rsid w:val="001A0D8F"/>
    <w:rsid w:val="001A1C08"/>
    <w:rsid w:val="001A1F2A"/>
    <w:rsid w:val="001A1F82"/>
    <w:rsid w:val="001A2372"/>
    <w:rsid w:val="001A2706"/>
    <w:rsid w:val="001A29F2"/>
    <w:rsid w:val="001A2AD5"/>
    <w:rsid w:val="001A2C8E"/>
    <w:rsid w:val="001A33AC"/>
    <w:rsid w:val="001A340E"/>
    <w:rsid w:val="001A3482"/>
    <w:rsid w:val="001A36C6"/>
    <w:rsid w:val="001A3854"/>
    <w:rsid w:val="001A3B48"/>
    <w:rsid w:val="001A3CD3"/>
    <w:rsid w:val="001A3DDB"/>
    <w:rsid w:val="001A4029"/>
    <w:rsid w:val="001A407A"/>
    <w:rsid w:val="001A491D"/>
    <w:rsid w:val="001A4BD2"/>
    <w:rsid w:val="001A4EB2"/>
    <w:rsid w:val="001A5357"/>
    <w:rsid w:val="001A5408"/>
    <w:rsid w:val="001A544F"/>
    <w:rsid w:val="001A5CED"/>
    <w:rsid w:val="001A6172"/>
    <w:rsid w:val="001A63A1"/>
    <w:rsid w:val="001A64EB"/>
    <w:rsid w:val="001A69D0"/>
    <w:rsid w:val="001A6CAF"/>
    <w:rsid w:val="001A711F"/>
    <w:rsid w:val="001A76EF"/>
    <w:rsid w:val="001A7898"/>
    <w:rsid w:val="001A78A1"/>
    <w:rsid w:val="001A7E98"/>
    <w:rsid w:val="001B0613"/>
    <w:rsid w:val="001B0657"/>
    <w:rsid w:val="001B0AA3"/>
    <w:rsid w:val="001B0B9C"/>
    <w:rsid w:val="001B0C76"/>
    <w:rsid w:val="001B160F"/>
    <w:rsid w:val="001B16BD"/>
    <w:rsid w:val="001B18E9"/>
    <w:rsid w:val="001B1C72"/>
    <w:rsid w:val="001B1DA8"/>
    <w:rsid w:val="001B2535"/>
    <w:rsid w:val="001B2581"/>
    <w:rsid w:val="001B298C"/>
    <w:rsid w:val="001B2C82"/>
    <w:rsid w:val="001B2E51"/>
    <w:rsid w:val="001B2F04"/>
    <w:rsid w:val="001B360F"/>
    <w:rsid w:val="001B38BE"/>
    <w:rsid w:val="001B3B33"/>
    <w:rsid w:val="001B3DB5"/>
    <w:rsid w:val="001B40A8"/>
    <w:rsid w:val="001B448D"/>
    <w:rsid w:val="001B4678"/>
    <w:rsid w:val="001B4AD4"/>
    <w:rsid w:val="001B4AE8"/>
    <w:rsid w:val="001B4B4F"/>
    <w:rsid w:val="001B4F6C"/>
    <w:rsid w:val="001B539B"/>
    <w:rsid w:val="001B60F3"/>
    <w:rsid w:val="001B645B"/>
    <w:rsid w:val="001B6501"/>
    <w:rsid w:val="001B662E"/>
    <w:rsid w:val="001B667E"/>
    <w:rsid w:val="001B721C"/>
    <w:rsid w:val="001B7406"/>
    <w:rsid w:val="001B7560"/>
    <w:rsid w:val="001B75FF"/>
    <w:rsid w:val="001B7932"/>
    <w:rsid w:val="001B7EC9"/>
    <w:rsid w:val="001B7F6A"/>
    <w:rsid w:val="001C034C"/>
    <w:rsid w:val="001C05F6"/>
    <w:rsid w:val="001C08EB"/>
    <w:rsid w:val="001C0BD3"/>
    <w:rsid w:val="001C0BDD"/>
    <w:rsid w:val="001C0ED2"/>
    <w:rsid w:val="001C0F11"/>
    <w:rsid w:val="001C1284"/>
    <w:rsid w:val="001C128A"/>
    <w:rsid w:val="001C17E9"/>
    <w:rsid w:val="001C18B5"/>
    <w:rsid w:val="001C2331"/>
    <w:rsid w:val="001C233D"/>
    <w:rsid w:val="001C236E"/>
    <w:rsid w:val="001C2437"/>
    <w:rsid w:val="001C25CF"/>
    <w:rsid w:val="001C312C"/>
    <w:rsid w:val="001C3320"/>
    <w:rsid w:val="001C386F"/>
    <w:rsid w:val="001C3D0B"/>
    <w:rsid w:val="001C3F88"/>
    <w:rsid w:val="001C4325"/>
    <w:rsid w:val="001C50BE"/>
    <w:rsid w:val="001C6280"/>
    <w:rsid w:val="001C65C3"/>
    <w:rsid w:val="001C685D"/>
    <w:rsid w:val="001C698E"/>
    <w:rsid w:val="001C6AB2"/>
    <w:rsid w:val="001C6C42"/>
    <w:rsid w:val="001C711B"/>
    <w:rsid w:val="001C7709"/>
    <w:rsid w:val="001C7AF0"/>
    <w:rsid w:val="001D00A4"/>
    <w:rsid w:val="001D031D"/>
    <w:rsid w:val="001D0988"/>
    <w:rsid w:val="001D0B96"/>
    <w:rsid w:val="001D1A83"/>
    <w:rsid w:val="001D2AB1"/>
    <w:rsid w:val="001D2DBC"/>
    <w:rsid w:val="001D2E8D"/>
    <w:rsid w:val="001D381F"/>
    <w:rsid w:val="001D3DE2"/>
    <w:rsid w:val="001D4703"/>
    <w:rsid w:val="001D4723"/>
    <w:rsid w:val="001D4B65"/>
    <w:rsid w:val="001D4F95"/>
    <w:rsid w:val="001D50E7"/>
    <w:rsid w:val="001D5929"/>
    <w:rsid w:val="001D5BC5"/>
    <w:rsid w:val="001D5BCE"/>
    <w:rsid w:val="001D5F9A"/>
    <w:rsid w:val="001D644E"/>
    <w:rsid w:val="001D6674"/>
    <w:rsid w:val="001D6728"/>
    <w:rsid w:val="001D6B94"/>
    <w:rsid w:val="001D70D5"/>
    <w:rsid w:val="001D7100"/>
    <w:rsid w:val="001D710D"/>
    <w:rsid w:val="001D718F"/>
    <w:rsid w:val="001D7519"/>
    <w:rsid w:val="001D7666"/>
    <w:rsid w:val="001D7848"/>
    <w:rsid w:val="001D7A35"/>
    <w:rsid w:val="001D7D8C"/>
    <w:rsid w:val="001D7F81"/>
    <w:rsid w:val="001E04A1"/>
    <w:rsid w:val="001E0B70"/>
    <w:rsid w:val="001E0E31"/>
    <w:rsid w:val="001E1332"/>
    <w:rsid w:val="001E15C7"/>
    <w:rsid w:val="001E174E"/>
    <w:rsid w:val="001E1AC3"/>
    <w:rsid w:val="001E1B15"/>
    <w:rsid w:val="001E1C1C"/>
    <w:rsid w:val="001E1F48"/>
    <w:rsid w:val="001E206B"/>
    <w:rsid w:val="001E2105"/>
    <w:rsid w:val="001E226E"/>
    <w:rsid w:val="001E2CAC"/>
    <w:rsid w:val="001E2D87"/>
    <w:rsid w:val="001E3A88"/>
    <w:rsid w:val="001E3FCF"/>
    <w:rsid w:val="001E43D2"/>
    <w:rsid w:val="001E46B8"/>
    <w:rsid w:val="001E4756"/>
    <w:rsid w:val="001E4992"/>
    <w:rsid w:val="001E4DD9"/>
    <w:rsid w:val="001E52D2"/>
    <w:rsid w:val="001E55D2"/>
    <w:rsid w:val="001E5663"/>
    <w:rsid w:val="001E5741"/>
    <w:rsid w:val="001E5A8C"/>
    <w:rsid w:val="001E6BF0"/>
    <w:rsid w:val="001E6C0E"/>
    <w:rsid w:val="001E7112"/>
    <w:rsid w:val="001E7E69"/>
    <w:rsid w:val="001F03A5"/>
    <w:rsid w:val="001F0695"/>
    <w:rsid w:val="001F0EB8"/>
    <w:rsid w:val="001F13F8"/>
    <w:rsid w:val="001F1465"/>
    <w:rsid w:val="001F1714"/>
    <w:rsid w:val="001F174E"/>
    <w:rsid w:val="001F1798"/>
    <w:rsid w:val="001F22B8"/>
    <w:rsid w:val="001F3197"/>
    <w:rsid w:val="001F33FD"/>
    <w:rsid w:val="001F36A6"/>
    <w:rsid w:val="001F390C"/>
    <w:rsid w:val="001F3982"/>
    <w:rsid w:val="001F3A92"/>
    <w:rsid w:val="001F3FD9"/>
    <w:rsid w:val="001F493D"/>
    <w:rsid w:val="001F514C"/>
    <w:rsid w:val="001F5B2B"/>
    <w:rsid w:val="001F5D1A"/>
    <w:rsid w:val="001F6663"/>
    <w:rsid w:val="001F682E"/>
    <w:rsid w:val="001F6998"/>
    <w:rsid w:val="001F6A86"/>
    <w:rsid w:val="001F6B19"/>
    <w:rsid w:val="001F6CB5"/>
    <w:rsid w:val="001F7027"/>
    <w:rsid w:val="001F70D7"/>
    <w:rsid w:val="001F70E1"/>
    <w:rsid w:val="001F7559"/>
    <w:rsid w:val="001F7645"/>
    <w:rsid w:val="002002B3"/>
    <w:rsid w:val="00200494"/>
    <w:rsid w:val="00200BC5"/>
    <w:rsid w:val="00200C04"/>
    <w:rsid w:val="00200D0C"/>
    <w:rsid w:val="00200D44"/>
    <w:rsid w:val="0020182F"/>
    <w:rsid w:val="002018A6"/>
    <w:rsid w:val="00201BE6"/>
    <w:rsid w:val="002021C7"/>
    <w:rsid w:val="00202322"/>
    <w:rsid w:val="002024DD"/>
    <w:rsid w:val="0020291F"/>
    <w:rsid w:val="00202DF1"/>
    <w:rsid w:val="002035B3"/>
    <w:rsid w:val="002035C2"/>
    <w:rsid w:val="00203619"/>
    <w:rsid w:val="00203AF2"/>
    <w:rsid w:val="00203DAA"/>
    <w:rsid w:val="0020420C"/>
    <w:rsid w:val="00204940"/>
    <w:rsid w:val="00204AA1"/>
    <w:rsid w:val="00205500"/>
    <w:rsid w:val="00205B60"/>
    <w:rsid w:val="00205C1F"/>
    <w:rsid w:val="00205D13"/>
    <w:rsid w:val="00205FF2"/>
    <w:rsid w:val="002060D2"/>
    <w:rsid w:val="0020638B"/>
    <w:rsid w:val="002066A9"/>
    <w:rsid w:val="0020670C"/>
    <w:rsid w:val="00206711"/>
    <w:rsid w:val="00206B14"/>
    <w:rsid w:val="00206C01"/>
    <w:rsid w:val="00206CF2"/>
    <w:rsid w:val="00206E27"/>
    <w:rsid w:val="002070E5"/>
    <w:rsid w:val="00207C14"/>
    <w:rsid w:val="00207CD1"/>
    <w:rsid w:val="00210387"/>
    <w:rsid w:val="0021038E"/>
    <w:rsid w:val="00210530"/>
    <w:rsid w:val="00210668"/>
    <w:rsid w:val="00210675"/>
    <w:rsid w:val="002107CB"/>
    <w:rsid w:val="00210C89"/>
    <w:rsid w:val="00210ED0"/>
    <w:rsid w:val="00210F9B"/>
    <w:rsid w:val="002113B1"/>
    <w:rsid w:val="00211452"/>
    <w:rsid w:val="00211C4F"/>
    <w:rsid w:val="00211DB3"/>
    <w:rsid w:val="00212A2A"/>
    <w:rsid w:val="00212FF5"/>
    <w:rsid w:val="002131A1"/>
    <w:rsid w:val="00213B11"/>
    <w:rsid w:val="00213B50"/>
    <w:rsid w:val="002140E2"/>
    <w:rsid w:val="002155F6"/>
    <w:rsid w:val="002159DA"/>
    <w:rsid w:val="00215C1A"/>
    <w:rsid w:val="00215D6D"/>
    <w:rsid w:val="00215DDF"/>
    <w:rsid w:val="00215F54"/>
    <w:rsid w:val="00215FBE"/>
    <w:rsid w:val="0021624D"/>
    <w:rsid w:val="00216821"/>
    <w:rsid w:val="00216A13"/>
    <w:rsid w:val="00216B65"/>
    <w:rsid w:val="00216D79"/>
    <w:rsid w:val="00217269"/>
    <w:rsid w:val="002174CB"/>
    <w:rsid w:val="00217652"/>
    <w:rsid w:val="00217DED"/>
    <w:rsid w:val="0022035D"/>
    <w:rsid w:val="00220381"/>
    <w:rsid w:val="00220451"/>
    <w:rsid w:val="0022059D"/>
    <w:rsid w:val="002205D5"/>
    <w:rsid w:val="00220730"/>
    <w:rsid w:val="00220A48"/>
    <w:rsid w:val="00220A73"/>
    <w:rsid w:val="00220C20"/>
    <w:rsid w:val="00221369"/>
    <w:rsid w:val="00221815"/>
    <w:rsid w:val="00221A3F"/>
    <w:rsid w:val="00221D45"/>
    <w:rsid w:val="00221EDD"/>
    <w:rsid w:val="00221F67"/>
    <w:rsid w:val="002223BB"/>
    <w:rsid w:val="0022266B"/>
    <w:rsid w:val="0022283F"/>
    <w:rsid w:val="00222DF3"/>
    <w:rsid w:val="00223092"/>
    <w:rsid w:val="00223330"/>
    <w:rsid w:val="0022360B"/>
    <w:rsid w:val="0022375C"/>
    <w:rsid w:val="00223ED1"/>
    <w:rsid w:val="00223F0F"/>
    <w:rsid w:val="00224409"/>
    <w:rsid w:val="00224448"/>
    <w:rsid w:val="002246A9"/>
    <w:rsid w:val="0022492E"/>
    <w:rsid w:val="002249CF"/>
    <w:rsid w:val="00224B9D"/>
    <w:rsid w:val="00224BA5"/>
    <w:rsid w:val="002252F7"/>
    <w:rsid w:val="0022543F"/>
    <w:rsid w:val="0022650B"/>
    <w:rsid w:val="002267A4"/>
    <w:rsid w:val="002268F6"/>
    <w:rsid w:val="00226B56"/>
    <w:rsid w:val="00226DD3"/>
    <w:rsid w:val="002272FF"/>
    <w:rsid w:val="00227EEE"/>
    <w:rsid w:val="00230009"/>
    <w:rsid w:val="00230192"/>
    <w:rsid w:val="00230A60"/>
    <w:rsid w:val="00230C62"/>
    <w:rsid w:val="00230E3E"/>
    <w:rsid w:val="0023121F"/>
    <w:rsid w:val="0023129C"/>
    <w:rsid w:val="002314E0"/>
    <w:rsid w:val="002315DF"/>
    <w:rsid w:val="00231625"/>
    <w:rsid w:val="0023172E"/>
    <w:rsid w:val="002320D9"/>
    <w:rsid w:val="002321AC"/>
    <w:rsid w:val="00232D24"/>
    <w:rsid w:val="002333D7"/>
    <w:rsid w:val="00233648"/>
    <w:rsid w:val="00233772"/>
    <w:rsid w:val="00233886"/>
    <w:rsid w:val="0023396D"/>
    <w:rsid w:val="00234406"/>
    <w:rsid w:val="002344F2"/>
    <w:rsid w:val="0023498F"/>
    <w:rsid w:val="002349F0"/>
    <w:rsid w:val="00234A9C"/>
    <w:rsid w:val="00234C53"/>
    <w:rsid w:val="00234D6A"/>
    <w:rsid w:val="00234FE5"/>
    <w:rsid w:val="00235068"/>
    <w:rsid w:val="00235B0E"/>
    <w:rsid w:val="00235D38"/>
    <w:rsid w:val="002362C1"/>
    <w:rsid w:val="00236C93"/>
    <w:rsid w:val="002371B6"/>
    <w:rsid w:val="0023747B"/>
    <w:rsid w:val="002402A7"/>
    <w:rsid w:val="00240CF9"/>
    <w:rsid w:val="00240D71"/>
    <w:rsid w:val="00241100"/>
    <w:rsid w:val="002412F5"/>
    <w:rsid w:val="0024153B"/>
    <w:rsid w:val="0024155F"/>
    <w:rsid w:val="00241616"/>
    <w:rsid w:val="0024174E"/>
    <w:rsid w:val="002417CB"/>
    <w:rsid w:val="002421FD"/>
    <w:rsid w:val="00242276"/>
    <w:rsid w:val="00242894"/>
    <w:rsid w:val="00242897"/>
    <w:rsid w:val="00242929"/>
    <w:rsid w:val="00242C92"/>
    <w:rsid w:val="0024324D"/>
    <w:rsid w:val="00243284"/>
    <w:rsid w:val="002433B9"/>
    <w:rsid w:val="00243643"/>
    <w:rsid w:val="002436C7"/>
    <w:rsid w:val="00243CD9"/>
    <w:rsid w:val="00244017"/>
    <w:rsid w:val="0024460F"/>
    <w:rsid w:val="00244665"/>
    <w:rsid w:val="00244B01"/>
    <w:rsid w:val="0024504D"/>
    <w:rsid w:val="00245516"/>
    <w:rsid w:val="002458A3"/>
    <w:rsid w:val="00245A89"/>
    <w:rsid w:val="00245BCB"/>
    <w:rsid w:val="00245E91"/>
    <w:rsid w:val="00245EF9"/>
    <w:rsid w:val="00245F51"/>
    <w:rsid w:val="00246315"/>
    <w:rsid w:val="002463B6"/>
    <w:rsid w:val="00246614"/>
    <w:rsid w:val="00246668"/>
    <w:rsid w:val="002466D5"/>
    <w:rsid w:val="002467C2"/>
    <w:rsid w:val="00246854"/>
    <w:rsid w:val="00246C09"/>
    <w:rsid w:val="00246C10"/>
    <w:rsid w:val="00246E89"/>
    <w:rsid w:val="002470D2"/>
    <w:rsid w:val="002473C2"/>
    <w:rsid w:val="0024765A"/>
    <w:rsid w:val="00247AD1"/>
    <w:rsid w:val="00247EAA"/>
    <w:rsid w:val="002502BE"/>
    <w:rsid w:val="0025030A"/>
    <w:rsid w:val="00250998"/>
    <w:rsid w:val="00250E42"/>
    <w:rsid w:val="002511F8"/>
    <w:rsid w:val="00251332"/>
    <w:rsid w:val="00251946"/>
    <w:rsid w:val="00251A44"/>
    <w:rsid w:val="00251E2F"/>
    <w:rsid w:val="00251E32"/>
    <w:rsid w:val="00251FE0"/>
    <w:rsid w:val="0025227C"/>
    <w:rsid w:val="002522C5"/>
    <w:rsid w:val="00252303"/>
    <w:rsid w:val="00252A1A"/>
    <w:rsid w:val="00252B38"/>
    <w:rsid w:val="00252CDD"/>
    <w:rsid w:val="00252D4B"/>
    <w:rsid w:val="00252E65"/>
    <w:rsid w:val="00252E9B"/>
    <w:rsid w:val="00253386"/>
    <w:rsid w:val="00253EA8"/>
    <w:rsid w:val="00254443"/>
    <w:rsid w:val="00254471"/>
    <w:rsid w:val="0025465F"/>
    <w:rsid w:val="002549C4"/>
    <w:rsid w:val="00254F58"/>
    <w:rsid w:val="0025527D"/>
    <w:rsid w:val="002555D1"/>
    <w:rsid w:val="00255E6E"/>
    <w:rsid w:val="002561E4"/>
    <w:rsid w:val="002568F7"/>
    <w:rsid w:val="00256B2A"/>
    <w:rsid w:val="00256CF7"/>
    <w:rsid w:val="00256E6C"/>
    <w:rsid w:val="00257169"/>
    <w:rsid w:val="0025735F"/>
    <w:rsid w:val="00257407"/>
    <w:rsid w:val="002576BC"/>
    <w:rsid w:val="00257889"/>
    <w:rsid w:val="002578F0"/>
    <w:rsid w:val="00257ABA"/>
    <w:rsid w:val="00257BDA"/>
    <w:rsid w:val="002609F5"/>
    <w:rsid w:val="00260BEE"/>
    <w:rsid w:val="00260CB9"/>
    <w:rsid w:val="00260D2B"/>
    <w:rsid w:val="00260EB1"/>
    <w:rsid w:val="00260EE6"/>
    <w:rsid w:val="00261FA5"/>
    <w:rsid w:val="002620CE"/>
    <w:rsid w:val="002623CF"/>
    <w:rsid w:val="0026247D"/>
    <w:rsid w:val="002624F3"/>
    <w:rsid w:val="002624FB"/>
    <w:rsid w:val="00262731"/>
    <w:rsid w:val="00262B4E"/>
    <w:rsid w:val="00262BEE"/>
    <w:rsid w:val="00263486"/>
    <w:rsid w:val="00263899"/>
    <w:rsid w:val="002638F0"/>
    <w:rsid w:val="0026392C"/>
    <w:rsid w:val="00264354"/>
    <w:rsid w:val="002643C4"/>
    <w:rsid w:val="00264ABB"/>
    <w:rsid w:val="00264BA9"/>
    <w:rsid w:val="0026515B"/>
    <w:rsid w:val="0026527E"/>
    <w:rsid w:val="0026546B"/>
    <w:rsid w:val="0026574B"/>
    <w:rsid w:val="00265C34"/>
    <w:rsid w:val="002660D0"/>
    <w:rsid w:val="00266542"/>
    <w:rsid w:val="00266990"/>
    <w:rsid w:val="00266ABB"/>
    <w:rsid w:val="00266C64"/>
    <w:rsid w:val="00266C91"/>
    <w:rsid w:val="002672E6"/>
    <w:rsid w:val="002675BE"/>
    <w:rsid w:val="002677B0"/>
    <w:rsid w:val="00267985"/>
    <w:rsid w:val="00267CD4"/>
    <w:rsid w:val="0027018B"/>
    <w:rsid w:val="00270A0B"/>
    <w:rsid w:val="0027114D"/>
    <w:rsid w:val="00271152"/>
    <w:rsid w:val="002713F9"/>
    <w:rsid w:val="0027188B"/>
    <w:rsid w:val="0027200A"/>
    <w:rsid w:val="00272654"/>
    <w:rsid w:val="0027277F"/>
    <w:rsid w:val="00272E88"/>
    <w:rsid w:val="00272FA7"/>
    <w:rsid w:val="0027322D"/>
    <w:rsid w:val="0027373C"/>
    <w:rsid w:val="00273B9F"/>
    <w:rsid w:val="00273C64"/>
    <w:rsid w:val="00273D28"/>
    <w:rsid w:val="00273D3F"/>
    <w:rsid w:val="00273EB2"/>
    <w:rsid w:val="00274667"/>
    <w:rsid w:val="002749FA"/>
    <w:rsid w:val="0027512E"/>
    <w:rsid w:val="0027545D"/>
    <w:rsid w:val="00275CA7"/>
    <w:rsid w:val="00275EBA"/>
    <w:rsid w:val="002761BB"/>
    <w:rsid w:val="00276335"/>
    <w:rsid w:val="002764DC"/>
    <w:rsid w:val="0027650B"/>
    <w:rsid w:val="002765B9"/>
    <w:rsid w:val="00276AB4"/>
    <w:rsid w:val="00276BDA"/>
    <w:rsid w:val="00276E82"/>
    <w:rsid w:val="00276EAC"/>
    <w:rsid w:val="0027750A"/>
    <w:rsid w:val="00277B7C"/>
    <w:rsid w:val="00277DB6"/>
    <w:rsid w:val="00280360"/>
    <w:rsid w:val="0028075C"/>
    <w:rsid w:val="00280E9C"/>
    <w:rsid w:val="00281BBE"/>
    <w:rsid w:val="00281DF2"/>
    <w:rsid w:val="00281DFF"/>
    <w:rsid w:val="00281FC3"/>
    <w:rsid w:val="002822DF"/>
    <w:rsid w:val="0028298D"/>
    <w:rsid w:val="00282A63"/>
    <w:rsid w:val="00282D0F"/>
    <w:rsid w:val="00283291"/>
    <w:rsid w:val="00283481"/>
    <w:rsid w:val="002838B8"/>
    <w:rsid w:val="00283BA1"/>
    <w:rsid w:val="00283D72"/>
    <w:rsid w:val="00283FEE"/>
    <w:rsid w:val="0028467C"/>
    <w:rsid w:val="002849CD"/>
    <w:rsid w:val="002849D7"/>
    <w:rsid w:val="002849FD"/>
    <w:rsid w:val="00284A90"/>
    <w:rsid w:val="00284CAC"/>
    <w:rsid w:val="00284F67"/>
    <w:rsid w:val="00285348"/>
    <w:rsid w:val="002853F1"/>
    <w:rsid w:val="0028581A"/>
    <w:rsid w:val="00285AAA"/>
    <w:rsid w:val="00285B71"/>
    <w:rsid w:val="00285F98"/>
    <w:rsid w:val="002862DA"/>
    <w:rsid w:val="00286B17"/>
    <w:rsid w:val="00287770"/>
    <w:rsid w:val="00287A75"/>
    <w:rsid w:val="00287DD3"/>
    <w:rsid w:val="00287EBE"/>
    <w:rsid w:val="00287FF2"/>
    <w:rsid w:val="00290CE5"/>
    <w:rsid w:val="00290F6F"/>
    <w:rsid w:val="00291160"/>
    <w:rsid w:val="0029123D"/>
    <w:rsid w:val="00291274"/>
    <w:rsid w:val="002914EB"/>
    <w:rsid w:val="00291A5F"/>
    <w:rsid w:val="00291C7B"/>
    <w:rsid w:val="002920AF"/>
    <w:rsid w:val="002922E8"/>
    <w:rsid w:val="0029269D"/>
    <w:rsid w:val="002927E0"/>
    <w:rsid w:val="00292800"/>
    <w:rsid w:val="00292D73"/>
    <w:rsid w:val="00293141"/>
    <w:rsid w:val="002932FE"/>
    <w:rsid w:val="0029348C"/>
    <w:rsid w:val="00293598"/>
    <w:rsid w:val="002938C9"/>
    <w:rsid w:val="00293992"/>
    <w:rsid w:val="002942D1"/>
    <w:rsid w:val="002947A1"/>
    <w:rsid w:val="00294939"/>
    <w:rsid w:val="00294C39"/>
    <w:rsid w:val="00295B16"/>
    <w:rsid w:val="00295BAA"/>
    <w:rsid w:val="00296385"/>
    <w:rsid w:val="00296474"/>
    <w:rsid w:val="0029651C"/>
    <w:rsid w:val="002968BC"/>
    <w:rsid w:val="0029691B"/>
    <w:rsid w:val="002969E5"/>
    <w:rsid w:val="00296D43"/>
    <w:rsid w:val="00296D4C"/>
    <w:rsid w:val="0029756A"/>
    <w:rsid w:val="00297812"/>
    <w:rsid w:val="00297968"/>
    <w:rsid w:val="002A00F7"/>
    <w:rsid w:val="002A037B"/>
    <w:rsid w:val="002A081E"/>
    <w:rsid w:val="002A09CE"/>
    <w:rsid w:val="002A1D8E"/>
    <w:rsid w:val="002A1F63"/>
    <w:rsid w:val="002A2596"/>
    <w:rsid w:val="002A2A0F"/>
    <w:rsid w:val="002A2CC0"/>
    <w:rsid w:val="002A313E"/>
    <w:rsid w:val="002A32BB"/>
    <w:rsid w:val="002A3542"/>
    <w:rsid w:val="002A3E0B"/>
    <w:rsid w:val="002A3F04"/>
    <w:rsid w:val="002A4120"/>
    <w:rsid w:val="002A4B76"/>
    <w:rsid w:val="002A4DB3"/>
    <w:rsid w:val="002A5103"/>
    <w:rsid w:val="002A5C3C"/>
    <w:rsid w:val="002A6403"/>
    <w:rsid w:val="002A6548"/>
    <w:rsid w:val="002A6586"/>
    <w:rsid w:val="002A6C60"/>
    <w:rsid w:val="002A6D67"/>
    <w:rsid w:val="002A7F4D"/>
    <w:rsid w:val="002B0053"/>
    <w:rsid w:val="002B00AD"/>
    <w:rsid w:val="002B0ADE"/>
    <w:rsid w:val="002B0B68"/>
    <w:rsid w:val="002B1099"/>
    <w:rsid w:val="002B136F"/>
    <w:rsid w:val="002B152A"/>
    <w:rsid w:val="002B1581"/>
    <w:rsid w:val="002B17FA"/>
    <w:rsid w:val="002B19AA"/>
    <w:rsid w:val="002B1B95"/>
    <w:rsid w:val="002B1EA2"/>
    <w:rsid w:val="002B1ED4"/>
    <w:rsid w:val="002B20BE"/>
    <w:rsid w:val="002B33A7"/>
    <w:rsid w:val="002B37BD"/>
    <w:rsid w:val="002B3A55"/>
    <w:rsid w:val="002B3B59"/>
    <w:rsid w:val="002B3C74"/>
    <w:rsid w:val="002B400F"/>
    <w:rsid w:val="002B4594"/>
    <w:rsid w:val="002B4738"/>
    <w:rsid w:val="002B49E8"/>
    <w:rsid w:val="002B4D8E"/>
    <w:rsid w:val="002B50A7"/>
    <w:rsid w:val="002B585F"/>
    <w:rsid w:val="002B5DA9"/>
    <w:rsid w:val="002B5F82"/>
    <w:rsid w:val="002B625C"/>
    <w:rsid w:val="002B6537"/>
    <w:rsid w:val="002B6C00"/>
    <w:rsid w:val="002B6C05"/>
    <w:rsid w:val="002B6FE4"/>
    <w:rsid w:val="002B77E7"/>
    <w:rsid w:val="002B7C30"/>
    <w:rsid w:val="002B7DB3"/>
    <w:rsid w:val="002B7FB1"/>
    <w:rsid w:val="002C0840"/>
    <w:rsid w:val="002C0A68"/>
    <w:rsid w:val="002C0FB6"/>
    <w:rsid w:val="002C1011"/>
    <w:rsid w:val="002C1148"/>
    <w:rsid w:val="002C13F3"/>
    <w:rsid w:val="002C19B1"/>
    <w:rsid w:val="002C1B22"/>
    <w:rsid w:val="002C1D19"/>
    <w:rsid w:val="002C1E03"/>
    <w:rsid w:val="002C2619"/>
    <w:rsid w:val="002C28D3"/>
    <w:rsid w:val="002C2B0D"/>
    <w:rsid w:val="002C2B85"/>
    <w:rsid w:val="002C2B87"/>
    <w:rsid w:val="002C2D22"/>
    <w:rsid w:val="002C2E6B"/>
    <w:rsid w:val="002C31D7"/>
    <w:rsid w:val="002C335B"/>
    <w:rsid w:val="002C33DC"/>
    <w:rsid w:val="002C33E2"/>
    <w:rsid w:val="002C3447"/>
    <w:rsid w:val="002C352F"/>
    <w:rsid w:val="002C3DD1"/>
    <w:rsid w:val="002C410B"/>
    <w:rsid w:val="002C4164"/>
    <w:rsid w:val="002C48BD"/>
    <w:rsid w:val="002C4A83"/>
    <w:rsid w:val="002C4AC6"/>
    <w:rsid w:val="002C4C15"/>
    <w:rsid w:val="002C4F8F"/>
    <w:rsid w:val="002C5540"/>
    <w:rsid w:val="002C564E"/>
    <w:rsid w:val="002C5711"/>
    <w:rsid w:val="002C5716"/>
    <w:rsid w:val="002C5A9C"/>
    <w:rsid w:val="002C5B13"/>
    <w:rsid w:val="002C5BF2"/>
    <w:rsid w:val="002C61D7"/>
    <w:rsid w:val="002C62B7"/>
    <w:rsid w:val="002C63FE"/>
    <w:rsid w:val="002C6434"/>
    <w:rsid w:val="002C7354"/>
    <w:rsid w:val="002C79A4"/>
    <w:rsid w:val="002D035C"/>
    <w:rsid w:val="002D03CB"/>
    <w:rsid w:val="002D03DC"/>
    <w:rsid w:val="002D0A78"/>
    <w:rsid w:val="002D0B06"/>
    <w:rsid w:val="002D0D01"/>
    <w:rsid w:val="002D0D9D"/>
    <w:rsid w:val="002D0F9A"/>
    <w:rsid w:val="002D19A6"/>
    <w:rsid w:val="002D1A13"/>
    <w:rsid w:val="002D1D4A"/>
    <w:rsid w:val="002D2214"/>
    <w:rsid w:val="002D2321"/>
    <w:rsid w:val="002D248F"/>
    <w:rsid w:val="002D262A"/>
    <w:rsid w:val="002D273F"/>
    <w:rsid w:val="002D2D75"/>
    <w:rsid w:val="002D2D97"/>
    <w:rsid w:val="002D32DD"/>
    <w:rsid w:val="002D358F"/>
    <w:rsid w:val="002D36EC"/>
    <w:rsid w:val="002D38F1"/>
    <w:rsid w:val="002D3BCD"/>
    <w:rsid w:val="002D4107"/>
    <w:rsid w:val="002D4AA7"/>
    <w:rsid w:val="002D4BC3"/>
    <w:rsid w:val="002D4D5A"/>
    <w:rsid w:val="002D5356"/>
    <w:rsid w:val="002D5665"/>
    <w:rsid w:val="002D591C"/>
    <w:rsid w:val="002D5FA9"/>
    <w:rsid w:val="002D69C8"/>
    <w:rsid w:val="002D6C7B"/>
    <w:rsid w:val="002D6E2D"/>
    <w:rsid w:val="002D6E99"/>
    <w:rsid w:val="002D6EF6"/>
    <w:rsid w:val="002D735E"/>
    <w:rsid w:val="002D7383"/>
    <w:rsid w:val="002D769A"/>
    <w:rsid w:val="002D7CB3"/>
    <w:rsid w:val="002D7EB0"/>
    <w:rsid w:val="002E1356"/>
    <w:rsid w:val="002E1AB2"/>
    <w:rsid w:val="002E1BC6"/>
    <w:rsid w:val="002E238D"/>
    <w:rsid w:val="002E2A6A"/>
    <w:rsid w:val="002E2AA0"/>
    <w:rsid w:val="002E2B8B"/>
    <w:rsid w:val="002E39A3"/>
    <w:rsid w:val="002E3F1C"/>
    <w:rsid w:val="002E4062"/>
    <w:rsid w:val="002E41CA"/>
    <w:rsid w:val="002E41F6"/>
    <w:rsid w:val="002E420B"/>
    <w:rsid w:val="002E443D"/>
    <w:rsid w:val="002E4494"/>
    <w:rsid w:val="002E4514"/>
    <w:rsid w:val="002E56CB"/>
    <w:rsid w:val="002E5745"/>
    <w:rsid w:val="002E659A"/>
    <w:rsid w:val="002E695C"/>
    <w:rsid w:val="002E6E4C"/>
    <w:rsid w:val="002E7011"/>
    <w:rsid w:val="002E7056"/>
    <w:rsid w:val="002E714A"/>
    <w:rsid w:val="002E7171"/>
    <w:rsid w:val="002E74F9"/>
    <w:rsid w:val="002E7B4D"/>
    <w:rsid w:val="002E7D65"/>
    <w:rsid w:val="002F06F7"/>
    <w:rsid w:val="002F0CB2"/>
    <w:rsid w:val="002F0E88"/>
    <w:rsid w:val="002F0EA9"/>
    <w:rsid w:val="002F0FCF"/>
    <w:rsid w:val="002F105A"/>
    <w:rsid w:val="002F1263"/>
    <w:rsid w:val="002F1C7A"/>
    <w:rsid w:val="002F2521"/>
    <w:rsid w:val="002F26BF"/>
    <w:rsid w:val="002F274F"/>
    <w:rsid w:val="002F29A9"/>
    <w:rsid w:val="002F2EA2"/>
    <w:rsid w:val="002F2EE8"/>
    <w:rsid w:val="002F3014"/>
    <w:rsid w:val="002F32F2"/>
    <w:rsid w:val="002F3880"/>
    <w:rsid w:val="002F3937"/>
    <w:rsid w:val="002F3BE0"/>
    <w:rsid w:val="002F3C73"/>
    <w:rsid w:val="002F43D9"/>
    <w:rsid w:val="002F4EAB"/>
    <w:rsid w:val="002F547D"/>
    <w:rsid w:val="002F573F"/>
    <w:rsid w:val="002F58F1"/>
    <w:rsid w:val="002F611E"/>
    <w:rsid w:val="002F66EC"/>
    <w:rsid w:val="002F6800"/>
    <w:rsid w:val="002F6BB1"/>
    <w:rsid w:val="002F76E6"/>
    <w:rsid w:val="002F7729"/>
    <w:rsid w:val="002F7989"/>
    <w:rsid w:val="002F7BFB"/>
    <w:rsid w:val="002F7E4B"/>
    <w:rsid w:val="0030036D"/>
    <w:rsid w:val="00300396"/>
    <w:rsid w:val="003006AB"/>
    <w:rsid w:val="00300B28"/>
    <w:rsid w:val="00300C2E"/>
    <w:rsid w:val="00300F27"/>
    <w:rsid w:val="00300F77"/>
    <w:rsid w:val="00301006"/>
    <w:rsid w:val="00301E45"/>
    <w:rsid w:val="003020BE"/>
    <w:rsid w:val="0030227E"/>
    <w:rsid w:val="003024EA"/>
    <w:rsid w:val="00303966"/>
    <w:rsid w:val="00303A44"/>
    <w:rsid w:val="003040E7"/>
    <w:rsid w:val="003042A8"/>
    <w:rsid w:val="003045ED"/>
    <w:rsid w:val="00304C83"/>
    <w:rsid w:val="00304E29"/>
    <w:rsid w:val="003055F0"/>
    <w:rsid w:val="00305627"/>
    <w:rsid w:val="0030568E"/>
    <w:rsid w:val="00305756"/>
    <w:rsid w:val="0030589F"/>
    <w:rsid w:val="00305C0C"/>
    <w:rsid w:val="00305F63"/>
    <w:rsid w:val="0030638B"/>
    <w:rsid w:val="00306399"/>
    <w:rsid w:val="003064AF"/>
    <w:rsid w:val="003068D8"/>
    <w:rsid w:val="00306935"/>
    <w:rsid w:val="00306D9D"/>
    <w:rsid w:val="00306EF0"/>
    <w:rsid w:val="0030726B"/>
    <w:rsid w:val="00307E88"/>
    <w:rsid w:val="003100E8"/>
    <w:rsid w:val="00310562"/>
    <w:rsid w:val="003106FD"/>
    <w:rsid w:val="003107A1"/>
    <w:rsid w:val="00310997"/>
    <w:rsid w:val="00310D45"/>
    <w:rsid w:val="00310D74"/>
    <w:rsid w:val="00310D79"/>
    <w:rsid w:val="00310EDC"/>
    <w:rsid w:val="00312A0A"/>
    <w:rsid w:val="00312A94"/>
    <w:rsid w:val="00312AC4"/>
    <w:rsid w:val="0031311D"/>
    <w:rsid w:val="00313742"/>
    <w:rsid w:val="003138A8"/>
    <w:rsid w:val="00313C12"/>
    <w:rsid w:val="00313CC2"/>
    <w:rsid w:val="00313D3B"/>
    <w:rsid w:val="00313DDF"/>
    <w:rsid w:val="0031432C"/>
    <w:rsid w:val="003148CD"/>
    <w:rsid w:val="00314D6B"/>
    <w:rsid w:val="00314F5B"/>
    <w:rsid w:val="0031541F"/>
    <w:rsid w:val="00315E68"/>
    <w:rsid w:val="0031612A"/>
    <w:rsid w:val="0031626F"/>
    <w:rsid w:val="00316FB4"/>
    <w:rsid w:val="003170DE"/>
    <w:rsid w:val="003179F9"/>
    <w:rsid w:val="00317BC9"/>
    <w:rsid w:val="00317E03"/>
    <w:rsid w:val="00320388"/>
    <w:rsid w:val="003205B7"/>
    <w:rsid w:val="00320855"/>
    <w:rsid w:val="0032157C"/>
    <w:rsid w:val="003216F3"/>
    <w:rsid w:val="0032175A"/>
    <w:rsid w:val="00321AA8"/>
    <w:rsid w:val="00322525"/>
    <w:rsid w:val="00322F0D"/>
    <w:rsid w:val="00323651"/>
    <w:rsid w:val="003236E1"/>
    <w:rsid w:val="003236E9"/>
    <w:rsid w:val="00324178"/>
    <w:rsid w:val="0032419E"/>
    <w:rsid w:val="00324240"/>
    <w:rsid w:val="00324691"/>
    <w:rsid w:val="003246CA"/>
    <w:rsid w:val="003246D7"/>
    <w:rsid w:val="0032489E"/>
    <w:rsid w:val="003248D5"/>
    <w:rsid w:val="00324B95"/>
    <w:rsid w:val="00324EA6"/>
    <w:rsid w:val="00325B1C"/>
    <w:rsid w:val="00325C86"/>
    <w:rsid w:val="00325DFE"/>
    <w:rsid w:val="00326030"/>
    <w:rsid w:val="00326439"/>
    <w:rsid w:val="003264A8"/>
    <w:rsid w:val="003265CA"/>
    <w:rsid w:val="003268BE"/>
    <w:rsid w:val="003269F3"/>
    <w:rsid w:val="00327AF5"/>
    <w:rsid w:val="00327EA1"/>
    <w:rsid w:val="0033063D"/>
    <w:rsid w:val="00330A5C"/>
    <w:rsid w:val="00330A8D"/>
    <w:rsid w:val="00330BFC"/>
    <w:rsid w:val="00330F5E"/>
    <w:rsid w:val="00330F7A"/>
    <w:rsid w:val="0033134A"/>
    <w:rsid w:val="0033146E"/>
    <w:rsid w:val="0033161A"/>
    <w:rsid w:val="00331924"/>
    <w:rsid w:val="003319D1"/>
    <w:rsid w:val="00331EFA"/>
    <w:rsid w:val="003323DA"/>
    <w:rsid w:val="0033258B"/>
    <w:rsid w:val="00332676"/>
    <w:rsid w:val="003327F8"/>
    <w:rsid w:val="0033282F"/>
    <w:rsid w:val="0033304A"/>
    <w:rsid w:val="00333764"/>
    <w:rsid w:val="003338C0"/>
    <w:rsid w:val="00333B06"/>
    <w:rsid w:val="00333C48"/>
    <w:rsid w:val="003345B7"/>
    <w:rsid w:val="0033496C"/>
    <w:rsid w:val="00334E86"/>
    <w:rsid w:val="00334EE2"/>
    <w:rsid w:val="00335037"/>
    <w:rsid w:val="00335065"/>
    <w:rsid w:val="003358FA"/>
    <w:rsid w:val="00335CB5"/>
    <w:rsid w:val="00335D53"/>
    <w:rsid w:val="003363E6"/>
    <w:rsid w:val="00336B06"/>
    <w:rsid w:val="00337091"/>
    <w:rsid w:val="003370A9"/>
    <w:rsid w:val="00337467"/>
    <w:rsid w:val="003402B8"/>
    <w:rsid w:val="0034047A"/>
    <w:rsid w:val="00340826"/>
    <w:rsid w:val="00340C12"/>
    <w:rsid w:val="00340EFA"/>
    <w:rsid w:val="00340EFC"/>
    <w:rsid w:val="0034162D"/>
    <w:rsid w:val="0034198B"/>
    <w:rsid w:val="00341A1D"/>
    <w:rsid w:val="00341B95"/>
    <w:rsid w:val="00341F2A"/>
    <w:rsid w:val="00342029"/>
    <w:rsid w:val="00342216"/>
    <w:rsid w:val="00342475"/>
    <w:rsid w:val="003424A7"/>
    <w:rsid w:val="00343146"/>
    <w:rsid w:val="00343330"/>
    <w:rsid w:val="003435A4"/>
    <w:rsid w:val="00343747"/>
    <w:rsid w:val="003437F7"/>
    <w:rsid w:val="003439EE"/>
    <w:rsid w:val="00343BE1"/>
    <w:rsid w:val="00343D27"/>
    <w:rsid w:val="00344097"/>
    <w:rsid w:val="003440D4"/>
    <w:rsid w:val="00344465"/>
    <w:rsid w:val="0034489B"/>
    <w:rsid w:val="00344CD7"/>
    <w:rsid w:val="0034521D"/>
    <w:rsid w:val="0034553E"/>
    <w:rsid w:val="00345AA3"/>
    <w:rsid w:val="00346720"/>
    <w:rsid w:val="003467C6"/>
    <w:rsid w:val="003474CA"/>
    <w:rsid w:val="00347538"/>
    <w:rsid w:val="00347584"/>
    <w:rsid w:val="00347832"/>
    <w:rsid w:val="00347C91"/>
    <w:rsid w:val="003507FD"/>
    <w:rsid w:val="00350F0A"/>
    <w:rsid w:val="00351719"/>
    <w:rsid w:val="00352466"/>
    <w:rsid w:val="00352660"/>
    <w:rsid w:val="00352769"/>
    <w:rsid w:val="003527AA"/>
    <w:rsid w:val="00352852"/>
    <w:rsid w:val="003528E5"/>
    <w:rsid w:val="00352FE2"/>
    <w:rsid w:val="0035314B"/>
    <w:rsid w:val="00353297"/>
    <w:rsid w:val="00353943"/>
    <w:rsid w:val="00353E35"/>
    <w:rsid w:val="003540AC"/>
    <w:rsid w:val="003540E9"/>
    <w:rsid w:val="00354221"/>
    <w:rsid w:val="0035449C"/>
    <w:rsid w:val="00354A08"/>
    <w:rsid w:val="00354FC4"/>
    <w:rsid w:val="0035502A"/>
    <w:rsid w:val="0035598E"/>
    <w:rsid w:val="0035609E"/>
    <w:rsid w:val="0035633B"/>
    <w:rsid w:val="00356356"/>
    <w:rsid w:val="00356D15"/>
    <w:rsid w:val="00357074"/>
    <w:rsid w:val="003575A2"/>
    <w:rsid w:val="003601B1"/>
    <w:rsid w:val="00360C9A"/>
    <w:rsid w:val="0036103D"/>
    <w:rsid w:val="0036125D"/>
    <w:rsid w:val="003614A5"/>
    <w:rsid w:val="00361522"/>
    <w:rsid w:val="0036218B"/>
    <w:rsid w:val="00362202"/>
    <w:rsid w:val="00362503"/>
    <w:rsid w:val="00362633"/>
    <w:rsid w:val="0036349F"/>
    <w:rsid w:val="003641C1"/>
    <w:rsid w:val="003648A3"/>
    <w:rsid w:val="00364921"/>
    <w:rsid w:val="003650B5"/>
    <w:rsid w:val="00365274"/>
    <w:rsid w:val="00365A26"/>
    <w:rsid w:val="00365B74"/>
    <w:rsid w:val="00365E9B"/>
    <w:rsid w:val="003660F9"/>
    <w:rsid w:val="0036637B"/>
    <w:rsid w:val="003668BC"/>
    <w:rsid w:val="0036695D"/>
    <w:rsid w:val="00366F00"/>
    <w:rsid w:val="003679AD"/>
    <w:rsid w:val="00367B57"/>
    <w:rsid w:val="003705A9"/>
    <w:rsid w:val="003709C6"/>
    <w:rsid w:val="00371152"/>
    <w:rsid w:val="0037172E"/>
    <w:rsid w:val="0037191F"/>
    <w:rsid w:val="003719BC"/>
    <w:rsid w:val="003724F1"/>
    <w:rsid w:val="003730CB"/>
    <w:rsid w:val="003733F4"/>
    <w:rsid w:val="00373705"/>
    <w:rsid w:val="0037397C"/>
    <w:rsid w:val="00373A0A"/>
    <w:rsid w:val="00373ADD"/>
    <w:rsid w:val="003740D9"/>
    <w:rsid w:val="0037447A"/>
    <w:rsid w:val="003746C1"/>
    <w:rsid w:val="0037497C"/>
    <w:rsid w:val="00374AC1"/>
    <w:rsid w:val="00374B8F"/>
    <w:rsid w:val="00374FFF"/>
    <w:rsid w:val="00375549"/>
    <w:rsid w:val="00375ABE"/>
    <w:rsid w:val="00375C6A"/>
    <w:rsid w:val="00376D87"/>
    <w:rsid w:val="0037773A"/>
    <w:rsid w:val="00377A19"/>
    <w:rsid w:val="00377B3C"/>
    <w:rsid w:val="00377B91"/>
    <w:rsid w:val="003801E4"/>
    <w:rsid w:val="003804D1"/>
    <w:rsid w:val="00380774"/>
    <w:rsid w:val="003809FD"/>
    <w:rsid w:val="00380B5F"/>
    <w:rsid w:val="003810EF"/>
    <w:rsid w:val="003815D4"/>
    <w:rsid w:val="003817EE"/>
    <w:rsid w:val="00381BEF"/>
    <w:rsid w:val="00381E55"/>
    <w:rsid w:val="0038218F"/>
    <w:rsid w:val="00382250"/>
    <w:rsid w:val="0038226B"/>
    <w:rsid w:val="0038248E"/>
    <w:rsid w:val="0038283A"/>
    <w:rsid w:val="0038285B"/>
    <w:rsid w:val="00382F6B"/>
    <w:rsid w:val="003832F0"/>
    <w:rsid w:val="00383482"/>
    <w:rsid w:val="003836EC"/>
    <w:rsid w:val="003839B3"/>
    <w:rsid w:val="00384C83"/>
    <w:rsid w:val="00385501"/>
    <w:rsid w:val="00385768"/>
    <w:rsid w:val="003858B5"/>
    <w:rsid w:val="00385F08"/>
    <w:rsid w:val="003862B5"/>
    <w:rsid w:val="0038640F"/>
    <w:rsid w:val="003864E7"/>
    <w:rsid w:val="00386ED8"/>
    <w:rsid w:val="00386EF6"/>
    <w:rsid w:val="00387340"/>
    <w:rsid w:val="0038743C"/>
    <w:rsid w:val="00387634"/>
    <w:rsid w:val="00387718"/>
    <w:rsid w:val="0038782F"/>
    <w:rsid w:val="00390181"/>
    <w:rsid w:val="003901C9"/>
    <w:rsid w:val="00390533"/>
    <w:rsid w:val="003905F9"/>
    <w:rsid w:val="003909DC"/>
    <w:rsid w:val="00390C0B"/>
    <w:rsid w:val="0039113B"/>
    <w:rsid w:val="003911CA"/>
    <w:rsid w:val="00391AFA"/>
    <w:rsid w:val="00391BA8"/>
    <w:rsid w:val="00391F81"/>
    <w:rsid w:val="003923BB"/>
    <w:rsid w:val="003923F6"/>
    <w:rsid w:val="00392451"/>
    <w:rsid w:val="003929AA"/>
    <w:rsid w:val="00392E63"/>
    <w:rsid w:val="0039313B"/>
    <w:rsid w:val="003937D1"/>
    <w:rsid w:val="00393A6C"/>
    <w:rsid w:val="00393B4D"/>
    <w:rsid w:val="003943BC"/>
    <w:rsid w:val="00394530"/>
    <w:rsid w:val="00394F41"/>
    <w:rsid w:val="00395656"/>
    <w:rsid w:val="003963B8"/>
    <w:rsid w:val="00396BC3"/>
    <w:rsid w:val="00396DA9"/>
    <w:rsid w:val="00396E39"/>
    <w:rsid w:val="00396EAF"/>
    <w:rsid w:val="0039700B"/>
    <w:rsid w:val="0039735E"/>
    <w:rsid w:val="003979CF"/>
    <w:rsid w:val="00397BB7"/>
    <w:rsid w:val="00397CCC"/>
    <w:rsid w:val="003A0926"/>
    <w:rsid w:val="003A0946"/>
    <w:rsid w:val="003A0E07"/>
    <w:rsid w:val="003A0F44"/>
    <w:rsid w:val="003A158C"/>
    <w:rsid w:val="003A1930"/>
    <w:rsid w:val="003A1D79"/>
    <w:rsid w:val="003A208A"/>
    <w:rsid w:val="003A2A29"/>
    <w:rsid w:val="003A2A3C"/>
    <w:rsid w:val="003A2BBA"/>
    <w:rsid w:val="003A3612"/>
    <w:rsid w:val="003A3947"/>
    <w:rsid w:val="003A3AB8"/>
    <w:rsid w:val="003A4712"/>
    <w:rsid w:val="003A4810"/>
    <w:rsid w:val="003A48F4"/>
    <w:rsid w:val="003A4F9C"/>
    <w:rsid w:val="003A4FAE"/>
    <w:rsid w:val="003A50F8"/>
    <w:rsid w:val="003A53D7"/>
    <w:rsid w:val="003A5497"/>
    <w:rsid w:val="003A56D9"/>
    <w:rsid w:val="003A5907"/>
    <w:rsid w:val="003A59BB"/>
    <w:rsid w:val="003A5E5C"/>
    <w:rsid w:val="003A6216"/>
    <w:rsid w:val="003A65FC"/>
    <w:rsid w:val="003A68CB"/>
    <w:rsid w:val="003A7B84"/>
    <w:rsid w:val="003A7C20"/>
    <w:rsid w:val="003A7D26"/>
    <w:rsid w:val="003B013F"/>
    <w:rsid w:val="003B0343"/>
    <w:rsid w:val="003B05A3"/>
    <w:rsid w:val="003B0832"/>
    <w:rsid w:val="003B0D81"/>
    <w:rsid w:val="003B11E2"/>
    <w:rsid w:val="003B11F8"/>
    <w:rsid w:val="003B1627"/>
    <w:rsid w:val="003B19FD"/>
    <w:rsid w:val="003B1A03"/>
    <w:rsid w:val="003B1C44"/>
    <w:rsid w:val="003B215B"/>
    <w:rsid w:val="003B28E7"/>
    <w:rsid w:val="003B2AFC"/>
    <w:rsid w:val="003B2CCC"/>
    <w:rsid w:val="003B2CCF"/>
    <w:rsid w:val="003B2D26"/>
    <w:rsid w:val="003B318A"/>
    <w:rsid w:val="003B3419"/>
    <w:rsid w:val="003B34ED"/>
    <w:rsid w:val="003B3781"/>
    <w:rsid w:val="003B3859"/>
    <w:rsid w:val="003B38EE"/>
    <w:rsid w:val="003B3B51"/>
    <w:rsid w:val="003B3B58"/>
    <w:rsid w:val="003B3C12"/>
    <w:rsid w:val="003B3C25"/>
    <w:rsid w:val="003B3C36"/>
    <w:rsid w:val="003B4AD4"/>
    <w:rsid w:val="003B4C48"/>
    <w:rsid w:val="003B52D4"/>
    <w:rsid w:val="003B54B3"/>
    <w:rsid w:val="003B54E7"/>
    <w:rsid w:val="003B559C"/>
    <w:rsid w:val="003B611A"/>
    <w:rsid w:val="003B6772"/>
    <w:rsid w:val="003B6C45"/>
    <w:rsid w:val="003B6DDB"/>
    <w:rsid w:val="003B6DEB"/>
    <w:rsid w:val="003B70BC"/>
    <w:rsid w:val="003B73DC"/>
    <w:rsid w:val="003B77B8"/>
    <w:rsid w:val="003B7943"/>
    <w:rsid w:val="003B7DBB"/>
    <w:rsid w:val="003B7E63"/>
    <w:rsid w:val="003B7F6B"/>
    <w:rsid w:val="003C0C17"/>
    <w:rsid w:val="003C0DF8"/>
    <w:rsid w:val="003C1121"/>
    <w:rsid w:val="003C13C1"/>
    <w:rsid w:val="003C16C4"/>
    <w:rsid w:val="003C17B6"/>
    <w:rsid w:val="003C18A6"/>
    <w:rsid w:val="003C2386"/>
    <w:rsid w:val="003C23EF"/>
    <w:rsid w:val="003C2A78"/>
    <w:rsid w:val="003C2E40"/>
    <w:rsid w:val="003C3883"/>
    <w:rsid w:val="003C3D7D"/>
    <w:rsid w:val="003C3F33"/>
    <w:rsid w:val="003C4466"/>
    <w:rsid w:val="003C446D"/>
    <w:rsid w:val="003C44F3"/>
    <w:rsid w:val="003C450D"/>
    <w:rsid w:val="003C468C"/>
    <w:rsid w:val="003C46F4"/>
    <w:rsid w:val="003C4885"/>
    <w:rsid w:val="003C4C6E"/>
    <w:rsid w:val="003C4D59"/>
    <w:rsid w:val="003C4EAB"/>
    <w:rsid w:val="003C4F02"/>
    <w:rsid w:val="003C56DA"/>
    <w:rsid w:val="003C56DF"/>
    <w:rsid w:val="003C6123"/>
    <w:rsid w:val="003C6295"/>
    <w:rsid w:val="003C6AD4"/>
    <w:rsid w:val="003C6AD8"/>
    <w:rsid w:val="003C6E15"/>
    <w:rsid w:val="003C761E"/>
    <w:rsid w:val="003C7B31"/>
    <w:rsid w:val="003D0392"/>
    <w:rsid w:val="003D0485"/>
    <w:rsid w:val="003D055B"/>
    <w:rsid w:val="003D0E7D"/>
    <w:rsid w:val="003D0EFD"/>
    <w:rsid w:val="003D0F12"/>
    <w:rsid w:val="003D10B0"/>
    <w:rsid w:val="003D1696"/>
    <w:rsid w:val="003D1705"/>
    <w:rsid w:val="003D18D9"/>
    <w:rsid w:val="003D1955"/>
    <w:rsid w:val="003D1CF6"/>
    <w:rsid w:val="003D1D40"/>
    <w:rsid w:val="003D219F"/>
    <w:rsid w:val="003D2BD5"/>
    <w:rsid w:val="003D36DF"/>
    <w:rsid w:val="003D3AAE"/>
    <w:rsid w:val="003D4275"/>
    <w:rsid w:val="003D42D4"/>
    <w:rsid w:val="003D4D84"/>
    <w:rsid w:val="003D4FDE"/>
    <w:rsid w:val="003D5215"/>
    <w:rsid w:val="003D5629"/>
    <w:rsid w:val="003D587F"/>
    <w:rsid w:val="003D5D5B"/>
    <w:rsid w:val="003D5D76"/>
    <w:rsid w:val="003D5E2F"/>
    <w:rsid w:val="003D6C97"/>
    <w:rsid w:val="003D6E32"/>
    <w:rsid w:val="003D6FEB"/>
    <w:rsid w:val="003D7084"/>
    <w:rsid w:val="003D7429"/>
    <w:rsid w:val="003D7536"/>
    <w:rsid w:val="003D7DB8"/>
    <w:rsid w:val="003E0110"/>
    <w:rsid w:val="003E0117"/>
    <w:rsid w:val="003E05E3"/>
    <w:rsid w:val="003E0670"/>
    <w:rsid w:val="003E070A"/>
    <w:rsid w:val="003E0BDF"/>
    <w:rsid w:val="003E0F15"/>
    <w:rsid w:val="003E10AE"/>
    <w:rsid w:val="003E1A60"/>
    <w:rsid w:val="003E1B96"/>
    <w:rsid w:val="003E1C73"/>
    <w:rsid w:val="003E20B1"/>
    <w:rsid w:val="003E222A"/>
    <w:rsid w:val="003E27B7"/>
    <w:rsid w:val="003E2E4F"/>
    <w:rsid w:val="003E344F"/>
    <w:rsid w:val="003E37AF"/>
    <w:rsid w:val="003E384E"/>
    <w:rsid w:val="003E3C04"/>
    <w:rsid w:val="003E3C0D"/>
    <w:rsid w:val="003E3E02"/>
    <w:rsid w:val="003E3F4F"/>
    <w:rsid w:val="003E45C8"/>
    <w:rsid w:val="003E48D5"/>
    <w:rsid w:val="003E507F"/>
    <w:rsid w:val="003E50DA"/>
    <w:rsid w:val="003E53FB"/>
    <w:rsid w:val="003E552F"/>
    <w:rsid w:val="003E5B39"/>
    <w:rsid w:val="003E5E42"/>
    <w:rsid w:val="003E673C"/>
    <w:rsid w:val="003E6A71"/>
    <w:rsid w:val="003E6CA1"/>
    <w:rsid w:val="003E6D2B"/>
    <w:rsid w:val="003E6F84"/>
    <w:rsid w:val="003E71DF"/>
    <w:rsid w:val="003E7728"/>
    <w:rsid w:val="003E780D"/>
    <w:rsid w:val="003E79B9"/>
    <w:rsid w:val="003E7FBC"/>
    <w:rsid w:val="003F01A1"/>
    <w:rsid w:val="003F0561"/>
    <w:rsid w:val="003F06B8"/>
    <w:rsid w:val="003F0816"/>
    <w:rsid w:val="003F0BD8"/>
    <w:rsid w:val="003F0BF9"/>
    <w:rsid w:val="003F0E2D"/>
    <w:rsid w:val="003F1009"/>
    <w:rsid w:val="003F1098"/>
    <w:rsid w:val="003F13EA"/>
    <w:rsid w:val="003F232F"/>
    <w:rsid w:val="003F2748"/>
    <w:rsid w:val="003F28F0"/>
    <w:rsid w:val="003F2BD4"/>
    <w:rsid w:val="003F2CED"/>
    <w:rsid w:val="003F2E1E"/>
    <w:rsid w:val="003F2F48"/>
    <w:rsid w:val="003F3388"/>
    <w:rsid w:val="003F33DB"/>
    <w:rsid w:val="003F3A5A"/>
    <w:rsid w:val="003F3B42"/>
    <w:rsid w:val="003F4031"/>
    <w:rsid w:val="003F486D"/>
    <w:rsid w:val="003F48C0"/>
    <w:rsid w:val="003F5007"/>
    <w:rsid w:val="003F5780"/>
    <w:rsid w:val="003F61B3"/>
    <w:rsid w:val="003F6350"/>
    <w:rsid w:val="003F65EB"/>
    <w:rsid w:val="003F6629"/>
    <w:rsid w:val="003F67CC"/>
    <w:rsid w:val="003F696B"/>
    <w:rsid w:val="003F6B61"/>
    <w:rsid w:val="003F6C7B"/>
    <w:rsid w:val="003F6E70"/>
    <w:rsid w:val="003F6E78"/>
    <w:rsid w:val="003F6E8E"/>
    <w:rsid w:val="003F6EBB"/>
    <w:rsid w:val="003F7464"/>
    <w:rsid w:val="003F75F4"/>
    <w:rsid w:val="003F7678"/>
    <w:rsid w:val="003F7A4A"/>
    <w:rsid w:val="003F7B0D"/>
    <w:rsid w:val="003F7E5C"/>
    <w:rsid w:val="003F7F35"/>
    <w:rsid w:val="004015A3"/>
    <w:rsid w:val="00402370"/>
    <w:rsid w:val="00402432"/>
    <w:rsid w:val="004028AE"/>
    <w:rsid w:val="00402AAA"/>
    <w:rsid w:val="00402F1C"/>
    <w:rsid w:val="0040303C"/>
    <w:rsid w:val="00403046"/>
    <w:rsid w:val="004030CD"/>
    <w:rsid w:val="00403428"/>
    <w:rsid w:val="00403488"/>
    <w:rsid w:val="00403588"/>
    <w:rsid w:val="00403994"/>
    <w:rsid w:val="00403D19"/>
    <w:rsid w:val="00403DF0"/>
    <w:rsid w:val="00403E09"/>
    <w:rsid w:val="0040406B"/>
    <w:rsid w:val="004042A3"/>
    <w:rsid w:val="0040452A"/>
    <w:rsid w:val="004049A5"/>
    <w:rsid w:val="00404A47"/>
    <w:rsid w:val="00404A94"/>
    <w:rsid w:val="00404D2C"/>
    <w:rsid w:val="004055D1"/>
    <w:rsid w:val="0040588E"/>
    <w:rsid w:val="00405D83"/>
    <w:rsid w:val="004062AE"/>
    <w:rsid w:val="0040658A"/>
    <w:rsid w:val="0040692E"/>
    <w:rsid w:val="00406DC4"/>
    <w:rsid w:val="0040708E"/>
    <w:rsid w:val="004070C4"/>
    <w:rsid w:val="0040733B"/>
    <w:rsid w:val="00407386"/>
    <w:rsid w:val="0040741A"/>
    <w:rsid w:val="00407607"/>
    <w:rsid w:val="0040776F"/>
    <w:rsid w:val="00411044"/>
    <w:rsid w:val="004113FA"/>
    <w:rsid w:val="00412651"/>
    <w:rsid w:val="00412657"/>
    <w:rsid w:val="00412B87"/>
    <w:rsid w:val="00412C74"/>
    <w:rsid w:val="00412E11"/>
    <w:rsid w:val="00412E63"/>
    <w:rsid w:val="00412EC6"/>
    <w:rsid w:val="00412EEA"/>
    <w:rsid w:val="00413706"/>
    <w:rsid w:val="00413879"/>
    <w:rsid w:val="00413D58"/>
    <w:rsid w:val="004145E2"/>
    <w:rsid w:val="0041464B"/>
    <w:rsid w:val="00414980"/>
    <w:rsid w:val="00414A7B"/>
    <w:rsid w:val="00414A99"/>
    <w:rsid w:val="00414C40"/>
    <w:rsid w:val="004152D0"/>
    <w:rsid w:val="004157DA"/>
    <w:rsid w:val="0041583F"/>
    <w:rsid w:val="00415B29"/>
    <w:rsid w:val="00415F66"/>
    <w:rsid w:val="00416A8E"/>
    <w:rsid w:val="00416BE9"/>
    <w:rsid w:val="00416D29"/>
    <w:rsid w:val="00417218"/>
    <w:rsid w:val="004173BE"/>
    <w:rsid w:val="00417449"/>
    <w:rsid w:val="0041752C"/>
    <w:rsid w:val="004176E9"/>
    <w:rsid w:val="00417CED"/>
    <w:rsid w:val="00417EF8"/>
    <w:rsid w:val="004200B6"/>
    <w:rsid w:val="00420383"/>
    <w:rsid w:val="0042057E"/>
    <w:rsid w:val="004207DD"/>
    <w:rsid w:val="004207E7"/>
    <w:rsid w:val="0042094C"/>
    <w:rsid w:val="00420C3E"/>
    <w:rsid w:val="004212EE"/>
    <w:rsid w:val="00421ABA"/>
    <w:rsid w:val="00421B97"/>
    <w:rsid w:val="00421BAD"/>
    <w:rsid w:val="00421BD9"/>
    <w:rsid w:val="00421D54"/>
    <w:rsid w:val="00421EBE"/>
    <w:rsid w:val="00422B3B"/>
    <w:rsid w:val="00422B62"/>
    <w:rsid w:val="00422C82"/>
    <w:rsid w:val="0042360E"/>
    <w:rsid w:val="00423AA1"/>
    <w:rsid w:val="00423BE5"/>
    <w:rsid w:val="004242E3"/>
    <w:rsid w:val="004247B2"/>
    <w:rsid w:val="004247CB"/>
    <w:rsid w:val="00424A62"/>
    <w:rsid w:val="00424B7B"/>
    <w:rsid w:val="00425500"/>
    <w:rsid w:val="0042554D"/>
    <w:rsid w:val="004256A4"/>
    <w:rsid w:val="004256F6"/>
    <w:rsid w:val="0042570E"/>
    <w:rsid w:val="0042633D"/>
    <w:rsid w:val="004263BF"/>
    <w:rsid w:val="0042696F"/>
    <w:rsid w:val="00426996"/>
    <w:rsid w:val="00426D0B"/>
    <w:rsid w:val="00426F9A"/>
    <w:rsid w:val="004276A1"/>
    <w:rsid w:val="0042779D"/>
    <w:rsid w:val="00427A6C"/>
    <w:rsid w:val="00427B0C"/>
    <w:rsid w:val="00430498"/>
    <w:rsid w:val="004306C3"/>
    <w:rsid w:val="00430845"/>
    <w:rsid w:val="00430E3A"/>
    <w:rsid w:val="00430F20"/>
    <w:rsid w:val="0043102C"/>
    <w:rsid w:val="0043137D"/>
    <w:rsid w:val="00431592"/>
    <w:rsid w:val="004315AB"/>
    <w:rsid w:val="00432029"/>
    <w:rsid w:val="00432175"/>
    <w:rsid w:val="00432210"/>
    <w:rsid w:val="00432592"/>
    <w:rsid w:val="004325D6"/>
    <w:rsid w:val="00432675"/>
    <w:rsid w:val="00432BEF"/>
    <w:rsid w:val="00433713"/>
    <w:rsid w:val="00433B33"/>
    <w:rsid w:val="00433B6E"/>
    <w:rsid w:val="00433BEC"/>
    <w:rsid w:val="00433C22"/>
    <w:rsid w:val="00433D3A"/>
    <w:rsid w:val="00434166"/>
    <w:rsid w:val="0043436C"/>
    <w:rsid w:val="00434478"/>
    <w:rsid w:val="004348E4"/>
    <w:rsid w:val="00434BEF"/>
    <w:rsid w:val="004351FB"/>
    <w:rsid w:val="004353A6"/>
    <w:rsid w:val="00435869"/>
    <w:rsid w:val="00435A03"/>
    <w:rsid w:val="00435B1B"/>
    <w:rsid w:val="00435BC2"/>
    <w:rsid w:val="00435C6E"/>
    <w:rsid w:val="00435E95"/>
    <w:rsid w:val="00436005"/>
    <w:rsid w:val="00436171"/>
    <w:rsid w:val="00436C37"/>
    <w:rsid w:val="00436E29"/>
    <w:rsid w:val="00437035"/>
    <w:rsid w:val="0043720C"/>
    <w:rsid w:val="0043771E"/>
    <w:rsid w:val="00437880"/>
    <w:rsid w:val="00437C32"/>
    <w:rsid w:val="00437C3E"/>
    <w:rsid w:val="00437E8F"/>
    <w:rsid w:val="00437FEB"/>
    <w:rsid w:val="0044023C"/>
    <w:rsid w:val="00440B98"/>
    <w:rsid w:val="00440BA4"/>
    <w:rsid w:val="00440F74"/>
    <w:rsid w:val="00441709"/>
    <w:rsid w:val="00441ECC"/>
    <w:rsid w:val="0044266F"/>
    <w:rsid w:val="00442DAE"/>
    <w:rsid w:val="00442F10"/>
    <w:rsid w:val="00443117"/>
    <w:rsid w:val="00443497"/>
    <w:rsid w:val="004435BB"/>
    <w:rsid w:val="00443604"/>
    <w:rsid w:val="004437E2"/>
    <w:rsid w:val="00443AF7"/>
    <w:rsid w:val="00443C8A"/>
    <w:rsid w:val="00444127"/>
    <w:rsid w:val="0044436D"/>
    <w:rsid w:val="00444CB7"/>
    <w:rsid w:val="00444CE4"/>
    <w:rsid w:val="004453CE"/>
    <w:rsid w:val="00445518"/>
    <w:rsid w:val="00445579"/>
    <w:rsid w:val="004459F9"/>
    <w:rsid w:val="00446126"/>
    <w:rsid w:val="0044635D"/>
    <w:rsid w:val="00446C13"/>
    <w:rsid w:val="00446FDF"/>
    <w:rsid w:val="00447456"/>
    <w:rsid w:val="004475CC"/>
    <w:rsid w:val="0044778C"/>
    <w:rsid w:val="004477BC"/>
    <w:rsid w:val="00447BC0"/>
    <w:rsid w:val="004500C1"/>
    <w:rsid w:val="00450361"/>
    <w:rsid w:val="004504C9"/>
    <w:rsid w:val="0045082E"/>
    <w:rsid w:val="00450B3F"/>
    <w:rsid w:val="00450C6D"/>
    <w:rsid w:val="00451011"/>
    <w:rsid w:val="004512A5"/>
    <w:rsid w:val="004514B4"/>
    <w:rsid w:val="00451550"/>
    <w:rsid w:val="00451AA2"/>
    <w:rsid w:val="00451E6D"/>
    <w:rsid w:val="00452077"/>
    <w:rsid w:val="00452270"/>
    <w:rsid w:val="004522F3"/>
    <w:rsid w:val="00452DAA"/>
    <w:rsid w:val="0045326C"/>
    <w:rsid w:val="00453F46"/>
    <w:rsid w:val="004540DC"/>
    <w:rsid w:val="00454191"/>
    <w:rsid w:val="004541EC"/>
    <w:rsid w:val="0045430C"/>
    <w:rsid w:val="00454A1E"/>
    <w:rsid w:val="00454EE7"/>
    <w:rsid w:val="00454F41"/>
    <w:rsid w:val="00454FE2"/>
    <w:rsid w:val="004550B6"/>
    <w:rsid w:val="00455375"/>
    <w:rsid w:val="004553D8"/>
    <w:rsid w:val="004557EB"/>
    <w:rsid w:val="004558D0"/>
    <w:rsid w:val="00455E48"/>
    <w:rsid w:val="00455ED3"/>
    <w:rsid w:val="00455F31"/>
    <w:rsid w:val="0045675A"/>
    <w:rsid w:val="004567AC"/>
    <w:rsid w:val="004569B4"/>
    <w:rsid w:val="00456BB9"/>
    <w:rsid w:val="00456E6A"/>
    <w:rsid w:val="004575D3"/>
    <w:rsid w:val="00457B43"/>
    <w:rsid w:val="00457FA8"/>
    <w:rsid w:val="00460913"/>
    <w:rsid w:val="00460B67"/>
    <w:rsid w:val="00461070"/>
    <w:rsid w:val="0046147D"/>
    <w:rsid w:val="004615E6"/>
    <w:rsid w:val="00461BE2"/>
    <w:rsid w:val="00462C07"/>
    <w:rsid w:val="00462D7B"/>
    <w:rsid w:val="00462DE5"/>
    <w:rsid w:val="0046302B"/>
    <w:rsid w:val="00463304"/>
    <w:rsid w:val="004633DD"/>
    <w:rsid w:val="004637F7"/>
    <w:rsid w:val="004638B0"/>
    <w:rsid w:val="00463983"/>
    <w:rsid w:val="004639F2"/>
    <w:rsid w:val="00463BCE"/>
    <w:rsid w:val="00463DE0"/>
    <w:rsid w:val="0046432A"/>
    <w:rsid w:val="00464410"/>
    <w:rsid w:val="00464458"/>
    <w:rsid w:val="00464AF1"/>
    <w:rsid w:val="00464CC9"/>
    <w:rsid w:val="0046520B"/>
    <w:rsid w:val="004652EB"/>
    <w:rsid w:val="004654A0"/>
    <w:rsid w:val="00465662"/>
    <w:rsid w:val="00465865"/>
    <w:rsid w:val="00465993"/>
    <w:rsid w:val="00465A7B"/>
    <w:rsid w:val="00465B4F"/>
    <w:rsid w:val="00465BCC"/>
    <w:rsid w:val="00465C62"/>
    <w:rsid w:val="004661CF"/>
    <w:rsid w:val="004665B9"/>
    <w:rsid w:val="00466ABD"/>
    <w:rsid w:val="00466FB6"/>
    <w:rsid w:val="00467102"/>
    <w:rsid w:val="00467347"/>
    <w:rsid w:val="0046764B"/>
    <w:rsid w:val="004676C5"/>
    <w:rsid w:val="00467F1D"/>
    <w:rsid w:val="004700E7"/>
    <w:rsid w:val="004703CE"/>
    <w:rsid w:val="00470420"/>
    <w:rsid w:val="00470E9C"/>
    <w:rsid w:val="00470EB1"/>
    <w:rsid w:val="0047121F"/>
    <w:rsid w:val="0047133E"/>
    <w:rsid w:val="0047287F"/>
    <w:rsid w:val="0047308F"/>
    <w:rsid w:val="00473757"/>
    <w:rsid w:val="00473A1A"/>
    <w:rsid w:val="00473B63"/>
    <w:rsid w:val="00473D08"/>
    <w:rsid w:val="00473D93"/>
    <w:rsid w:val="00473FEE"/>
    <w:rsid w:val="004744DA"/>
    <w:rsid w:val="00474DE8"/>
    <w:rsid w:val="004757C0"/>
    <w:rsid w:val="00475C9B"/>
    <w:rsid w:val="00476702"/>
    <w:rsid w:val="00476716"/>
    <w:rsid w:val="00476AD7"/>
    <w:rsid w:val="00476DD7"/>
    <w:rsid w:val="00477392"/>
    <w:rsid w:val="00477962"/>
    <w:rsid w:val="00477D60"/>
    <w:rsid w:val="00480135"/>
    <w:rsid w:val="00480322"/>
    <w:rsid w:val="00480750"/>
    <w:rsid w:val="00480841"/>
    <w:rsid w:val="004808F0"/>
    <w:rsid w:val="00480A14"/>
    <w:rsid w:val="00480F0A"/>
    <w:rsid w:val="00481611"/>
    <w:rsid w:val="004817D6"/>
    <w:rsid w:val="0048193C"/>
    <w:rsid w:val="00481EAA"/>
    <w:rsid w:val="0048203A"/>
    <w:rsid w:val="00482797"/>
    <w:rsid w:val="0048289D"/>
    <w:rsid w:val="00483262"/>
    <w:rsid w:val="00483389"/>
    <w:rsid w:val="00483F79"/>
    <w:rsid w:val="00483FCE"/>
    <w:rsid w:val="00484040"/>
    <w:rsid w:val="00484353"/>
    <w:rsid w:val="00484D8B"/>
    <w:rsid w:val="0048501F"/>
    <w:rsid w:val="00485BB9"/>
    <w:rsid w:val="00485CD6"/>
    <w:rsid w:val="00485DBB"/>
    <w:rsid w:val="0048616F"/>
    <w:rsid w:val="0048637E"/>
    <w:rsid w:val="00486ECB"/>
    <w:rsid w:val="00486FED"/>
    <w:rsid w:val="004870C6"/>
    <w:rsid w:val="00487151"/>
    <w:rsid w:val="00487608"/>
    <w:rsid w:val="004876CE"/>
    <w:rsid w:val="00487A25"/>
    <w:rsid w:val="0049015C"/>
    <w:rsid w:val="004901DB"/>
    <w:rsid w:val="00490295"/>
    <w:rsid w:val="004902F4"/>
    <w:rsid w:val="00490377"/>
    <w:rsid w:val="0049059B"/>
    <w:rsid w:val="00490E35"/>
    <w:rsid w:val="004911F0"/>
    <w:rsid w:val="00491229"/>
    <w:rsid w:val="0049127C"/>
    <w:rsid w:val="004916A5"/>
    <w:rsid w:val="0049181D"/>
    <w:rsid w:val="004922AE"/>
    <w:rsid w:val="00492519"/>
    <w:rsid w:val="0049258D"/>
    <w:rsid w:val="004926AA"/>
    <w:rsid w:val="0049283E"/>
    <w:rsid w:val="00492B5B"/>
    <w:rsid w:val="00492BE6"/>
    <w:rsid w:val="00492FBF"/>
    <w:rsid w:val="00493324"/>
    <w:rsid w:val="004949FA"/>
    <w:rsid w:val="00494BD6"/>
    <w:rsid w:val="0049506D"/>
    <w:rsid w:val="00495149"/>
    <w:rsid w:val="00495211"/>
    <w:rsid w:val="004955E8"/>
    <w:rsid w:val="004956EC"/>
    <w:rsid w:val="00495B70"/>
    <w:rsid w:val="00495FD3"/>
    <w:rsid w:val="00496211"/>
    <w:rsid w:val="00496283"/>
    <w:rsid w:val="00496587"/>
    <w:rsid w:val="0049724E"/>
    <w:rsid w:val="004974BB"/>
    <w:rsid w:val="004977A6"/>
    <w:rsid w:val="00497CE3"/>
    <w:rsid w:val="004A0159"/>
    <w:rsid w:val="004A03B0"/>
    <w:rsid w:val="004A0418"/>
    <w:rsid w:val="004A0542"/>
    <w:rsid w:val="004A0E0F"/>
    <w:rsid w:val="004A1307"/>
    <w:rsid w:val="004A15E2"/>
    <w:rsid w:val="004A15E9"/>
    <w:rsid w:val="004A170F"/>
    <w:rsid w:val="004A1892"/>
    <w:rsid w:val="004A221A"/>
    <w:rsid w:val="004A24C5"/>
    <w:rsid w:val="004A2A6B"/>
    <w:rsid w:val="004A3186"/>
    <w:rsid w:val="004A33B9"/>
    <w:rsid w:val="004A3A21"/>
    <w:rsid w:val="004A3E99"/>
    <w:rsid w:val="004A4174"/>
    <w:rsid w:val="004A42F6"/>
    <w:rsid w:val="004A4307"/>
    <w:rsid w:val="004A45D5"/>
    <w:rsid w:val="004A4ABC"/>
    <w:rsid w:val="004A529F"/>
    <w:rsid w:val="004A5486"/>
    <w:rsid w:val="004A5792"/>
    <w:rsid w:val="004A5923"/>
    <w:rsid w:val="004A59E9"/>
    <w:rsid w:val="004A5B13"/>
    <w:rsid w:val="004A5C32"/>
    <w:rsid w:val="004A5E3F"/>
    <w:rsid w:val="004A6238"/>
    <w:rsid w:val="004A659B"/>
    <w:rsid w:val="004A67AC"/>
    <w:rsid w:val="004A6E3B"/>
    <w:rsid w:val="004A6EF7"/>
    <w:rsid w:val="004A726F"/>
    <w:rsid w:val="004A7A68"/>
    <w:rsid w:val="004A7CF9"/>
    <w:rsid w:val="004A7D30"/>
    <w:rsid w:val="004B0548"/>
    <w:rsid w:val="004B09F1"/>
    <w:rsid w:val="004B0AC8"/>
    <w:rsid w:val="004B1635"/>
    <w:rsid w:val="004B22C6"/>
    <w:rsid w:val="004B25F3"/>
    <w:rsid w:val="004B294F"/>
    <w:rsid w:val="004B2B75"/>
    <w:rsid w:val="004B2BEA"/>
    <w:rsid w:val="004B2FD4"/>
    <w:rsid w:val="004B3158"/>
    <w:rsid w:val="004B31CB"/>
    <w:rsid w:val="004B33AE"/>
    <w:rsid w:val="004B34DC"/>
    <w:rsid w:val="004B392A"/>
    <w:rsid w:val="004B3A9F"/>
    <w:rsid w:val="004B3D4A"/>
    <w:rsid w:val="004B44F8"/>
    <w:rsid w:val="004B4836"/>
    <w:rsid w:val="004B48AB"/>
    <w:rsid w:val="004B4FAA"/>
    <w:rsid w:val="004B509F"/>
    <w:rsid w:val="004B5B71"/>
    <w:rsid w:val="004B5D21"/>
    <w:rsid w:val="004B5EBB"/>
    <w:rsid w:val="004B611F"/>
    <w:rsid w:val="004B66DC"/>
    <w:rsid w:val="004B6961"/>
    <w:rsid w:val="004B6CE3"/>
    <w:rsid w:val="004B7274"/>
    <w:rsid w:val="004B72E4"/>
    <w:rsid w:val="004B7322"/>
    <w:rsid w:val="004B79F4"/>
    <w:rsid w:val="004B7A42"/>
    <w:rsid w:val="004B7A4F"/>
    <w:rsid w:val="004B7BF7"/>
    <w:rsid w:val="004B7CFD"/>
    <w:rsid w:val="004C03C8"/>
    <w:rsid w:val="004C0C03"/>
    <w:rsid w:val="004C0C08"/>
    <w:rsid w:val="004C0CD5"/>
    <w:rsid w:val="004C19AA"/>
    <w:rsid w:val="004C1AEF"/>
    <w:rsid w:val="004C1C77"/>
    <w:rsid w:val="004C1E36"/>
    <w:rsid w:val="004C1ED8"/>
    <w:rsid w:val="004C2021"/>
    <w:rsid w:val="004C25AE"/>
    <w:rsid w:val="004C2BCE"/>
    <w:rsid w:val="004C36AD"/>
    <w:rsid w:val="004C3A0A"/>
    <w:rsid w:val="004C3A7C"/>
    <w:rsid w:val="004C3A81"/>
    <w:rsid w:val="004C3BEE"/>
    <w:rsid w:val="004C3CF3"/>
    <w:rsid w:val="004C5026"/>
    <w:rsid w:val="004C5239"/>
    <w:rsid w:val="004C5292"/>
    <w:rsid w:val="004C54C5"/>
    <w:rsid w:val="004C58A6"/>
    <w:rsid w:val="004C5E87"/>
    <w:rsid w:val="004C649C"/>
    <w:rsid w:val="004C6553"/>
    <w:rsid w:val="004C6565"/>
    <w:rsid w:val="004C65E6"/>
    <w:rsid w:val="004C6628"/>
    <w:rsid w:val="004C686A"/>
    <w:rsid w:val="004C6B96"/>
    <w:rsid w:val="004C6EEE"/>
    <w:rsid w:val="004C6F9C"/>
    <w:rsid w:val="004C7720"/>
    <w:rsid w:val="004C77FB"/>
    <w:rsid w:val="004C7A1A"/>
    <w:rsid w:val="004D0195"/>
    <w:rsid w:val="004D0A21"/>
    <w:rsid w:val="004D0C21"/>
    <w:rsid w:val="004D0E77"/>
    <w:rsid w:val="004D12FD"/>
    <w:rsid w:val="004D15D3"/>
    <w:rsid w:val="004D1662"/>
    <w:rsid w:val="004D170F"/>
    <w:rsid w:val="004D22D8"/>
    <w:rsid w:val="004D2337"/>
    <w:rsid w:val="004D2788"/>
    <w:rsid w:val="004D2917"/>
    <w:rsid w:val="004D2C62"/>
    <w:rsid w:val="004D33C4"/>
    <w:rsid w:val="004D3D33"/>
    <w:rsid w:val="004D3EEA"/>
    <w:rsid w:val="004D426F"/>
    <w:rsid w:val="004D468B"/>
    <w:rsid w:val="004D492C"/>
    <w:rsid w:val="004D4C18"/>
    <w:rsid w:val="004D4D5B"/>
    <w:rsid w:val="004D4FB2"/>
    <w:rsid w:val="004D5309"/>
    <w:rsid w:val="004D59F5"/>
    <w:rsid w:val="004D5AC7"/>
    <w:rsid w:val="004D62D2"/>
    <w:rsid w:val="004D647A"/>
    <w:rsid w:val="004D65BA"/>
    <w:rsid w:val="004D7D04"/>
    <w:rsid w:val="004D7E18"/>
    <w:rsid w:val="004E0077"/>
    <w:rsid w:val="004E028B"/>
    <w:rsid w:val="004E0374"/>
    <w:rsid w:val="004E0660"/>
    <w:rsid w:val="004E0D1A"/>
    <w:rsid w:val="004E169F"/>
    <w:rsid w:val="004E17C1"/>
    <w:rsid w:val="004E17CD"/>
    <w:rsid w:val="004E1831"/>
    <w:rsid w:val="004E19BC"/>
    <w:rsid w:val="004E1A7E"/>
    <w:rsid w:val="004E1D1E"/>
    <w:rsid w:val="004E21CF"/>
    <w:rsid w:val="004E2377"/>
    <w:rsid w:val="004E2667"/>
    <w:rsid w:val="004E2A71"/>
    <w:rsid w:val="004E2DAD"/>
    <w:rsid w:val="004E2DE9"/>
    <w:rsid w:val="004E31EE"/>
    <w:rsid w:val="004E39DA"/>
    <w:rsid w:val="004E3B6A"/>
    <w:rsid w:val="004E3C88"/>
    <w:rsid w:val="004E4057"/>
    <w:rsid w:val="004E40A0"/>
    <w:rsid w:val="004E43CD"/>
    <w:rsid w:val="004E4A63"/>
    <w:rsid w:val="004E4F9F"/>
    <w:rsid w:val="004E5021"/>
    <w:rsid w:val="004E523E"/>
    <w:rsid w:val="004E5658"/>
    <w:rsid w:val="004E57E5"/>
    <w:rsid w:val="004E5985"/>
    <w:rsid w:val="004E5B01"/>
    <w:rsid w:val="004E6264"/>
    <w:rsid w:val="004E62AD"/>
    <w:rsid w:val="004E62D6"/>
    <w:rsid w:val="004E67B3"/>
    <w:rsid w:val="004E6933"/>
    <w:rsid w:val="004E6942"/>
    <w:rsid w:val="004E6A1E"/>
    <w:rsid w:val="004E74B6"/>
    <w:rsid w:val="004E773E"/>
    <w:rsid w:val="004E77E6"/>
    <w:rsid w:val="004E7A9C"/>
    <w:rsid w:val="004E7B8B"/>
    <w:rsid w:val="004F05B0"/>
    <w:rsid w:val="004F0AC9"/>
    <w:rsid w:val="004F0F86"/>
    <w:rsid w:val="004F0F94"/>
    <w:rsid w:val="004F12DA"/>
    <w:rsid w:val="004F168B"/>
    <w:rsid w:val="004F1699"/>
    <w:rsid w:val="004F1766"/>
    <w:rsid w:val="004F1995"/>
    <w:rsid w:val="004F1D6F"/>
    <w:rsid w:val="004F1F69"/>
    <w:rsid w:val="004F218D"/>
    <w:rsid w:val="004F2353"/>
    <w:rsid w:val="004F26FA"/>
    <w:rsid w:val="004F2B3A"/>
    <w:rsid w:val="004F2DED"/>
    <w:rsid w:val="004F30B7"/>
    <w:rsid w:val="004F322B"/>
    <w:rsid w:val="004F331E"/>
    <w:rsid w:val="004F34D9"/>
    <w:rsid w:val="004F3945"/>
    <w:rsid w:val="004F3A69"/>
    <w:rsid w:val="004F3B84"/>
    <w:rsid w:val="004F3C79"/>
    <w:rsid w:val="004F3DE4"/>
    <w:rsid w:val="004F3FEE"/>
    <w:rsid w:val="004F4259"/>
    <w:rsid w:val="004F436C"/>
    <w:rsid w:val="004F4773"/>
    <w:rsid w:val="004F4A5C"/>
    <w:rsid w:val="004F4EBC"/>
    <w:rsid w:val="004F523A"/>
    <w:rsid w:val="004F5910"/>
    <w:rsid w:val="004F5A08"/>
    <w:rsid w:val="004F5E35"/>
    <w:rsid w:val="004F6362"/>
    <w:rsid w:val="004F64B6"/>
    <w:rsid w:val="004F69A8"/>
    <w:rsid w:val="004F6AA8"/>
    <w:rsid w:val="004F6AB6"/>
    <w:rsid w:val="004F6C88"/>
    <w:rsid w:val="004F708A"/>
    <w:rsid w:val="004F711C"/>
    <w:rsid w:val="004F73D8"/>
    <w:rsid w:val="004F788D"/>
    <w:rsid w:val="004F79EF"/>
    <w:rsid w:val="004F7BC7"/>
    <w:rsid w:val="004F7D9F"/>
    <w:rsid w:val="005002F3"/>
    <w:rsid w:val="005005B0"/>
    <w:rsid w:val="00500A16"/>
    <w:rsid w:val="0050112C"/>
    <w:rsid w:val="00501156"/>
    <w:rsid w:val="0050134A"/>
    <w:rsid w:val="00501976"/>
    <w:rsid w:val="00501A5C"/>
    <w:rsid w:val="00502594"/>
    <w:rsid w:val="0050267C"/>
    <w:rsid w:val="0050271E"/>
    <w:rsid w:val="00502883"/>
    <w:rsid w:val="00502B08"/>
    <w:rsid w:val="00502D9A"/>
    <w:rsid w:val="005030ED"/>
    <w:rsid w:val="005034C9"/>
    <w:rsid w:val="0050403E"/>
    <w:rsid w:val="00504388"/>
    <w:rsid w:val="0050438F"/>
    <w:rsid w:val="00504590"/>
    <w:rsid w:val="005045F7"/>
    <w:rsid w:val="00504656"/>
    <w:rsid w:val="00504834"/>
    <w:rsid w:val="00504A0A"/>
    <w:rsid w:val="00504F70"/>
    <w:rsid w:val="0050590F"/>
    <w:rsid w:val="00505C66"/>
    <w:rsid w:val="00505DC0"/>
    <w:rsid w:val="00505E73"/>
    <w:rsid w:val="00506382"/>
    <w:rsid w:val="00506477"/>
    <w:rsid w:val="005067EA"/>
    <w:rsid w:val="00507052"/>
    <w:rsid w:val="005072CA"/>
    <w:rsid w:val="00507E71"/>
    <w:rsid w:val="0051037F"/>
    <w:rsid w:val="00510762"/>
    <w:rsid w:val="005108A8"/>
    <w:rsid w:val="005112FA"/>
    <w:rsid w:val="00511872"/>
    <w:rsid w:val="005119F7"/>
    <w:rsid w:val="00511C02"/>
    <w:rsid w:val="00511FD7"/>
    <w:rsid w:val="00512112"/>
    <w:rsid w:val="0051216E"/>
    <w:rsid w:val="0051219D"/>
    <w:rsid w:val="00512560"/>
    <w:rsid w:val="0051272B"/>
    <w:rsid w:val="00512B49"/>
    <w:rsid w:val="005130E1"/>
    <w:rsid w:val="005131E1"/>
    <w:rsid w:val="005142A6"/>
    <w:rsid w:val="0051446D"/>
    <w:rsid w:val="00514825"/>
    <w:rsid w:val="00514AA8"/>
    <w:rsid w:val="00514E1D"/>
    <w:rsid w:val="0051596B"/>
    <w:rsid w:val="005159B0"/>
    <w:rsid w:val="00515C7C"/>
    <w:rsid w:val="00515F9A"/>
    <w:rsid w:val="00516577"/>
    <w:rsid w:val="005166A7"/>
    <w:rsid w:val="00517891"/>
    <w:rsid w:val="00517A77"/>
    <w:rsid w:val="00517A8D"/>
    <w:rsid w:val="00517B9E"/>
    <w:rsid w:val="00517E25"/>
    <w:rsid w:val="00517ECA"/>
    <w:rsid w:val="005208A4"/>
    <w:rsid w:val="00520DB8"/>
    <w:rsid w:val="00520F25"/>
    <w:rsid w:val="0052159A"/>
    <w:rsid w:val="00522053"/>
    <w:rsid w:val="005227D0"/>
    <w:rsid w:val="00522847"/>
    <w:rsid w:val="00522C31"/>
    <w:rsid w:val="00522CC8"/>
    <w:rsid w:val="00522D2F"/>
    <w:rsid w:val="00522EE5"/>
    <w:rsid w:val="00522FFF"/>
    <w:rsid w:val="00523201"/>
    <w:rsid w:val="0052337A"/>
    <w:rsid w:val="00523C9B"/>
    <w:rsid w:val="0052431D"/>
    <w:rsid w:val="00524888"/>
    <w:rsid w:val="00524D2D"/>
    <w:rsid w:val="00524F91"/>
    <w:rsid w:val="00525046"/>
    <w:rsid w:val="0052507D"/>
    <w:rsid w:val="00525155"/>
    <w:rsid w:val="00525303"/>
    <w:rsid w:val="0052533B"/>
    <w:rsid w:val="00525B9B"/>
    <w:rsid w:val="00525BE8"/>
    <w:rsid w:val="00526005"/>
    <w:rsid w:val="005262C8"/>
    <w:rsid w:val="00526588"/>
    <w:rsid w:val="005267B3"/>
    <w:rsid w:val="00526955"/>
    <w:rsid w:val="005269B8"/>
    <w:rsid w:val="00526B73"/>
    <w:rsid w:val="00527154"/>
    <w:rsid w:val="00527A13"/>
    <w:rsid w:val="00527DB9"/>
    <w:rsid w:val="00530029"/>
    <w:rsid w:val="00530151"/>
    <w:rsid w:val="0053066F"/>
    <w:rsid w:val="0053067C"/>
    <w:rsid w:val="00530CAD"/>
    <w:rsid w:val="00530D79"/>
    <w:rsid w:val="00531285"/>
    <w:rsid w:val="0053144D"/>
    <w:rsid w:val="005317EB"/>
    <w:rsid w:val="005318CF"/>
    <w:rsid w:val="005319E5"/>
    <w:rsid w:val="00531EEF"/>
    <w:rsid w:val="00531F09"/>
    <w:rsid w:val="005320E7"/>
    <w:rsid w:val="00532282"/>
    <w:rsid w:val="00532BDF"/>
    <w:rsid w:val="00533334"/>
    <w:rsid w:val="00534098"/>
    <w:rsid w:val="0053423A"/>
    <w:rsid w:val="005349A3"/>
    <w:rsid w:val="005350C0"/>
    <w:rsid w:val="00535E7A"/>
    <w:rsid w:val="00535F15"/>
    <w:rsid w:val="005367B2"/>
    <w:rsid w:val="00536D7E"/>
    <w:rsid w:val="00537593"/>
    <w:rsid w:val="005375AD"/>
    <w:rsid w:val="005377E0"/>
    <w:rsid w:val="005377E1"/>
    <w:rsid w:val="00537951"/>
    <w:rsid w:val="005406D7"/>
    <w:rsid w:val="0054126B"/>
    <w:rsid w:val="005414FA"/>
    <w:rsid w:val="00541501"/>
    <w:rsid w:val="00541636"/>
    <w:rsid w:val="005416AC"/>
    <w:rsid w:val="0054175D"/>
    <w:rsid w:val="00541B12"/>
    <w:rsid w:val="00541D1A"/>
    <w:rsid w:val="00541D46"/>
    <w:rsid w:val="00541E34"/>
    <w:rsid w:val="00542510"/>
    <w:rsid w:val="00542838"/>
    <w:rsid w:val="00542A02"/>
    <w:rsid w:val="00542FD3"/>
    <w:rsid w:val="00543451"/>
    <w:rsid w:val="0054394C"/>
    <w:rsid w:val="005439C2"/>
    <w:rsid w:val="00544097"/>
    <w:rsid w:val="005445AD"/>
    <w:rsid w:val="00544782"/>
    <w:rsid w:val="005454D7"/>
    <w:rsid w:val="00545DF0"/>
    <w:rsid w:val="00545EA4"/>
    <w:rsid w:val="00545F32"/>
    <w:rsid w:val="0054630C"/>
    <w:rsid w:val="005464F0"/>
    <w:rsid w:val="005469F9"/>
    <w:rsid w:val="00546A4F"/>
    <w:rsid w:val="00546AAD"/>
    <w:rsid w:val="005472E5"/>
    <w:rsid w:val="00547556"/>
    <w:rsid w:val="00547676"/>
    <w:rsid w:val="00550AEE"/>
    <w:rsid w:val="00550D68"/>
    <w:rsid w:val="00550E20"/>
    <w:rsid w:val="00551CE3"/>
    <w:rsid w:val="00551EF2"/>
    <w:rsid w:val="00551FA7"/>
    <w:rsid w:val="00552528"/>
    <w:rsid w:val="005526AF"/>
    <w:rsid w:val="00552806"/>
    <w:rsid w:val="0055290C"/>
    <w:rsid w:val="00552A22"/>
    <w:rsid w:val="005530F9"/>
    <w:rsid w:val="00553174"/>
    <w:rsid w:val="005535FA"/>
    <w:rsid w:val="00553C69"/>
    <w:rsid w:val="00553F06"/>
    <w:rsid w:val="00554053"/>
    <w:rsid w:val="005549E9"/>
    <w:rsid w:val="00554CA8"/>
    <w:rsid w:val="00555426"/>
    <w:rsid w:val="005556DE"/>
    <w:rsid w:val="00555BE4"/>
    <w:rsid w:val="005563EF"/>
    <w:rsid w:val="0055713B"/>
    <w:rsid w:val="0055740C"/>
    <w:rsid w:val="005575F3"/>
    <w:rsid w:val="00557DFF"/>
    <w:rsid w:val="00557EA4"/>
    <w:rsid w:val="005607C0"/>
    <w:rsid w:val="00560E10"/>
    <w:rsid w:val="00560F25"/>
    <w:rsid w:val="0056142E"/>
    <w:rsid w:val="0056143E"/>
    <w:rsid w:val="00561447"/>
    <w:rsid w:val="0056144D"/>
    <w:rsid w:val="00561580"/>
    <w:rsid w:val="00561BA2"/>
    <w:rsid w:val="00561F29"/>
    <w:rsid w:val="005621C8"/>
    <w:rsid w:val="0056222F"/>
    <w:rsid w:val="005628E6"/>
    <w:rsid w:val="005629E6"/>
    <w:rsid w:val="005633B4"/>
    <w:rsid w:val="00563B18"/>
    <w:rsid w:val="00563B63"/>
    <w:rsid w:val="00563C11"/>
    <w:rsid w:val="00563EFB"/>
    <w:rsid w:val="00563F12"/>
    <w:rsid w:val="0056407E"/>
    <w:rsid w:val="005644CC"/>
    <w:rsid w:val="00564969"/>
    <w:rsid w:val="00564AAC"/>
    <w:rsid w:val="005654A5"/>
    <w:rsid w:val="00565566"/>
    <w:rsid w:val="00565698"/>
    <w:rsid w:val="00565B76"/>
    <w:rsid w:val="00565C5B"/>
    <w:rsid w:val="00565C8A"/>
    <w:rsid w:val="00565C96"/>
    <w:rsid w:val="00565E29"/>
    <w:rsid w:val="00565ECA"/>
    <w:rsid w:val="00565F51"/>
    <w:rsid w:val="00566020"/>
    <w:rsid w:val="0056606C"/>
    <w:rsid w:val="00566890"/>
    <w:rsid w:val="00566AB6"/>
    <w:rsid w:val="00566BA0"/>
    <w:rsid w:val="00566D00"/>
    <w:rsid w:val="00566D03"/>
    <w:rsid w:val="00566E2F"/>
    <w:rsid w:val="00566F42"/>
    <w:rsid w:val="0056769E"/>
    <w:rsid w:val="00567863"/>
    <w:rsid w:val="005678B7"/>
    <w:rsid w:val="00567AE2"/>
    <w:rsid w:val="00567B58"/>
    <w:rsid w:val="00567CFB"/>
    <w:rsid w:val="00567DFB"/>
    <w:rsid w:val="00567F60"/>
    <w:rsid w:val="005703C3"/>
    <w:rsid w:val="00570697"/>
    <w:rsid w:val="005706EE"/>
    <w:rsid w:val="005711FB"/>
    <w:rsid w:val="005713E0"/>
    <w:rsid w:val="0057174E"/>
    <w:rsid w:val="00571BBE"/>
    <w:rsid w:val="00572123"/>
    <w:rsid w:val="00572187"/>
    <w:rsid w:val="005722E9"/>
    <w:rsid w:val="0057247C"/>
    <w:rsid w:val="00572D55"/>
    <w:rsid w:val="00573362"/>
    <w:rsid w:val="0057365E"/>
    <w:rsid w:val="0057366F"/>
    <w:rsid w:val="005737C6"/>
    <w:rsid w:val="0057385B"/>
    <w:rsid w:val="00573977"/>
    <w:rsid w:val="00573B1D"/>
    <w:rsid w:val="00573ED7"/>
    <w:rsid w:val="0057417D"/>
    <w:rsid w:val="005743A6"/>
    <w:rsid w:val="0057453D"/>
    <w:rsid w:val="005747CB"/>
    <w:rsid w:val="0057487F"/>
    <w:rsid w:val="005748FF"/>
    <w:rsid w:val="00574AE3"/>
    <w:rsid w:val="005751D1"/>
    <w:rsid w:val="005753D7"/>
    <w:rsid w:val="0057587A"/>
    <w:rsid w:val="00575C5C"/>
    <w:rsid w:val="00575E4D"/>
    <w:rsid w:val="00575EC0"/>
    <w:rsid w:val="00575FEB"/>
    <w:rsid w:val="005760AE"/>
    <w:rsid w:val="005769DF"/>
    <w:rsid w:val="005769FC"/>
    <w:rsid w:val="00576C34"/>
    <w:rsid w:val="005775DA"/>
    <w:rsid w:val="0057764B"/>
    <w:rsid w:val="00577825"/>
    <w:rsid w:val="00577D8A"/>
    <w:rsid w:val="00577EF7"/>
    <w:rsid w:val="00580037"/>
    <w:rsid w:val="0058088C"/>
    <w:rsid w:val="00581010"/>
    <w:rsid w:val="0058102A"/>
    <w:rsid w:val="005811A7"/>
    <w:rsid w:val="0058131D"/>
    <w:rsid w:val="00581355"/>
    <w:rsid w:val="0058168B"/>
    <w:rsid w:val="00582227"/>
    <w:rsid w:val="00582273"/>
    <w:rsid w:val="005824B2"/>
    <w:rsid w:val="00582523"/>
    <w:rsid w:val="0058253A"/>
    <w:rsid w:val="00582564"/>
    <w:rsid w:val="005825DE"/>
    <w:rsid w:val="00582AC7"/>
    <w:rsid w:val="00582C38"/>
    <w:rsid w:val="00583D96"/>
    <w:rsid w:val="00583F00"/>
    <w:rsid w:val="00583FDB"/>
    <w:rsid w:val="005840F4"/>
    <w:rsid w:val="00584236"/>
    <w:rsid w:val="00584390"/>
    <w:rsid w:val="00584457"/>
    <w:rsid w:val="00584C06"/>
    <w:rsid w:val="00584CF4"/>
    <w:rsid w:val="00584E2F"/>
    <w:rsid w:val="00585092"/>
    <w:rsid w:val="00585848"/>
    <w:rsid w:val="00585A2E"/>
    <w:rsid w:val="00585C9C"/>
    <w:rsid w:val="00585F53"/>
    <w:rsid w:val="0058608E"/>
    <w:rsid w:val="005868CD"/>
    <w:rsid w:val="00587500"/>
    <w:rsid w:val="00587665"/>
    <w:rsid w:val="00590385"/>
    <w:rsid w:val="005904D0"/>
    <w:rsid w:val="00590838"/>
    <w:rsid w:val="00590AD8"/>
    <w:rsid w:val="00590CFF"/>
    <w:rsid w:val="0059108E"/>
    <w:rsid w:val="005915CF"/>
    <w:rsid w:val="00591696"/>
    <w:rsid w:val="005918C2"/>
    <w:rsid w:val="00591AE5"/>
    <w:rsid w:val="00591BA2"/>
    <w:rsid w:val="005920F9"/>
    <w:rsid w:val="005923A3"/>
    <w:rsid w:val="005923E2"/>
    <w:rsid w:val="00592DC9"/>
    <w:rsid w:val="00592E33"/>
    <w:rsid w:val="00592F4B"/>
    <w:rsid w:val="005933CF"/>
    <w:rsid w:val="005935AA"/>
    <w:rsid w:val="00593668"/>
    <w:rsid w:val="00594297"/>
    <w:rsid w:val="005942B1"/>
    <w:rsid w:val="0059435F"/>
    <w:rsid w:val="0059515B"/>
    <w:rsid w:val="005952DA"/>
    <w:rsid w:val="0059558F"/>
    <w:rsid w:val="00596036"/>
    <w:rsid w:val="005961F8"/>
    <w:rsid w:val="005964D3"/>
    <w:rsid w:val="00596BA3"/>
    <w:rsid w:val="00596D17"/>
    <w:rsid w:val="00597200"/>
    <w:rsid w:val="00597232"/>
    <w:rsid w:val="00597388"/>
    <w:rsid w:val="00597BF0"/>
    <w:rsid w:val="00597E6D"/>
    <w:rsid w:val="005A026D"/>
    <w:rsid w:val="005A02B2"/>
    <w:rsid w:val="005A02E4"/>
    <w:rsid w:val="005A03B6"/>
    <w:rsid w:val="005A0510"/>
    <w:rsid w:val="005A0C2A"/>
    <w:rsid w:val="005A19D0"/>
    <w:rsid w:val="005A2068"/>
    <w:rsid w:val="005A22A0"/>
    <w:rsid w:val="005A2FE7"/>
    <w:rsid w:val="005A31CE"/>
    <w:rsid w:val="005A32D3"/>
    <w:rsid w:val="005A4050"/>
    <w:rsid w:val="005A4098"/>
    <w:rsid w:val="005A4B7B"/>
    <w:rsid w:val="005A4D34"/>
    <w:rsid w:val="005A4FAE"/>
    <w:rsid w:val="005A54B4"/>
    <w:rsid w:val="005A5EE3"/>
    <w:rsid w:val="005A61B2"/>
    <w:rsid w:val="005A62E6"/>
    <w:rsid w:val="005A6FC4"/>
    <w:rsid w:val="005A7623"/>
    <w:rsid w:val="005A7FA3"/>
    <w:rsid w:val="005B09EB"/>
    <w:rsid w:val="005B0E82"/>
    <w:rsid w:val="005B13D5"/>
    <w:rsid w:val="005B172A"/>
    <w:rsid w:val="005B1851"/>
    <w:rsid w:val="005B1CEB"/>
    <w:rsid w:val="005B1F2B"/>
    <w:rsid w:val="005B200C"/>
    <w:rsid w:val="005B209E"/>
    <w:rsid w:val="005B2338"/>
    <w:rsid w:val="005B23F7"/>
    <w:rsid w:val="005B3386"/>
    <w:rsid w:val="005B3DB2"/>
    <w:rsid w:val="005B3E2F"/>
    <w:rsid w:val="005B3E3F"/>
    <w:rsid w:val="005B445E"/>
    <w:rsid w:val="005B47C1"/>
    <w:rsid w:val="005B4D90"/>
    <w:rsid w:val="005B4E49"/>
    <w:rsid w:val="005B51F2"/>
    <w:rsid w:val="005B5369"/>
    <w:rsid w:val="005B577C"/>
    <w:rsid w:val="005B5908"/>
    <w:rsid w:val="005B59B9"/>
    <w:rsid w:val="005B643C"/>
    <w:rsid w:val="005B66B3"/>
    <w:rsid w:val="005B7205"/>
    <w:rsid w:val="005B7300"/>
    <w:rsid w:val="005B7473"/>
    <w:rsid w:val="005B78F2"/>
    <w:rsid w:val="005B7BEA"/>
    <w:rsid w:val="005C003D"/>
    <w:rsid w:val="005C04B9"/>
    <w:rsid w:val="005C04FF"/>
    <w:rsid w:val="005C0C45"/>
    <w:rsid w:val="005C12A2"/>
    <w:rsid w:val="005C175A"/>
    <w:rsid w:val="005C1912"/>
    <w:rsid w:val="005C1AC7"/>
    <w:rsid w:val="005C1C13"/>
    <w:rsid w:val="005C2023"/>
    <w:rsid w:val="005C24C0"/>
    <w:rsid w:val="005C264B"/>
    <w:rsid w:val="005C2D5B"/>
    <w:rsid w:val="005C364A"/>
    <w:rsid w:val="005C3814"/>
    <w:rsid w:val="005C39D3"/>
    <w:rsid w:val="005C3A5E"/>
    <w:rsid w:val="005C3B99"/>
    <w:rsid w:val="005C43FF"/>
    <w:rsid w:val="005C4702"/>
    <w:rsid w:val="005C48C1"/>
    <w:rsid w:val="005C4962"/>
    <w:rsid w:val="005C4E79"/>
    <w:rsid w:val="005C4EA9"/>
    <w:rsid w:val="005C4ED9"/>
    <w:rsid w:val="005C686B"/>
    <w:rsid w:val="005C6C87"/>
    <w:rsid w:val="005C70CF"/>
    <w:rsid w:val="005C7524"/>
    <w:rsid w:val="005C7550"/>
    <w:rsid w:val="005C7A37"/>
    <w:rsid w:val="005C7A44"/>
    <w:rsid w:val="005C7FF5"/>
    <w:rsid w:val="005D07AF"/>
    <w:rsid w:val="005D08FD"/>
    <w:rsid w:val="005D0C6A"/>
    <w:rsid w:val="005D0D38"/>
    <w:rsid w:val="005D0F25"/>
    <w:rsid w:val="005D0FDC"/>
    <w:rsid w:val="005D112A"/>
    <w:rsid w:val="005D149C"/>
    <w:rsid w:val="005D1787"/>
    <w:rsid w:val="005D17B5"/>
    <w:rsid w:val="005D18E5"/>
    <w:rsid w:val="005D1FA0"/>
    <w:rsid w:val="005D201F"/>
    <w:rsid w:val="005D2258"/>
    <w:rsid w:val="005D2948"/>
    <w:rsid w:val="005D311E"/>
    <w:rsid w:val="005D312C"/>
    <w:rsid w:val="005D3248"/>
    <w:rsid w:val="005D33BB"/>
    <w:rsid w:val="005D3464"/>
    <w:rsid w:val="005D35DC"/>
    <w:rsid w:val="005D39FF"/>
    <w:rsid w:val="005D3C7B"/>
    <w:rsid w:val="005D3D2C"/>
    <w:rsid w:val="005D3F0C"/>
    <w:rsid w:val="005D413D"/>
    <w:rsid w:val="005D42FB"/>
    <w:rsid w:val="005D4739"/>
    <w:rsid w:val="005D4CEB"/>
    <w:rsid w:val="005D5020"/>
    <w:rsid w:val="005D541D"/>
    <w:rsid w:val="005D579A"/>
    <w:rsid w:val="005D5C0D"/>
    <w:rsid w:val="005D6A60"/>
    <w:rsid w:val="005D6A78"/>
    <w:rsid w:val="005D6D51"/>
    <w:rsid w:val="005D6E20"/>
    <w:rsid w:val="005D7143"/>
    <w:rsid w:val="005D725C"/>
    <w:rsid w:val="005D779E"/>
    <w:rsid w:val="005D788C"/>
    <w:rsid w:val="005E024F"/>
    <w:rsid w:val="005E0F69"/>
    <w:rsid w:val="005E110B"/>
    <w:rsid w:val="005E131D"/>
    <w:rsid w:val="005E14AF"/>
    <w:rsid w:val="005E19C2"/>
    <w:rsid w:val="005E20F9"/>
    <w:rsid w:val="005E24CF"/>
    <w:rsid w:val="005E25EC"/>
    <w:rsid w:val="005E2625"/>
    <w:rsid w:val="005E2EB3"/>
    <w:rsid w:val="005E3113"/>
    <w:rsid w:val="005E416F"/>
    <w:rsid w:val="005E4297"/>
    <w:rsid w:val="005E46B6"/>
    <w:rsid w:val="005E4774"/>
    <w:rsid w:val="005E4B0E"/>
    <w:rsid w:val="005E4F63"/>
    <w:rsid w:val="005E5654"/>
    <w:rsid w:val="005E5D2F"/>
    <w:rsid w:val="005E5E14"/>
    <w:rsid w:val="005E6072"/>
    <w:rsid w:val="005E66E1"/>
    <w:rsid w:val="005E6BBE"/>
    <w:rsid w:val="005E6D56"/>
    <w:rsid w:val="005E6D6A"/>
    <w:rsid w:val="005E6D6D"/>
    <w:rsid w:val="005E72DF"/>
    <w:rsid w:val="005E7AC9"/>
    <w:rsid w:val="005E7BCD"/>
    <w:rsid w:val="005E7E54"/>
    <w:rsid w:val="005F00D1"/>
    <w:rsid w:val="005F01D3"/>
    <w:rsid w:val="005F06FE"/>
    <w:rsid w:val="005F0DF9"/>
    <w:rsid w:val="005F0F11"/>
    <w:rsid w:val="005F104C"/>
    <w:rsid w:val="005F112F"/>
    <w:rsid w:val="005F144A"/>
    <w:rsid w:val="005F19C2"/>
    <w:rsid w:val="005F1AFE"/>
    <w:rsid w:val="005F1E59"/>
    <w:rsid w:val="005F2169"/>
    <w:rsid w:val="005F26A6"/>
    <w:rsid w:val="005F2CCD"/>
    <w:rsid w:val="005F2CEE"/>
    <w:rsid w:val="005F2D09"/>
    <w:rsid w:val="005F2D87"/>
    <w:rsid w:val="005F3B53"/>
    <w:rsid w:val="005F3D58"/>
    <w:rsid w:val="005F3E88"/>
    <w:rsid w:val="005F43AD"/>
    <w:rsid w:val="005F49B2"/>
    <w:rsid w:val="005F4D28"/>
    <w:rsid w:val="005F4E70"/>
    <w:rsid w:val="005F5BB8"/>
    <w:rsid w:val="005F672B"/>
    <w:rsid w:val="005F6B65"/>
    <w:rsid w:val="005F71B7"/>
    <w:rsid w:val="005F725E"/>
    <w:rsid w:val="00600665"/>
    <w:rsid w:val="00600844"/>
    <w:rsid w:val="00600890"/>
    <w:rsid w:val="00600998"/>
    <w:rsid w:val="00600C95"/>
    <w:rsid w:val="0060116D"/>
    <w:rsid w:val="006011AC"/>
    <w:rsid w:val="00601368"/>
    <w:rsid w:val="0060141D"/>
    <w:rsid w:val="00601C85"/>
    <w:rsid w:val="006023F1"/>
    <w:rsid w:val="0060257F"/>
    <w:rsid w:val="00602FE7"/>
    <w:rsid w:val="00603339"/>
    <w:rsid w:val="006038E3"/>
    <w:rsid w:val="00603DB3"/>
    <w:rsid w:val="006044E7"/>
    <w:rsid w:val="00604FAE"/>
    <w:rsid w:val="006067E2"/>
    <w:rsid w:val="00606ACF"/>
    <w:rsid w:val="00606D65"/>
    <w:rsid w:val="00606DC8"/>
    <w:rsid w:val="006072E2"/>
    <w:rsid w:val="006074D6"/>
    <w:rsid w:val="00607C0A"/>
    <w:rsid w:val="00607E29"/>
    <w:rsid w:val="006100CE"/>
    <w:rsid w:val="0061065E"/>
    <w:rsid w:val="0061097A"/>
    <w:rsid w:val="00610E9C"/>
    <w:rsid w:val="00611300"/>
    <w:rsid w:val="0061227F"/>
    <w:rsid w:val="00612345"/>
    <w:rsid w:val="006123B9"/>
    <w:rsid w:val="00612550"/>
    <w:rsid w:val="006126EB"/>
    <w:rsid w:val="00612790"/>
    <w:rsid w:val="006127C4"/>
    <w:rsid w:val="006127D9"/>
    <w:rsid w:val="00612B05"/>
    <w:rsid w:val="00612DD8"/>
    <w:rsid w:val="0061332C"/>
    <w:rsid w:val="0061337E"/>
    <w:rsid w:val="0061386B"/>
    <w:rsid w:val="00613A21"/>
    <w:rsid w:val="00613E29"/>
    <w:rsid w:val="00613FF6"/>
    <w:rsid w:val="00614679"/>
    <w:rsid w:val="00614C98"/>
    <w:rsid w:val="00614E26"/>
    <w:rsid w:val="00614F37"/>
    <w:rsid w:val="00615366"/>
    <w:rsid w:val="006155A3"/>
    <w:rsid w:val="006158F9"/>
    <w:rsid w:val="006159BA"/>
    <w:rsid w:val="00615EB8"/>
    <w:rsid w:val="00616993"/>
    <w:rsid w:val="00616A11"/>
    <w:rsid w:val="00616AB2"/>
    <w:rsid w:val="00616C66"/>
    <w:rsid w:val="0061706C"/>
    <w:rsid w:val="0061708B"/>
    <w:rsid w:val="00617B3D"/>
    <w:rsid w:val="00617F11"/>
    <w:rsid w:val="0062073C"/>
    <w:rsid w:val="006212B8"/>
    <w:rsid w:val="00621557"/>
    <w:rsid w:val="00621B1C"/>
    <w:rsid w:val="00621B2C"/>
    <w:rsid w:val="00621C0C"/>
    <w:rsid w:val="00621FB6"/>
    <w:rsid w:val="0062247D"/>
    <w:rsid w:val="006226AD"/>
    <w:rsid w:val="006234E9"/>
    <w:rsid w:val="00623656"/>
    <w:rsid w:val="00623A50"/>
    <w:rsid w:val="00623F22"/>
    <w:rsid w:val="00623F98"/>
    <w:rsid w:val="006242F6"/>
    <w:rsid w:val="0062435A"/>
    <w:rsid w:val="006243DF"/>
    <w:rsid w:val="006245BF"/>
    <w:rsid w:val="0062475B"/>
    <w:rsid w:val="006247B1"/>
    <w:rsid w:val="006247E1"/>
    <w:rsid w:val="00624A6C"/>
    <w:rsid w:val="00624D08"/>
    <w:rsid w:val="00624DD3"/>
    <w:rsid w:val="006252C8"/>
    <w:rsid w:val="0062534A"/>
    <w:rsid w:val="00625535"/>
    <w:rsid w:val="00625D97"/>
    <w:rsid w:val="00626206"/>
    <w:rsid w:val="0062635B"/>
    <w:rsid w:val="0062656F"/>
    <w:rsid w:val="006265BC"/>
    <w:rsid w:val="006269ED"/>
    <w:rsid w:val="00626EDF"/>
    <w:rsid w:val="00626F3E"/>
    <w:rsid w:val="0062704F"/>
    <w:rsid w:val="0062712F"/>
    <w:rsid w:val="0062798C"/>
    <w:rsid w:val="00627C22"/>
    <w:rsid w:val="0063011C"/>
    <w:rsid w:val="00630911"/>
    <w:rsid w:val="0063113C"/>
    <w:rsid w:val="00631254"/>
    <w:rsid w:val="00631294"/>
    <w:rsid w:val="006317D1"/>
    <w:rsid w:val="00631820"/>
    <w:rsid w:val="006318C4"/>
    <w:rsid w:val="00631C7F"/>
    <w:rsid w:val="00631E1A"/>
    <w:rsid w:val="00631EA7"/>
    <w:rsid w:val="00631F65"/>
    <w:rsid w:val="0063211E"/>
    <w:rsid w:val="006326DE"/>
    <w:rsid w:val="0063272B"/>
    <w:rsid w:val="006330E8"/>
    <w:rsid w:val="0063323B"/>
    <w:rsid w:val="00633A9B"/>
    <w:rsid w:val="00633C90"/>
    <w:rsid w:val="00634144"/>
    <w:rsid w:val="0063450B"/>
    <w:rsid w:val="00634670"/>
    <w:rsid w:val="00634941"/>
    <w:rsid w:val="00634EB5"/>
    <w:rsid w:val="00634F8B"/>
    <w:rsid w:val="006352AB"/>
    <w:rsid w:val="0063532D"/>
    <w:rsid w:val="00635512"/>
    <w:rsid w:val="006358F3"/>
    <w:rsid w:val="00635FE5"/>
    <w:rsid w:val="006363F7"/>
    <w:rsid w:val="0063687A"/>
    <w:rsid w:val="00636AAC"/>
    <w:rsid w:val="00636C85"/>
    <w:rsid w:val="00636E91"/>
    <w:rsid w:val="00637003"/>
    <w:rsid w:val="00637143"/>
    <w:rsid w:val="006377C3"/>
    <w:rsid w:val="00637B27"/>
    <w:rsid w:val="00637D3E"/>
    <w:rsid w:val="00637FE6"/>
    <w:rsid w:val="0064073C"/>
    <w:rsid w:val="00640CB4"/>
    <w:rsid w:val="00641604"/>
    <w:rsid w:val="00641752"/>
    <w:rsid w:val="00641991"/>
    <w:rsid w:val="00641A8B"/>
    <w:rsid w:val="00641D5E"/>
    <w:rsid w:val="00642866"/>
    <w:rsid w:val="006428C2"/>
    <w:rsid w:val="00642A50"/>
    <w:rsid w:val="006431E9"/>
    <w:rsid w:val="0064355E"/>
    <w:rsid w:val="006438F0"/>
    <w:rsid w:val="00643992"/>
    <w:rsid w:val="00643C81"/>
    <w:rsid w:val="00643D2D"/>
    <w:rsid w:val="00644297"/>
    <w:rsid w:val="00644956"/>
    <w:rsid w:val="00644BD1"/>
    <w:rsid w:val="0064505B"/>
    <w:rsid w:val="00645215"/>
    <w:rsid w:val="00645966"/>
    <w:rsid w:val="006459DD"/>
    <w:rsid w:val="00645E83"/>
    <w:rsid w:val="006467FA"/>
    <w:rsid w:val="006468F8"/>
    <w:rsid w:val="00646C2C"/>
    <w:rsid w:val="00647029"/>
    <w:rsid w:val="006471CE"/>
    <w:rsid w:val="00647273"/>
    <w:rsid w:val="006477B6"/>
    <w:rsid w:val="00647A22"/>
    <w:rsid w:val="00647D74"/>
    <w:rsid w:val="0065010D"/>
    <w:rsid w:val="0065021C"/>
    <w:rsid w:val="00650311"/>
    <w:rsid w:val="00650946"/>
    <w:rsid w:val="00650B25"/>
    <w:rsid w:val="00650C75"/>
    <w:rsid w:val="00651D38"/>
    <w:rsid w:val="00652062"/>
    <w:rsid w:val="00652282"/>
    <w:rsid w:val="00652DF3"/>
    <w:rsid w:val="00653667"/>
    <w:rsid w:val="00653B04"/>
    <w:rsid w:val="0065419E"/>
    <w:rsid w:val="00654A34"/>
    <w:rsid w:val="00654E1D"/>
    <w:rsid w:val="00655697"/>
    <w:rsid w:val="006556FC"/>
    <w:rsid w:val="00655835"/>
    <w:rsid w:val="00655A0F"/>
    <w:rsid w:val="00655B49"/>
    <w:rsid w:val="00655B63"/>
    <w:rsid w:val="00655E71"/>
    <w:rsid w:val="00656402"/>
    <w:rsid w:val="00656677"/>
    <w:rsid w:val="00656871"/>
    <w:rsid w:val="00656D06"/>
    <w:rsid w:val="00656DF8"/>
    <w:rsid w:val="00657079"/>
    <w:rsid w:val="006571DD"/>
    <w:rsid w:val="00657300"/>
    <w:rsid w:val="006573E4"/>
    <w:rsid w:val="00657B2E"/>
    <w:rsid w:val="0066039F"/>
    <w:rsid w:val="00660455"/>
    <w:rsid w:val="0066058D"/>
    <w:rsid w:val="00660851"/>
    <w:rsid w:val="00660CD3"/>
    <w:rsid w:val="00661097"/>
    <w:rsid w:val="0066152F"/>
    <w:rsid w:val="00661F09"/>
    <w:rsid w:val="0066221F"/>
    <w:rsid w:val="006623CC"/>
    <w:rsid w:val="00663DC9"/>
    <w:rsid w:val="00663DDB"/>
    <w:rsid w:val="0066440E"/>
    <w:rsid w:val="006645CD"/>
    <w:rsid w:val="00664800"/>
    <w:rsid w:val="00664EE1"/>
    <w:rsid w:val="00664FA0"/>
    <w:rsid w:val="00665063"/>
    <w:rsid w:val="0066512D"/>
    <w:rsid w:val="006651A8"/>
    <w:rsid w:val="00665335"/>
    <w:rsid w:val="00665AC3"/>
    <w:rsid w:val="00665AEA"/>
    <w:rsid w:val="00665B64"/>
    <w:rsid w:val="00665DAA"/>
    <w:rsid w:val="0066610B"/>
    <w:rsid w:val="00666199"/>
    <w:rsid w:val="0066626F"/>
    <w:rsid w:val="0066666A"/>
    <w:rsid w:val="006669B7"/>
    <w:rsid w:val="0066703E"/>
    <w:rsid w:val="00667357"/>
    <w:rsid w:val="0066754B"/>
    <w:rsid w:val="00667572"/>
    <w:rsid w:val="0066792E"/>
    <w:rsid w:val="00667DB0"/>
    <w:rsid w:val="006701AA"/>
    <w:rsid w:val="006702EF"/>
    <w:rsid w:val="0067058A"/>
    <w:rsid w:val="00671E24"/>
    <w:rsid w:val="00671E4F"/>
    <w:rsid w:val="00671EA8"/>
    <w:rsid w:val="00672094"/>
    <w:rsid w:val="00672196"/>
    <w:rsid w:val="006721D5"/>
    <w:rsid w:val="006722D9"/>
    <w:rsid w:val="00672675"/>
    <w:rsid w:val="00672757"/>
    <w:rsid w:val="00672E65"/>
    <w:rsid w:val="00673591"/>
    <w:rsid w:val="006736F1"/>
    <w:rsid w:val="0067377F"/>
    <w:rsid w:val="0067393A"/>
    <w:rsid w:val="0067397D"/>
    <w:rsid w:val="00673E07"/>
    <w:rsid w:val="00673FEB"/>
    <w:rsid w:val="00674A67"/>
    <w:rsid w:val="00675247"/>
    <w:rsid w:val="00675481"/>
    <w:rsid w:val="00675843"/>
    <w:rsid w:val="0067584D"/>
    <w:rsid w:val="00675CE4"/>
    <w:rsid w:val="00675F09"/>
    <w:rsid w:val="0067669D"/>
    <w:rsid w:val="00676A67"/>
    <w:rsid w:val="00677487"/>
    <w:rsid w:val="006775BF"/>
    <w:rsid w:val="00677618"/>
    <w:rsid w:val="00677747"/>
    <w:rsid w:val="00677E16"/>
    <w:rsid w:val="0068035B"/>
    <w:rsid w:val="006805EB"/>
    <w:rsid w:val="00680CEA"/>
    <w:rsid w:val="00680F9E"/>
    <w:rsid w:val="0068134C"/>
    <w:rsid w:val="006815EF"/>
    <w:rsid w:val="0068161A"/>
    <w:rsid w:val="00681B70"/>
    <w:rsid w:val="00681EFA"/>
    <w:rsid w:val="00681F67"/>
    <w:rsid w:val="0068265D"/>
    <w:rsid w:val="00682ACA"/>
    <w:rsid w:val="00683346"/>
    <w:rsid w:val="00683501"/>
    <w:rsid w:val="006835E6"/>
    <w:rsid w:val="00683620"/>
    <w:rsid w:val="0068383F"/>
    <w:rsid w:val="006838F3"/>
    <w:rsid w:val="00683A8A"/>
    <w:rsid w:val="00683C77"/>
    <w:rsid w:val="00683C7C"/>
    <w:rsid w:val="00683FAF"/>
    <w:rsid w:val="006840D3"/>
    <w:rsid w:val="006843A3"/>
    <w:rsid w:val="00684714"/>
    <w:rsid w:val="0068480F"/>
    <w:rsid w:val="00684824"/>
    <w:rsid w:val="00684DFE"/>
    <w:rsid w:val="0068577A"/>
    <w:rsid w:val="00686117"/>
    <w:rsid w:val="006863F6"/>
    <w:rsid w:val="006868A1"/>
    <w:rsid w:val="00686C23"/>
    <w:rsid w:val="00686C32"/>
    <w:rsid w:val="00686E86"/>
    <w:rsid w:val="00686FE0"/>
    <w:rsid w:val="0068782F"/>
    <w:rsid w:val="00687837"/>
    <w:rsid w:val="006879F5"/>
    <w:rsid w:val="0069044D"/>
    <w:rsid w:val="00690B0E"/>
    <w:rsid w:val="0069140C"/>
    <w:rsid w:val="00691468"/>
    <w:rsid w:val="006916B1"/>
    <w:rsid w:val="00692084"/>
    <w:rsid w:val="00692462"/>
    <w:rsid w:val="006924E6"/>
    <w:rsid w:val="0069265E"/>
    <w:rsid w:val="00692B7C"/>
    <w:rsid w:val="00692CCC"/>
    <w:rsid w:val="00692DA8"/>
    <w:rsid w:val="00693AE5"/>
    <w:rsid w:val="00693BE0"/>
    <w:rsid w:val="00693C04"/>
    <w:rsid w:val="00693DAE"/>
    <w:rsid w:val="00693ECB"/>
    <w:rsid w:val="006944D2"/>
    <w:rsid w:val="006949E4"/>
    <w:rsid w:val="00694C39"/>
    <w:rsid w:val="00694CA5"/>
    <w:rsid w:val="006955ED"/>
    <w:rsid w:val="0069566D"/>
    <w:rsid w:val="00695BEA"/>
    <w:rsid w:val="00696082"/>
    <w:rsid w:val="00696171"/>
    <w:rsid w:val="006966D6"/>
    <w:rsid w:val="006968EF"/>
    <w:rsid w:val="00696AEC"/>
    <w:rsid w:val="00696EE6"/>
    <w:rsid w:val="006970EA"/>
    <w:rsid w:val="00697305"/>
    <w:rsid w:val="006973B4"/>
    <w:rsid w:val="00697871"/>
    <w:rsid w:val="00697F59"/>
    <w:rsid w:val="006A00E3"/>
    <w:rsid w:val="006A0178"/>
    <w:rsid w:val="006A01A5"/>
    <w:rsid w:val="006A02DB"/>
    <w:rsid w:val="006A030A"/>
    <w:rsid w:val="006A05F0"/>
    <w:rsid w:val="006A0638"/>
    <w:rsid w:val="006A0C96"/>
    <w:rsid w:val="006A0E88"/>
    <w:rsid w:val="006A1035"/>
    <w:rsid w:val="006A132B"/>
    <w:rsid w:val="006A1456"/>
    <w:rsid w:val="006A168B"/>
    <w:rsid w:val="006A16B3"/>
    <w:rsid w:val="006A17BE"/>
    <w:rsid w:val="006A1941"/>
    <w:rsid w:val="006A1A86"/>
    <w:rsid w:val="006A1AB8"/>
    <w:rsid w:val="006A1E9B"/>
    <w:rsid w:val="006A1EC3"/>
    <w:rsid w:val="006A1FDE"/>
    <w:rsid w:val="006A2055"/>
    <w:rsid w:val="006A2110"/>
    <w:rsid w:val="006A21A9"/>
    <w:rsid w:val="006A2515"/>
    <w:rsid w:val="006A28B7"/>
    <w:rsid w:val="006A2C94"/>
    <w:rsid w:val="006A3AAA"/>
    <w:rsid w:val="006A472E"/>
    <w:rsid w:val="006A5297"/>
    <w:rsid w:val="006A68FC"/>
    <w:rsid w:val="006A694C"/>
    <w:rsid w:val="006A709D"/>
    <w:rsid w:val="006A7596"/>
    <w:rsid w:val="006A7898"/>
    <w:rsid w:val="006B043E"/>
    <w:rsid w:val="006B0924"/>
    <w:rsid w:val="006B0A24"/>
    <w:rsid w:val="006B0F31"/>
    <w:rsid w:val="006B12FE"/>
    <w:rsid w:val="006B18E1"/>
    <w:rsid w:val="006B1B7B"/>
    <w:rsid w:val="006B2427"/>
    <w:rsid w:val="006B2610"/>
    <w:rsid w:val="006B2670"/>
    <w:rsid w:val="006B2A08"/>
    <w:rsid w:val="006B2EED"/>
    <w:rsid w:val="006B334C"/>
    <w:rsid w:val="006B3742"/>
    <w:rsid w:val="006B38DE"/>
    <w:rsid w:val="006B3B24"/>
    <w:rsid w:val="006B3EF0"/>
    <w:rsid w:val="006B3F4B"/>
    <w:rsid w:val="006B40CF"/>
    <w:rsid w:val="006B457E"/>
    <w:rsid w:val="006B4C06"/>
    <w:rsid w:val="006B4F35"/>
    <w:rsid w:val="006B544C"/>
    <w:rsid w:val="006B5E42"/>
    <w:rsid w:val="006B6ED0"/>
    <w:rsid w:val="006B6FF9"/>
    <w:rsid w:val="006B704D"/>
    <w:rsid w:val="006B73E3"/>
    <w:rsid w:val="006B76BB"/>
    <w:rsid w:val="006B79B0"/>
    <w:rsid w:val="006B7A7E"/>
    <w:rsid w:val="006B7C06"/>
    <w:rsid w:val="006B7D4F"/>
    <w:rsid w:val="006B7D51"/>
    <w:rsid w:val="006B7FE9"/>
    <w:rsid w:val="006C07C4"/>
    <w:rsid w:val="006C0A52"/>
    <w:rsid w:val="006C0D34"/>
    <w:rsid w:val="006C1C8C"/>
    <w:rsid w:val="006C1D76"/>
    <w:rsid w:val="006C1DB2"/>
    <w:rsid w:val="006C20E2"/>
    <w:rsid w:val="006C22C2"/>
    <w:rsid w:val="006C2500"/>
    <w:rsid w:val="006C2516"/>
    <w:rsid w:val="006C26B7"/>
    <w:rsid w:val="006C27F9"/>
    <w:rsid w:val="006C29DC"/>
    <w:rsid w:val="006C2F3E"/>
    <w:rsid w:val="006C2F9A"/>
    <w:rsid w:val="006C340B"/>
    <w:rsid w:val="006C341C"/>
    <w:rsid w:val="006C3618"/>
    <w:rsid w:val="006C389A"/>
    <w:rsid w:val="006C3C31"/>
    <w:rsid w:val="006C441E"/>
    <w:rsid w:val="006C4573"/>
    <w:rsid w:val="006C521A"/>
    <w:rsid w:val="006C5330"/>
    <w:rsid w:val="006C5B12"/>
    <w:rsid w:val="006C5D43"/>
    <w:rsid w:val="006C5DAF"/>
    <w:rsid w:val="006C5E3D"/>
    <w:rsid w:val="006C65A0"/>
    <w:rsid w:val="006C6894"/>
    <w:rsid w:val="006C6C7D"/>
    <w:rsid w:val="006C6EAB"/>
    <w:rsid w:val="006C7C14"/>
    <w:rsid w:val="006D0276"/>
    <w:rsid w:val="006D042A"/>
    <w:rsid w:val="006D050C"/>
    <w:rsid w:val="006D0818"/>
    <w:rsid w:val="006D0B03"/>
    <w:rsid w:val="006D0C1A"/>
    <w:rsid w:val="006D1035"/>
    <w:rsid w:val="006D1197"/>
    <w:rsid w:val="006D164B"/>
    <w:rsid w:val="006D1728"/>
    <w:rsid w:val="006D1AFF"/>
    <w:rsid w:val="006D1B87"/>
    <w:rsid w:val="006D29C2"/>
    <w:rsid w:val="006D2DD7"/>
    <w:rsid w:val="006D31DC"/>
    <w:rsid w:val="006D341F"/>
    <w:rsid w:val="006D3861"/>
    <w:rsid w:val="006D3ABA"/>
    <w:rsid w:val="006D3B0F"/>
    <w:rsid w:val="006D42AA"/>
    <w:rsid w:val="006D491C"/>
    <w:rsid w:val="006D583A"/>
    <w:rsid w:val="006D5A9B"/>
    <w:rsid w:val="006D5B0E"/>
    <w:rsid w:val="006D5CE2"/>
    <w:rsid w:val="006D5E17"/>
    <w:rsid w:val="006D643F"/>
    <w:rsid w:val="006D64E9"/>
    <w:rsid w:val="006D68D5"/>
    <w:rsid w:val="006D6A3D"/>
    <w:rsid w:val="006D6F70"/>
    <w:rsid w:val="006D72D0"/>
    <w:rsid w:val="006D79E3"/>
    <w:rsid w:val="006D7D9E"/>
    <w:rsid w:val="006E04BC"/>
    <w:rsid w:val="006E0557"/>
    <w:rsid w:val="006E0CB0"/>
    <w:rsid w:val="006E0D25"/>
    <w:rsid w:val="006E1204"/>
    <w:rsid w:val="006E136D"/>
    <w:rsid w:val="006E13C7"/>
    <w:rsid w:val="006E13D8"/>
    <w:rsid w:val="006E15AC"/>
    <w:rsid w:val="006E193E"/>
    <w:rsid w:val="006E19F7"/>
    <w:rsid w:val="006E1E75"/>
    <w:rsid w:val="006E22C5"/>
    <w:rsid w:val="006E2379"/>
    <w:rsid w:val="006E25B6"/>
    <w:rsid w:val="006E3265"/>
    <w:rsid w:val="006E3351"/>
    <w:rsid w:val="006E3677"/>
    <w:rsid w:val="006E3705"/>
    <w:rsid w:val="006E374B"/>
    <w:rsid w:val="006E3886"/>
    <w:rsid w:val="006E3D71"/>
    <w:rsid w:val="006E3E9A"/>
    <w:rsid w:val="006E40F5"/>
    <w:rsid w:val="006E43F0"/>
    <w:rsid w:val="006E4464"/>
    <w:rsid w:val="006E4790"/>
    <w:rsid w:val="006E4A90"/>
    <w:rsid w:val="006E4E11"/>
    <w:rsid w:val="006E4FA6"/>
    <w:rsid w:val="006E509C"/>
    <w:rsid w:val="006E535D"/>
    <w:rsid w:val="006E54F9"/>
    <w:rsid w:val="006E56C6"/>
    <w:rsid w:val="006E584B"/>
    <w:rsid w:val="006E5CDA"/>
    <w:rsid w:val="006E605C"/>
    <w:rsid w:val="006E62A9"/>
    <w:rsid w:val="006E62C8"/>
    <w:rsid w:val="006E6415"/>
    <w:rsid w:val="006E6B46"/>
    <w:rsid w:val="006E6C3B"/>
    <w:rsid w:val="006E7005"/>
    <w:rsid w:val="006E78E2"/>
    <w:rsid w:val="006E7D11"/>
    <w:rsid w:val="006F001E"/>
    <w:rsid w:val="006F02C9"/>
    <w:rsid w:val="006F05DC"/>
    <w:rsid w:val="006F099C"/>
    <w:rsid w:val="006F0A76"/>
    <w:rsid w:val="006F12E7"/>
    <w:rsid w:val="006F1551"/>
    <w:rsid w:val="006F159A"/>
    <w:rsid w:val="006F16C7"/>
    <w:rsid w:val="006F1808"/>
    <w:rsid w:val="006F1D34"/>
    <w:rsid w:val="006F21BD"/>
    <w:rsid w:val="006F2491"/>
    <w:rsid w:val="006F26FB"/>
    <w:rsid w:val="006F2894"/>
    <w:rsid w:val="006F29CF"/>
    <w:rsid w:val="006F2A76"/>
    <w:rsid w:val="006F3567"/>
    <w:rsid w:val="006F35E7"/>
    <w:rsid w:val="006F3BBF"/>
    <w:rsid w:val="006F4149"/>
    <w:rsid w:val="006F50E6"/>
    <w:rsid w:val="006F519C"/>
    <w:rsid w:val="006F5492"/>
    <w:rsid w:val="006F58E0"/>
    <w:rsid w:val="006F5A29"/>
    <w:rsid w:val="006F5B70"/>
    <w:rsid w:val="006F5C52"/>
    <w:rsid w:val="006F69AB"/>
    <w:rsid w:val="006F6B61"/>
    <w:rsid w:val="006F6EE3"/>
    <w:rsid w:val="006F7027"/>
    <w:rsid w:val="006F7508"/>
    <w:rsid w:val="006F7907"/>
    <w:rsid w:val="006F7B8B"/>
    <w:rsid w:val="006F7D95"/>
    <w:rsid w:val="0070116C"/>
    <w:rsid w:val="00701185"/>
    <w:rsid w:val="00701B1E"/>
    <w:rsid w:val="00701CFA"/>
    <w:rsid w:val="00702020"/>
    <w:rsid w:val="00702486"/>
    <w:rsid w:val="007024BB"/>
    <w:rsid w:val="007028F0"/>
    <w:rsid w:val="00702F6E"/>
    <w:rsid w:val="00702F98"/>
    <w:rsid w:val="00703521"/>
    <w:rsid w:val="007038C5"/>
    <w:rsid w:val="007038E1"/>
    <w:rsid w:val="00703932"/>
    <w:rsid w:val="00703D01"/>
    <w:rsid w:val="0070448A"/>
    <w:rsid w:val="00704EDA"/>
    <w:rsid w:val="00704EEC"/>
    <w:rsid w:val="007053B8"/>
    <w:rsid w:val="00705B7E"/>
    <w:rsid w:val="00706465"/>
    <w:rsid w:val="00706E73"/>
    <w:rsid w:val="00706ED8"/>
    <w:rsid w:val="00706FE3"/>
    <w:rsid w:val="0070714A"/>
    <w:rsid w:val="0070744D"/>
    <w:rsid w:val="0070787E"/>
    <w:rsid w:val="007079B5"/>
    <w:rsid w:val="00710741"/>
    <w:rsid w:val="00710C24"/>
    <w:rsid w:val="00710EFC"/>
    <w:rsid w:val="00711084"/>
    <w:rsid w:val="0071122C"/>
    <w:rsid w:val="0071144B"/>
    <w:rsid w:val="00712232"/>
    <w:rsid w:val="007123E8"/>
    <w:rsid w:val="0071253A"/>
    <w:rsid w:val="00713631"/>
    <w:rsid w:val="0071363C"/>
    <w:rsid w:val="00713932"/>
    <w:rsid w:val="00713953"/>
    <w:rsid w:val="00714080"/>
    <w:rsid w:val="007140D8"/>
    <w:rsid w:val="0071456B"/>
    <w:rsid w:val="00714634"/>
    <w:rsid w:val="00714872"/>
    <w:rsid w:val="00714FFB"/>
    <w:rsid w:val="00715367"/>
    <w:rsid w:val="0071555F"/>
    <w:rsid w:val="00715571"/>
    <w:rsid w:val="00715C32"/>
    <w:rsid w:val="007168A7"/>
    <w:rsid w:val="00716F61"/>
    <w:rsid w:val="00717497"/>
    <w:rsid w:val="00717519"/>
    <w:rsid w:val="0071774F"/>
    <w:rsid w:val="0072000E"/>
    <w:rsid w:val="0072041B"/>
    <w:rsid w:val="00720937"/>
    <w:rsid w:val="0072097F"/>
    <w:rsid w:val="00720A23"/>
    <w:rsid w:val="00720D31"/>
    <w:rsid w:val="00720DC2"/>
    <w:rsid w:val="00720F19"/>
    <w:rsid w:val="00721143"/>
    <w:rsid w:val="00721192"/>
    <w:rsid w:val="00721547"/>
    <w:rsid w:val="00721AE2"/>
    <w:rsid w:val="00721D54"/>
    <w:rsid w:val="00721E4F"/>
    <w:rsid w:val="00721EEC"/>
    <w:rsid w:val="00722329"/>
    <w:rsid w:val="0072236B"/>
    <w:rsid w:val="00722902"/>
    <w:rsid w:val="00722959"/>
    <w:rsid w:val="00722AAF"/>
    <w:rsid w:val="00722CE7"/>
    <w:rsid w:val="00722D55"/>
    <w:rsid w:val="00722DCB"/>
    <w:rsid w:val="00722FE1"/>
    <w:rsid w:val="0072326F"/>
    <w:rsid w:val="00723369"/>
    <w:rsid w:val="007233E0"/>
    <w:rsid w:val="007242F2"/>
    <w:rsid w:val="0072455D"/>
    <w:rsid w:val="00724565"/>
    <w:rsid w:val="00724877"/>
    <w:rsid w:val="00724D41"/>
    <w:rsid w:val="0072515C"/>
    <w:rsid w:val="00725288"/>
    <w:rsid w:val="007257C3"/>
    <w:rsid w:val="00725818"/>
    <w:rsid w:val="00725CE0"/>
    <w:rsid w:val="007262F1"/>
    <w:rsid w:val="00726986"/>
    <w:rsid w:val="00726D94"/>
    <w:rsid w:val="007270DF"/>
    <w:rsid w:val="007274E4"/>
    <w:rsid w:val="00727748"/>
    <w:rsid w:val="00727A69"/>
    <w:rsid w:val="00727A7D"/>
    <w:rsid w:val="00727B77"/>
    <w:rsid w:val="00730372"/>
    <w:rsid w:val="007303CA"/>
    <w:rsid w:val="007307E4"/>
    <w:rsid w:val="00730879"/>
    <w:rsid w:val="00730882"/>
    <w:rsid w:val="00730B09"/>
    <w:rsid w:val="00730BD6"/>
    <w:rsid w:val="00730CF0"/>
    <w:rsid w:val="00730DAE"/>
    <w:rsid w:val="00731070"/>
    <w:rsid w:val="007314A9"/>
    <w:rsid w:val="00731756"/>
    <w:rsid w:val="007319DD"/>
    <w:rsid w:val="007328A9"/>
    <w:rsid w:val="00732B94"/>
    <w:rsid w:val="00732D1D"/>
    <w:rsid w:val="00732D67"/>
    <w:rsid w:val="00733000"/>
    <w:rsid w:val="00733347"/>
    <w:rsid w:val="007335FD"/>
    <w:rsid w:val="00733FFE"/>
    <w:rsid w:val="007340A8"/>
    <w:rsid w:val="007342A1"/>
    <w:rsid w:val="007342CC"/>
    <w:rsid w:val="007347C4"/>
    <w:rsid w:val="00734BD3"/>
    <w:rsid w:val="00734C89"/>
    <w:rsid w:val="00734F4F"/>
    <w:rsid w:val="0073500E"/>
    <w:rsid w:val="007355AC"/>
    <w:rsid w:val="00736A6F"/>
    <w:rsid w:val="00736A94"/>
    <w:rsid w:val="00736B8B"/>
    <w:rsid w:val="00736E0E"/>
    <w:rsid w:val="007375C8"/>
    <w:rsid w:val="00737B45"/>
    <w:rsid w:val="00737CFC"/>
    <w:rsid w:val="00737EB3"/>
    <w:rsid w:val="00740361"/>
    <w:rsid w:val="00740538"/>
    <w:rsid w:val="00740A3E"/>
    <w:rsid w:val="00740BED"/>
    <w:rsid w:val="00740C2B"/>
    <w:rsid w:val="00740F5C"/>
    <w:rsid w:val="00741517"/>
    <w:rsid w:val="00741768"/>
    <w:rsid w:val="00742152"/>
    <w:rsid w:val="007421B5"/>
    <w:rsid w:val="0074238D"/>
    <w:rsid w:val="00742471"/>
    <w:rsid w:val="007425EA"/>
    <w:rsid w:val="0074280C"/>
    <w:rsid w:val="00742B7B"/>
    <w:rsid w:val="00742BD5"/>
    <w:rsid w:val="00742E19"/>
    <w:rsid w:val="0074403C"/>
    <w:rsid w:val="0074482F"/>
    <w:rsid w:val="0074491A"/>
    <w:rsid w:val="00745335"/>
    <w:rsid w:val="00745381"/>
    <w:rsid w:val="00745539"/>
    <w:rsid w:val="00745B2D"/>
    <w:rsid w:val="00745CD7"/>
    <w:rsid w:val="007460AA"/>
    <w:rsid w:val="00746186"/>
    <w:rsid w:val="007463F9"/>
    <w:rsid w:val="007464A3"/>
    <w:rsid w:val="007467E7"/>
    <w:rsid w:val="0074721A"/>
    <w:rsid w:val="007502F2"/>
    <w:rsid w:val="007507E7"/>
    <w:rsid w:val="007508B4"/>
    <w:rsid w:val="007508E8"/>
    <w:rsid w:val="007508F9"/>
    <w:rsid w:val="00751472"/>
    <w:rsid w:val="0075173C"/>
    <w:rsid w:val="00751F67"/>
    <w:rsid w:val="00752125"/>
    <w:rsid w:val="0075234F"/>
    <w:rsid w:val="00752588"/>
    <w:rsid w:val="007525FD"/>
    <w:rsid w:val="00752822"/>
    <w:rsid w:val="0075297C"/>
    <w:rsid w:val="00752B2E"/>
    <w:rsid w:val="007538EA"/>
    <w:rsid w:val="007539E8"/>
    <w:rsid w:val="00753A13"/>
    <w:rsid w:val="00753B53"/>
    <w:rsid w:val="00753F79"/>
    <w:rsid w:val="00754132"/>
    <w:rsid w:val="007542CA"/>
    <w:rsid w:val="00754B39"/>
    <w:rsid w:val="00754F28"/>
    <w:rsid w:val="00754FE2"/>
    <w:rsid w:val="00755041"/>
    <w:rsid w:val="007554B1"/>
    <w:rsid w:val="007555E7"/>
    <w:rsid w:val="007559BE"/>
    <w:rsid w:val="00755E8D"/>
    <w:rsid w:val="00756929"/>
    <w:rsid w:val="00756AF0"/>
    <w:rsid w:val="00757004"/>
    <w:rsid w:val="007570F4"/>
    <w:rsid w:val="00757647"/>
    <w:rsid w:val="00757DC9"/>
    <w:rsid w:val="00757E3E"/>
    <w:rsid w:val="007600B7"/>
    <w:rsid w:val="007609EA"/>
    <w:rsid w:val="00760A34"/>
    <w:rsid w:val="00761741"/>
    <w:rsid w:val="00761995"/>
    <w:rsid w:val="00761BA6"/>
    <w:rsid w:val="00761D9F"/>
    <w:rsid w:val="00762217"/>
    <w:rsid w:val="00762280"/>
    <w:rsid w:val="00762F73"/>
    <w:rsid w:val="00763339"/>
    <w:rsid w:val="007633C0"/>
    <w:rsid w:val="007636FF"/>
    <w:rsid w:val="00763C14"/>
    <w:rsid w:val="00763D77"/>
    <w:rsid w:val="00763E36"/>
    <w:rsid w:val="007640E3"/>
    <w:rsid w:val="00764606"/>
    <w:rsid w:val="00764A5F"/>
    <w:rsid w:val="00764D29"/>
    <w:rsid w:val="00765313"/>
    <w:rsid w:val="007654F4"/>
    <w:rsid w:val="00765829"/>
    <w:rsid w:val="00765B47"/>
    <w:rsid w:val="00765B97"/>
    <w:rsid w:val="00765F82"/>
    <w:rsid w:val="00765FC7"/>
    <w:rsid w:val="00766377"/>
    <w:rsid w:val="007665D8"/>
    <w:rsid w:val="00766856"/>
    <w:rsid w:val="007671E5"/>
    <w:rsid w:val="00767246"/>
    <w:rsid w:val="0076738D"/>
    <w:rsid w:val="0076784C"/>
    <w:rsid w:val="00767E83"/>
    <w:rsid w:val="0077045D"/>
    <w:rsid w:val="007705CF"/>
    <w:rsid w:val="007707CD"/>
    <w:rsid w:val="007709DE"/>
    <w:rsid w:val="00770BAA"/>
    <w:rsid w:val="0077111D"/>
    <w:rsid w:val="007716D8"/>
    <w:rsid w:val="00771922"/>
    <w:rsid w:val="0077195B"/>
    <w:rsid w:val="00771EE0"/>
    <w:rsid w:val="00772405"/>
    <w:rsid w:val="0077242E"/>
    <w:rsid w:val="007726D6"/>
    <w:rsid w:val="00772B01"/>
    <w:rsid w:val="00772CAD"/>
    <w:rsid w:val="0077370F"/>
    <w:rsid w:val="00773D74"/>
    <w:rsid w:val="00773E79"/>
    <w:rsid w:val="00773FAF"/>
    <w:rsid w:val="007742A0"/>
    <w:rsid w:val="0077444E"/>
    <w:rsid w:val="0077461B"/>
    <w:rsid w:val="00774926"/>
    <w:rsid w:val="00774B00"/>
    <w:rsid w:val="00774D41"/>
    <w:rsid w:val="00774E76"/>
    <w:rsid w:val="00775177"/>
    <w:rsid w:val="00775303"/>
    <w:rsid w:val="007758BC"/>
    <w:rsid w:val="007758CA"/>
    <w:rsid w:val="007759E3"/>
    <w:rsid w:val="00775A06"/>
    <w:rsid w:val="00775B58"/>
    <w:rsid w:val="00775CDA"/>
    <w:rsid w:val="0077619D"/>
    <w:rsid w:val="007765EA"/>
    <w:rsid w:val="00776EA5"/>
    <w:rsid w:val="00776F41"/>
    <w:rsid w:val="007775DC"/>
    <w:rsid w:val="00777852"/>
    <w:rsid w:val="007779D6"/>
    <w:rsid w:val="00777A03"/>
    <w:rsid w:val="00777B58"/>
    <w:rsid w:val="00777BBE"/>
    <w:rsid w:val="00777CA8"/>
    <w:rsid w:val="00777E41"/>
    <w:rsid w:val="0078011C"/>
    <w:rsid w:val="007802DF"/>
    <w:rsid w:val="007804D4"/>
    <w:rsid w:val="00780643"/>
    <w:rsid w:val="0078149D"/>
    <w:rsid w:val="0078177B"/>
    <w:rsid w:val="00781C14"/>
    <w:rsid w:val="00781CED"/>
    <w:rsid w:val="00781E13"/>
    <w:rsid w:val="0078220E"/>
    <w:rsid w:val="00782397"/>
    <w:rsid w:val="00782760"/>
    <w:rsid w:val="007828E5"/>
    <w:rsid w:val="007829B9"/>
    <w:rsid w:val="00782C63"/>
    <w:rsid w:val="00782E17"/>
    <w:rsid w:val="00783113"/>
    <w:rsid w:val="00783447"/>
    <w:rsid w:val="00783789"/>
    <w:rsid w:val="00783926"/>
    <w:rsid w:val="00783BA0"/>
    <w:rsid w:val="00784122"/>
    <w:rsid w:val="00784599"/>
    <w:rsid w:val="007847DF"/>
    <w:rsid w:val="00784A19"/>
    <w:rsid w:val="00784B1F"/>
    <w:rsid w:val="00784C04"/>
    <w:rsid w:val="007852D7"/>
    <w:rsid w:val="00785460"/>
    <w:rsid w:val="00785A98"/>
    <w:rsid w:val="00785CE8"/>
    <w:rsid w:val="00785D16"/>
    <w:rsid w:val="00785D2E"/>
    <w:rsid w:val="00785D40"/>
    <w:rsid w:val="0078635B"/>
    <w:rsid w:val="00786492"/>
    <w:rsid w:val="00786568"/>
    <w:rsid w:val="00786737"/>
    <w:rsid w:val="00786781"/>
    <w:rsid w:val="00786F28"/>
    <w:rsid w:val="00786F38"/>
    <w:rsid w:val="0078710C"/>
    <w:rsid w:val="007872B9"/>
    <w:rsid w:val="0078733E"/>
    <w:rsid w:val="00787FF3"/>
    <w:rsid w:val="00790095"/>
    <w:rsid w:val="00790768"/>
    <w:rsid w:val="00790977"/>
    <w:rsid w:val="007913FD"/>
    <w:rsid w:val="00791BB1"/>
    <w:rsid w:val="00791C84"/>
    <w:rsid w:val="00791FE1"/>
    <w:rsid w:val="00792041"/>
    <w:rsid w:val="0079226B"/>
    <w:rsid w:val="007922C2"/>
    <w:rsid w:val="00792FCB"/>
    <w:rsid w:val="00793049"/>
    <w:rsid w:val="007933AD"/>
    <w:rsid w:val="007933C8"/>
    <w:rsid w:val="00793BE9"/>
    <w:rsid w:val="00794190"/>
    <w:rsid w:val="007942A0"/>
    <w:rsid w:val="0079442F"/>
    <w:rsid w:val="0079467F"/>
    <w:rsid w:val="00794C4D"/>
    <w:rsid w:val="00794D96"/>
    <w:rsid w:val="00794E01"/>
    <w:rsid w:val="00794FF9"/>
    <w:rsid w:val="0079529D"/>
    <w:rsid w:val="00795489"/>
    <w:rsid w:val="007954BA"/>
    <w:rsid w:val="007963C7"/>
    <w:rsid w:val="0079681C"/>
    <w:rsid w:val="00796C7A"/>
    <w:rsid w:val="00796E90"/>
    <w:rsid w:val="007979DD"/>
    <w:rsid w:val="00797A78"/>
    <w:rsid w:val="00797D98"/>
    <w:rsid w:val="00797FEB"/>
    <w:rsid w:val="007A02AD"/>
    <w:rsid w:val="007A02B5"/>
    <w:rsid w:val="007A0633"/>
    <w:rsid w:val="007A0B5C"/>
    <w:rsid w:val="007A0F15"/>
    <w:rsid w:val="007A1055"/>
    <w:rsid w:val="007A1317"/>
    <w:rsid w:val="007A13E7"/>
    <w:rsid w:val="007A151D"/>
    <w:rsid w:val="007A173E"/>
    <w:rsid w:val="007A1DBC"/>
    <w:rsid w:val="007A1E35"/>
    <w:rsid w:val="007A243E"/>
    <w:rsid w:val="007A2688"/>
    <w:rsid w:val="007A2740"/>
    <w:rsid w:val="007A3198"/>
    <w:rsid w:val="007A3AFC"/>
    <w:rsid w:val="007A3FFB"/>
    <w:rsid w:val="007A408C"/>
    <w:rsid w:val="007A4624"/>
    <w:rsid w:val="007A4AEC"/>
    <w:rsid w:val="007A4AF1"/>
    <w:rsid w:val="007A4CD8"/>
    <w:rsid w:val="007A4D1E"/>
    <w:rsid w:val="007A5C02"/>
    <w:rsid w:val="007A5CAF"/>
    <w:rsid w:val="007A5E89"/>
    <w:rsid w:val="007A5F95"/>
    <w:rsid w:val="007A6088"/>
    <w:rsid w:val="007A65A9"/>
    <w:rsid w:val="007A689C"/>
    <w:rsid w:val="007A709C"/>
    <w:rsid w:val="007A70EC"/>
    <w:rsid w:val="007A71C9"/>
    <w:rsid w:val="007A72F9"/>
    <w:rsid w:val="007A7848"/>
    <w:rsid w:val="007A7913"/>
    <w:rsid w:val="007A7AB4"/>
    <w:rsid w:val="007A7F7B"/>
    <w:rsid w:val="007B0134"/>
    <w:rsid w:val="007B08EE"/>
    <w:rsid w:val="007B0CB8"/>
    <w:rsid w:val="007B0E0E"/>
    <w:rsid w:val="007B1CB8"/>
    <w:rsid w:val="007B1F5B"/>
    <w:rsid w:val="007B250D"/>
    <w:rsid w:val="007B277A"/>
    <w:rsid w:val="007B2A90"/>
    <w:rsid w:val="007B3617"/>
    <w:rsid w:val="007B3E48"/>
    <w:rsid w:val="007B4857"/>
    <w:rsid w:val="007B4B7D"/>
    <w:rsid w:val="007B525C"/>
    <w:rsid w:val="007B59AB"/>
    <w:rsid w:val="007B5C3B"/>
    <w:rsid w:val="007B5C82"/>
    <w:rsid w:val="007B5DEB"/>
    <w:rsid w:val="007B5E63"/>
    <w:rsid w:val="007B6504"/>
    <w:rsid w:val="007B691F"/>
    <w:rsid w:val="007B6A8D"/>
    <w:rsid w:val="007B72B9"/>
    <w:rsid w:val="007B7512"/>
    <w:rsid w:val="007B75EE"/>
    <w:rsid w:val="007B7700"/>
    <w:rsid w:val="007B7742"/>
    <w:rsid w:val="007B77EF"/>
    <w:rsid w:val="007B7834"/>
    <w:rsid w:val="007B788C"/>
    <w:rsid w:val="007B7914"/>
    <w:rsid w:val="007B7A0E"/>
    <w:rsid w:val="007B7CA8"/>
    <w:rsid w:val="007C0092"/>
    <w:rsid w:val="007C035B"/>
    <w:rsid w:val="007C0404"/>
    <w:rsid w:val="007C0AA3"/>
    <w:rsid w:val="007C11EF"/>
    <w:rsid w:val="007C2C9D"/>
    <w:rsid w:val="007C2DD2"/>
    <w:rsid w:val="007C2F64"/>
    <w:rsid w:val="007C32CF"/>
    <w:rsid w:val="007C3B33"/>
    <w:rsid w:val="007C3C0E"/>
    <w:rsid w:val="007C3C43"/>
    <w:rsid w:val="007C3E8E"/>
    <w:rsid w:val="007C4C20"/>
    <w:rsid w:val="007C4E5B"/>
    <w:rsid w:val="007C52ED"/>
    <w:rsid w:val="007C5436"/>
    <w:rsid w:val="007C552E"/>
    <w:rsid w:val="007C55BE"/>
    <w:rsid w:val="007C5619"/>
    <w:rsid w:val="007C5E14"/>
    <w:rsid w:val="007C6307"/>
    <w:rsid w:val="007C6391"/>
    <w:rsid w:val="007C65B3"/>
    <w:rsid w:val="007C6863"/>
    <w:rsid w:val="007C6CE5"/>
    <w:rsid w:val="007C6FD3"/>
    <w:rsid w:val="007C73D8"/>
    <w:rsid w:val="007C79DE"/>
    <w:rsid w:val="007C7ACB"/>
    <w:rsid w:val="007C7F4F"/>
    <w:rsid w:val="007D0240"/>
    <w:rsid w:val="007D0249"/>
    <w:rsid w:val="007D0474"/>
    <w:rsid w:val="007D0525"/>
    <w:rsid w:val="007D0763"/>
    <w:rsid w:val="007D0A20"/>
    <w:rsid w:val="007D0F38"/>
    <w:rsid w:val="007D11DF"/>
    <w:rsid w:val="007D12E3"/>
    <w:rsid w:val="007D157C"/>
    <w:rsid w:val="007D1AEB"/>
    <w:rsid w:val="007D1F49"/>
    <w:rsid w:val="007D224D"/>
    <w:rsid w:val="007D26A1"/>
    <w:rsid w:val="007D2A71"/>
    <w:rsid w:val="007D2C3F"/>
    <w:rsid w:val="007D326F"/>
    <w:rsid w:val="007D3370"/>
    <w:rsid w:val="007D389D"/>
    <w:rsid w:val="007D3CD9"/>
    <w:rsid w:val="007D3D99"/>
    <w:rsid w:val="007D4390"/>
    <w:rsid w:val="007D4A5F"/>
    <w:rsid w:val="007D4AD5"/>
    <w:rsid w:val="007D4D7D"/>
    <w:rsid w:val="007D4EE7"/>
    <w:rsid w:val="007D50AB"/>
    <w:rsid w:val="007D593B"/>
    <w:rsid w:val="007D5AFF"/>
    <w:rsid w:val="007D5B36"/>
    <w:rsid w:val="007D5E1D"/>
    <w:rsid w:val="007D60B7"/>
    <w:rsid w:val="007D67CB"/>
    <w:rsid w:val="007D6CC6"/>
    <w:rsid w:val="007D71A8"/>
    <w:rsid w:val="007D72F9"/>
    <w:rsid w:val="007D73D4"/>
    <w:rsid w:val="007D76BD"/>
    <w:rsid w:val="007D7758"/>
    <w:rsid w:val="007D77BA"/>
    <w:rsid w:val="007D7BA5"/>
    <w:rsid w:val="007D7C78"/>
    <w:rsid w:val="007D7C9B"/>
    <w:rsid w:val="007D7DCD"/>
    <w:rsid w:val="007E00B7"/>
    <w:rsid w:val="007E034C"/>
    <w:rsid w:val="007E0D0A"/>
    <w:rsid w:val="007E0FD1"/>
    <w:rsid w:val="007E1077"/>
    <w:rsid w:val="007E17C5"/>
    <w:rsid w:val="007E19F4"/>
    <w:rsid w:val="007E21DD"/>
    <w:rsid w:val="007E27DB"/>
    <w:rsid w:val="007E29C6"/>
    <w:rsid w:val="007E313C"/>
    <w:rsid w:val="007E31B0"/>
    <w:rsid w:val="007E37A2"/>
    <w:rsid w:val="007E395B"/>
    <w:rsid w:val="007E3A61"/>
    <w:rsid w:val="007E3E8A"/>
    <w:rsid w:val="007E4217"/>
    <w:rsid w:val="007E45F3"/>
    <w:rsid w:val="007E4AF4"/>
    <w:rsid w:val="007E4DE6"/>
    <w:rsid w:val="007E4E2F"/>
    <w:rsid w:val="007E4F29"/>
    <w:rsid w:val="007E4FAB"/>
    <w:rsid w:val="007E5397"/>
    <w:rsid w:val="007E5629"/>
    <w:rsid w:val="007E5A1F"/>
    <w:rsid w:val="007E5E42"/>
    <w:rsid w:val="007E60A4"/>
    <w:rsid w:val="007E65DB"/>
    <w:rsid w:val="007E69F4"/>
    <w:rsid w:val="007E6E85"/>
    <w:rsid w:val="007E6F81"/>
    <w:rsid w:val="007E6FC1"/>
    <w:rsid w:val="007E74C1"/>
    <w:rsid w:val="007E7712"/>
    <w:rsid w:val="007E7B88"/>
    <w:rsid w:val="007E7CDD"/>
    <w:rsid w:val="007F00C7"/>
    <w:rsid w:val="007F065A"/>
    <w:rsid w:val="007F0D9D"/>
    <w:rsid w:val="007F0F50"/>
    <w:rsid w:val="007F15EA"/>
    <w:rsid w:val="007F1716"/>
    <w:rsid w:val="007F1957"/>
    <w:rsid w:val="007F19B2"/>
    <w:rsid w:val="007F1AB6"/>
    <w:rsid w:val="007F1FDF"/>
    <w:rsid w:val="007F22A1"/>
    <w:rsid w:val="007F2562"/>
    <w:rsid w:val="007F2633"/>
    <w:rsid w:val="007F28CA"/>
    <w:rsid w:val="007F2D13"/>
    <w:rsid w:val="007F2D2D"/>
    <w:rsid w:val="007F2DA8"/>
    <w:rsid w:val="007F3267"/>
    <w:rsid w:val="007F3294"/>
    <w:rsid w:val="007F3551"/>
    <w:rsid w:val="007F36BA"/>
    <w:rsid w:val="007F3974"/>
    <w:rsid w:val="007F399A"/>
    <w:rsid w:val="007F3C53"/>
    <w:rsid w:val="007F3E70"/>
    <w:rsid w:val="007F3ECC"/>
    <w:rsid w:val="007F3F1D"/>
    <w:rsid w:val="007F4405"/>
    <w:rsid w:val="007F4AED"/>
    <w:rsid w:val="007F4DC2"/>
    <w:rsid w:val="007F4EE9"/>
    <w:rsid w:val="007F5510"/>
    <w:rsid w:val="007F5778"/>
    <w:rsid w:val="007F6146"/>
    <w:rsid w:val="007F6508"/>
    <w:rsid w:val="007F6529"/>
    <w:rsid w:val="007F6537"/>
    <w:rsid w:val="007F6E7A"/>
    <w:rsid w:val="007F778E"/>
    <w:rsid w:val="007F780A"/>
    <w:rsid w:val="007F7A69"/>
    <w:rsid w:val="007F7C63"/>
    <w:rsid w:val="007F7FD6"/>
    <w:rsid w:val="00800184"/>
    <w:rsid w:val="00800185"/>
    <w:rsid w:val="00800360"/>
    <w:rsid w:val="008007E8"/>
    <w:rsid w:val="00800BEF"/>
    <w:rsid w:val="00801115"/>
    <w:rsid w:val="008012B2"/>
    <w:rsid w:val="008013F9"/>
    <w:rsid w:val="008015B3"/>
    <w:rsid w:val="00801788"/>
    <w:rsid w:val="00801AC8"/>
    <w:rsid w:val="00801AD7"/>
    <w:rsid w:val="008022DF"/>
    <w:rsid w:val="00802324"/>
    <w:rsid w:val="00802354"/>
    <w:rsid w:val="008029B1"/>
    <w:rsid w:val="008032CD"/>
    <w:rsid w:val="008033A7"/>
    <w:rsid w:val="0080373D"/>
    <w:rsid w:val="0080377D"/>
    <w:rsid w:val="00804273"/>
    <w:rsid w:val="0080472A"/>
    <w:rsid w:val="0080483C"/>
    <w:rsid w:val="00804D1C"/>
    <w:rsid w:val="00805117"/>
    <w:rsid w:val="0080513E"/>
    <w:rsid w:val="008055BD"/>
    <w:rsid w:val="00805772"/>
    <w:rsid w:val="008058E4"/>
    <w:rsid w:val="00806024"/>
    <w:rsid w:val="0080604A"/>
    <w:rsid w:val="0080616B"/>
    <w:rsid w:val="008069B3"/>
    <w:rsid w:val="00806AAC"/>
    <w:rsid w:val="00806FE9"/>
    <w:rsid w:val="00807258"/>
    <w:rsid w:val="00807275"/>
    <w:rsid w:val="008075B2"/>
    <w:rsid w:val="008076BC"/>
    <w:rsid w:val="0081020C"/>
    <w:rsid w:val="008104C4"/>
    <w:rsid w:val="008104C5"/>
    <w:rsid w:val="0081064E"/>
    <w:rsid w:val="00810747"/>
    <w:rsid w:val="00810760"/>
    <w:rsid w:val="00810D4D"/>
    <w:rsid w:val="00811551"/>
    <w:rsid w:val="00812003"/>
    <w:rsid w:val="00812895"/>
    <w:rsid w:val="00812BC6"/>
    <w:rsid w:val="00812D13"/>
    <w:rsid w:val="00812DB4"/>
    <w:rsid w:val="00813113"/>
    <w:rsid w:val="008133D7"/>
    <w:rsid w:val="0081344A"/>
    <w:rsid w:val="008135CF"/>
    <w:rsid w:val="0081389B"/>
    <w:rsid w:val="00813C38"/>
    <w:rsid w:val="0081423A"/>
    <w:rsid w:val="00814380"/>
    <w:rsid w:val="0081444C"/>
    <w:rsid w:val="008144F7"/>
    <w:rsid w:val="00814655"/>
    <w:rsid w:val="00814E54"/>
    <w:rsid w:val="00814EB0"/>
    <w:rsid w:val="00814FDB"/>
    <w:rsid w:val="00815383"/>
    <w:rsid w:val="00815543"/>
    <w:rsid w:val="008158B2"/>
    <w:rsid w:val="0081628E"/>
    <w:rsid w:val="008165BD"/>
    <w:rsid w:val="008165CD"/>
    <w:rsid w:val="00816CCA"/>
    <w:rsid w:val="00816D80"/>
    <w:rsid w:val="0081714C"/>
    <w:rsid w:val="008178C9"/>
    <w:rsid w:val="008179EF"/>
    <w:rsid w:val="008179FE"/>
    <w:rsid w:val="00817A37"/>
    <w:rsid w:val="00817E78"/>
    <w:rsid w:val="00820129"/>
    <w:rsid w:val="00820339"/>
    <w:rsid w:val="008206DF"/>
    <w:rsid w:val="008207CA"/>
    <w:rsid w:val="00820CD7"/>
    <w:rsid w:val="00820F37"/>
    <w:rsid w:val="00821068"/>
    <w:rsid w:val="00821600"/>
    <w:rsid w:val="008216E5"/>
    <w:rsid w:val="00821924"/>
    <w:rsid w:val="008219C5"/>
    <w:rsid w:val="00821D7A"/>
    <w:rsid w:val="00821FBC"/>
    <w:rsid w:val="008220E4"/>
    <w:rsid w:val="008223F1"/>
    <w:rsid w:val="00822690"/>
    <w:rsid w:val="0082303D"/>
    <w:rsid w:val="00823191"/>
    <w:rsid w:val="00823369"/>
    <w:rsid w:val="00823480"/>
    <w:rsid w:val="00823593"/>
    <w:rsid w:val="00823A62"/>
    <w:rsid w:val="00823E7D"/>
    <w:rsid w:val="0082470B"/>
    <w:rsid w:val="008249D8"/>
    <w:rsid w:val="00824E20"/>
    <w:rsid w:val="0082507E"/>
    <w:rsid w:val="0082532F"/>
    <w:rsid w:val="00826215"/>
    <w:rsid w:val="0082680A"/>
    <w:rsid w:val="00826DD6"/>
    <w:rsid w:val="00826E86"/>
    <w:rsid w:val="00827059"/>
    <w:rsid w:val="00827137"/>
    <w:rsid w:val="008271EC"/>
    <w:rsid w:val="00827395"/>
    <w:rsid w:val="00827CEE"/>
    <w:rsid w:val="00830760"/>
    <w:rsid w:val="00830ED4"/>
    <w:rsid w:val="00830F17"/>
    <w:rsid w:val="00831134"/>
    <w:rsid w:val="008311E8"/>
    <w:rsid w:val="0083130B"/>
    <w:rsid w:val="008314F1"/>
    <w:rsid w:val="0083199C"/>
    <w:rsid w:val="00831A8A"/>
    <w:rsid w:val="00831D72"/>
    <w:rsid w:val="00831E14"/>
    <w:rsid w:val="00831F99"/>
    <w:rsid w:val="0083267E"/>
    <w:rsid w:val="00832828"/>
    <w:rsid w:val="00832DD3"/>
    <w:rsid w:val="00833043"/>
    <w:rsid w:val="00833773"/>
    <w:rsid w:val="00833EFC"/>
    <w:rsid w:val="00834378"/>
    <w:rsid w:val="0083447F"/>
    <w:rsid w:val="00834640"/>
    <w:rsid w:val="0083474C"/>
    <w:rsid w:val="00834A2A"/>
    <w:rsid w:val="008357F5"/>
    <w:rsid w:val="00835855"/>
    <w:rsid w:val="00835C43"/>
    <w:rsid w:val="00835E69"/>
    <w:rsid w:val="00835FCB"/>
    <w:rsid w:val="00836506"/>
    <w:rsid w:val="0083698C"/>
    <w:rsid w:val="00836A09"/>
    <w:rsid w:val="00836AF4"/>
    <w:rsid w:val="00836D3A"/>
    <w:rsid w:val="00836DC8"/>
    <w:rsid w:val="00836E7C"/>
    <w:rsid w:val="00836E9D"/>
    <w:rsid w:val="00836F22"/>
    <w:rsid w:val="00836FF5"/>
    <w:rsid w:val="008373EF"/>
    <w:rsid w:val="00837B25"/>
    <w:rsid w:val="00837EB5"/>
    <w:rsid w:val="00840162"/>
    <w:rsid w:val="008407AA"/>
    <w:rsid w:val="00840B05"/>
    <w:rsid w:val="00840B7E"/>
    <w:rsid w:val="00840B86"/>
    <w:rsid w:val="00840F21"/>
    <w:rsid w:val="008410C2"/>
    <w:rsid w:val="00841348"/>
    <w:rsid w:val="00841818"/>
    <w:rsid w:val="00841F34"/>
    <w:rsid w:val="008423E4"/>
    <w:rsid w:val="00842B7E"/>
    <w:rsid w:val="00842E49"/>
    <w:rsid w:val="00843173"/>
    <w:rsid w:val="008431FB"/>
    <w:rsid w:val="00843B6F"/>
    <w:rsid w:val="00843C04"/>
    <w:rsid w:val="008444F9"/>
    <w:rsid w:val="00844602"/>
    <w:rsid w:val="0084460C"/>
    <w:rsid w:val="00844995"/>
    <w:rsid w:val="00844AAE"/>
    <w:rsid w:val="00844CCC"/>
    <w:rsid w:val="00845078"/>
    <w:rsid w:val="008451B3"/>
    <w:rsid w:val="0084537D"/>
    <w:rsid w:val="0084559B"/>
    <w:rsid w:val="00845F2B"/>
    <w:rsid w:val="00845F67"/>
    <w:rsid w:val="00846008"/>
    <w:rsid w:val="008462DD"/>
    <w:rsid w:val="00846FA6"/>
    <w:rsid w:val="008471F7"/>
    <w:rsid w:val="00847766"/>
    <w:rsid w:val="00847C32"/>
    <w:rsid w:val="00847D4D"/>
    <w:rsid w:val="00847F8E"/>
    <w:rsid w:val="008501F0"/>
    <w:rsid w:val="00850364"/>
    <w:rsid w:val="00850ABD"/>
    <w:rsid w:val="00850E1B"/>
    <w:rsid w:val="008510AB"/>
    <w:rsid w:val="0085116D"/>
    <w:rsid w:val="00851222"/>
    <w:rsid w:val="008514DF"/>
    <w:rsid w:val="00851613"/>
    <w:rsid w:val="00852056"/>
    <w:rsid w:val="00852875"/>
    <w:rsid w:val="00852C77"/>
    <w:rsid w:val="00852DBD"/>
    <w:rsid w:val="00852FC8"/>
    <w:rsid w:val="008530DA"/>
    <w:rsid w:val="0085360A"/>
    <w:rsid w:val="00854548"/>
    <w:rsid w:val="0085460D"/>
    <w:rsid w:val="0085481B"/>
    <w:rsid w:val="0085489D"/>
    <w:rsid w:val="00854AC5"/>
    <w:rsid w:val="008550DC"/>
    <w:rsid w:val="00855527"/>
    <w:rsid w:val="0085583E"/>
    <w:rsid w:val="00855FA3"/>
    <w:rsid w:val="00856403"/>
    <w:rsid w:val="0085678D"/>
    <w:rsid w:val="0085694D"/>
    <w:rsid w:val="00856985"/>
    <w:rsid w:val="00856BB6"/>
    <w:rsid w:val="00857E17"/>
    <w:rsid w:val="008604F8"/>
    <w:rsid w:val="0086058A"/>
    <w:rsid w:val="00860FBC"/>
    <w:rsid w:val="008612E8"/>
    <w:rsid w:val="00861414"/>
    <w:rsid w:val="0086142A"/>
    <w:rsid w:val="008615FC"/>
    <w:rsid w:val="0086179F"/>
    <w:rsid w:val="00861C02"/>
    <w:rsid w:val="00861D23"/>
    <w:rsid w:val="00861D90"/>
    <w:rsid w:val="00862010"/>
    <w:rsid w:val="00862205"/>
    <w:rsid w:val="008628A1"/>
    <w:rsid w:val="00862900"/>
    <w:rsid w:val="00862F05"/>
    <w:rsid w:val="0086374A"/>
    <w:rsid w:val="00863D23"/>
    <w:rsid w:val="00864934"/>
    <w:rsid w:val="00864AB5"/>
    <w:rsid w:val="008650D6"/>
    <w:rsid w:val="00865297"/>
    <w:rsid w:val="00865474"/>
    <w:rsid w:val="00866254"/>
    <w:rsid w:val="00866869"/>
    <w:rsid w:val="00866D03"/>
    <w:rsid w:val="00867412"/>
    <w:rsid w:val="0086749C"/>
    <w:rsid w:val="0087005C"/>
    <w:rsid w:val="00870107"/>
    <w:rsid w:val="00870182"/>
    <w:rsid w:val="0087024B"/>
    <w:rsid w:val="008702ED"/>
    <w:rsid w:val="00870332"/>
    <w:rsid w:val="00870538"/>
    <w:rsid w:val="008707A3"/>
    <w:rsid w:val="00870F26"/>
    <w:rsid w:val="008713AC"/>
    <w:rsid w:val="00871A01"/>
    <w:rsid w:val="00871A97"/>
    <w:rsid w:val="00871F77"/>
    <w:rsid w:val="00872005"/>
    <w:rsid w:val="00872178"/>
    <w:rsid w:val="00872215"/>
    <w:rsid w:val="00872759"/>
    <w:rsid w:val="00872C70"/>
    <w:rsid w:val="00872EF0"/>
    <w:rsid w:val="00872FF9"/>
    <w:rsid w:val="0087338F"/>
    <w:rsid w:val="0087346F"/>
    <w:rsid w:val="008735ED"/>
    <w:rsid w:val="00874081"/>
    <w:rsid w:val="008741E0"/>
    <w:rsid w:val="0087422F"/>
    <w:rsid w:val="0087497B"/>
    <w:rsid w:val="00874C6B"/>
    <w:rsid w:val="00874C8C"/>
    <w:rsid w:val="00874F44"/>
    <w:rsid w:val="008759C2"/>
    <w:rsid w:val="00875EEC"/>
    <w:rsid w:val="0087602C"/>
    <w:rsid w:val="0087605D"/>
    <w:rsid w:val="008768E8"/>
    <w:rsid w:val="00876A06"/>
    <w:rsid w:val="00876A48"/>
    <w:rsid w:val="00876BE4"/>
    <w:rsid w:val="00876CD4"/>
    <w:rsid w:val="00876E2F"/>
    <w:rsid w:val="0087702F"/>
    <w:rsid w:val="008771B4"/>
    <w:rsid w:val="008772D3"/>
    <w:rsid w:val="008774BC"/>
    <w:rsid w:val="0087784F"/>
    <w:rsid w:val="00877907"/>
    <w:rsid w:val="00877CA9"/>
    <w:rsid w:val="00877F39"/>
    <w:rsid w:val="00877F65"/>
    <w:rsid w:val="008801C4"/>
    <w:rsid w:val="00880930"/>
    <w:rsid w:val="00880CD7"/>
    <w:rsid w:val="00880D30"/>
    <w:rsid w:val="008822E8"/>
    <w:rsid w:val="00883D1F"/>
    <w:rsid w:val="008840AB"/>
    <w:rsid w:val="00884504"/>
    <w:rsid w:val="00884637"/>
    <w:rsid w:val="0088481D"/>
    <w:rsid w:val="00884B1C"/>
    <w:rsid w:val="00884CB8"/>
    <w:rsid w:val="008850E8"/>
    <w:rsid w:val="008851DD"/>
    <w:rsid w:val="00885632"/>
    <w:rsid w:val="00885645"/>
    <w:rsid w:val="008856F9"/>
    <w:rsid w:val="00885758"/>
    <w:rsid w:val="00885C60"/>
    <w:rsid w:val="00885F3A"/>
    <w:rsid w:val="008864E5"/>
    <w:rsid w:val="008868B2"/>
    <w:rsid w:val="00886AB9"/>
    <w:rsid w:val="00886F00"/>
    <w:rsid w:val="0088716E"/>
    <w:rsid w:val="0088721A"/>
    <w:rsid w:val="00887708"/>
    <w:rsid w:val="00887786"/>
    <w:rsid w:val="0089033F"/>
    <w:rsid w:val="008908EE"/>
    <w:rsid w:val="00890A6E"/>
    <w:rsid w:val="00891056"/>
    <w:rsid w:val="0089106D"/>
    <w:rsid w:val="0089178C"/>
    <w:rsid w:val="00891A9D"/>
    <w:rsid w:val="00891B89"/>
    <w:rsid w:val="00891C57"/>
    <w:rsid w:val="00891F82"/>
    <w:rsid w:val="0089205F"/>
    <w:rsid w:val="0089210E"/>
    <w:rsid w:val="008922C6"/>
    <w:rsid w:val="008925B6"/>
    <w:rsid w:val="0089335C"/>
    <w:rsid w:val="00893B0A"/>
    <w:rsid w:val="00893EF4"/>
    <w:rsid w:val="008940A4"/>
    <w:rsid w:val="00894172"/>
    <w:rsid w:val="0089484B"/>
    <w:rsid w:val="008948EB"/>
    <w:rsid w:val="008949EF"/>
    <w:rsid w:val="0089503D"/>
    <w:rsid w:val="008951D1"/>
    <w:rsid w:val="008953D8"/>
    <w:rsid w:val="00895749"/>
    <w:rsid w:val="008959FA"/>
    <w:rsid w:val="00896827"/>
    <w:rsid w:val="0089689C"/>
    <w:rsid w:val="00896957"/>
    <w:rsid w:val="00897380"/>
    <w:rsid w:val="008973B4"/>
    <w:rsid w:val="008977CC"/>
    <w:rsid w:val="00897CCE"/>
    <w:rsid w:val="008A039D"/>
    <w:rsid w:val="008A0488"/>
    <w:rsid w:val="008A069A"/>
    <w:rsid w:val="008A0DA2"/>
    <w:rsid w:val="008A1269"/>
    <w:rsid w:val="008A14E2"/>
    <w:rsid w:val="008A1835"/>
    <w:rsid w:val="008A1BDB"/>
    <w:rsid w:val="008A1CE7"/>
    <w:rsid w:val="008A1DA5"/>
    <w:rsid w:val="008A2392"/>
    <w:rsid w:val="008A2948"/>
    <w:rsid w:val="008A29DB"/>
    <w:rsid w:val="008A2AC6"/>
    <w:rsid w:val="008A3066"/>
    <w:rsid w:val="008A317E"/>
    <w:rsid w:val="008A37F2"/>
    <w:rsid w:val="008A39B8"/>
    <w:rsid w:val="008A3D60"/>
    <w:rsid w:val="008A4ABF"/>
    <w:rsid w:val="008A4EA2"/>
    <w:rsid w:val="008A524C"/>
    <w:rsid w:val="008A591E"/>
    <w:rsid w:val="008A5934"/>
    <w:rsid w:val="008A5D06"/>
    <w:rsid w:val="008A61CC"/>
    <w:rsid w:val="008A643B"/>
    <w:rsid w:val="008A6ED4"/>
    <w:rsid w:val="008A6FD1"/>
    <w:rsid w:val="008A6FF9"/>
    <w:rsid w:val="008A7137"/>
    <w:rsid w:val="008A794F"/>
    <w:rsid w:val="008B0188"/>
    <w:rsid w:val="008B066F"/>
    <w:rsid w:val="008B0C67"/>
    <w:rsid w:val="008B0D01"/>
    <w:rsid w:val="008B0F96"/>
    <w:rsid w:val="008B0FD3"/>
    <w:rsid w:val="008B105C"/>
    <w:rsid w:val="008B1616"/>
    <w:rsid w:val="008B161B"/>
    <w:rsid w:val="008B1791"/>
    <w:rsid w:val="008B1BCC"/>
    <w:rsid w:val="008B1E82"/>
    <w:rsid w:val="008B1FE5"/>
    <w:rsid w:val="008B2014"/>
    <w:rsid w:val="008B223B"/>
    <w:rsid w:val="008B28E3"/>
    <w:rsid w:val="008B29E8"/>
    <w:rsid w:val="008B3002"/>
    <w:rsid w:val="008B30C9"/>
    <w:rsid w:val="008B3279"/>
    <w:rsid w:val="008B34C2"/>
    <w:rsid w:val="008B3CA3"/>
    <w:rsid w:val="008B415D"/>
    <w:rsid w:val="008B4263"/>
    <w:rsid w:val="008B4288"/>
    <w:rsid w:val="008B465C"/>
    <w:rsid w:val="008B568C"/>
    <w:rsid w:val="008B5D4A"/>
    <w:rsid w:val="008B5FA0"/>
    <w:rsid w:val="008B6235"/>
    <w:rsid w:val="008B626A"/>
    <w:rsid w:val="008B746A"/>
    <w:rsid w:val="008B76A6"/>
    <w:rsid w:val="008B7855"/>
    <w:rsid w:val="008B7879"/>
    <w:rsid w:val="008B7AE0"/>
    <w:rsid w:val="008C0198"/>
    <w:rsid w:val="008C0607"/>
    <w:rsid w:val="008C0767"/>
    <w:rsid w:val="008C09C3"/>
    <w:rsid w:val="008C09FE"/>
    <w:rsid w:val="008C142E"/>
    <w:rsid w:val="008C1969"/>
    <w:rsid w:val="008C197B"/>
    <w:rsid w:val="008C1DC8"/>
    <w:rsid w:val="008C1FB7"/>
    <w:rsid w:val="008C221E"/>
    <w:rsid w:val="008C23EC"/>
    <w:rsid w:val="008C2484"/>
    <w:rsid w:val="008C26DA"/>
    <w:rsid w:val="008C2B1F"/>
    <w:rsid w:val="008C305E"/>
    <w:rsid w:val="008C3309"/>
    <w:rsid w:val="008C3A0C"/>
    <w:rsid w:val="008C3A1C"/>
    <w:rsid w:val="008C3A89"/>
    <w:rsid w:val="008C3D53"/>
    <w:rsid w:val="008C458F"/>
    <w:rsid w:val="008C47AA"/>
    <w:rsid w:val="008C47C1"/>
    <w:rsid w:val="008C4B2F"/>
    <w:rsid w:val="008C4B31"/>
    <w:rsid w:val="008C4EA2"/>
    <w:rsid w:val="008C4F63"/>
    <w:rsid w:val="008C5061"/>
    <w:rsid w:val="008C50AA"/>
    <w:rsid w:val="008C5697"/>
    <w:rsid w:val="008C5EDE"/>
    <w:rsid w:val="008C6079"/>
    <w:rsid w:val="008C6259"/>
    <w:rsid w:val="008C6985"/>
    <w:rsid w:val="008C6E3E"/>
    <w:rsid w:val="008C72E8"/>
    <w:rsid w:val="008C7569"/>
    <w:rsid w:val="008C79BD"/>
    <w:rsid w:val="008C7A36"/>
    <w:rsid w:val="008C7B6B"/>
    <w:rsid w:val="008C7BB9"/>
    <w:rsid w:val="008C7F9D"/>
    <w:rsid w:val="008D004C"/>
    <w:rsid w:val="008D01BB"/>
    <w:rsid w:val="008D01D8"/>
    <w:rsid w:val="008D060C"/>
    <w:rsid w:val="008D08E7"/>
    <w:rsid w:val="008D0924"/>
    <w:rsid w:val="008D09F8"/>
    <w:rsid w:val="008D14E7"/>
    <w:rsid w:val="008D1BF9"/>
    <w:rsid w:val="008D2178"/>
    <w:rsid w:val="008D28DA"/>
    <w:rsid w:val="008D29CF"/>
    <w:rsid w:val="008D29F6"/>
    <w:rsid w:val="008D2A9D"/>
    <w:rsid w:val="008D2C0E"/>
    <w:rsid w:val="008D3782"/>
    <w:rsid w:val="008D3CC3"/>
    <w:rsid w:val="008D427B"/>
    <w:rsid w:val="008D43CA"/>
    <w:rsid w:val="008D4BF5"/>
    <w:rsid w:val="008D4E9F"/>
    <w:rsid w:val="008D522E"/>
    <w:rsid w:val="008D535C"/>
    <w:rsid w:val="008D5521"/>
    <w:rsid w:val="008D5AE0"/>
    <w:rsid w:val="008D5C12"/>
    <w:rsid w:val="008D5CCD"/>
    <w:rsid w:val="008D609A"/>
    <w:rsid w:val="008D6B1B"/>
    <w:rsid w:val="008D6F92"/>
    <w:rsid w:val="008D727C"/>
    <w:rsid w:val="008D740E"/>
    <w:rsid w:val="008D7701"/>
    <w:rsid w:val="008D7815"/>
    <w:rsid w:val="008D781B"/>
    <w:rsid w:val="008D7ABB"/>
    <w:rsid w:val="008D7D39"/>
    <w:rsid w:val="008E021F"/>
    <w:rsid w:val="008E029D"/>
    <w:rsid w:val="008E038D"/>
    <w:rsid w:val="008E03B7"/>
    <w:rsid w:val="008E0512"/>
    <w:rsid w:val="008E072F"/>
    <w:rsid w:val="008E09AB"/>
    <w:rsid w:val="008E0B14"/>
    <w:rsid w:val="008E140F"/>
    <w:rsid w:val="008E1EF9"/>
    <w:rsid w:val="008E1F9E"/>
    <w:rsid w:val="008E2404"/>
    <w:rsid w:val="008E2444"/>
    <w:rsid w:val="008E2E4A"/>
    <w:rsid w:val="008E30EF"/>
    <w:rsid w:val="008E3184"/>
    <w:rsid w:val="008E31F3"/>
    <w:rsid w:val="008E32E2"/>
    <w:rsid w:val="008E390A"/>
    <w:rsid w:val="008E39FA"/>
    <w:rsid w:val="008E41CF"/>
    <w:rsid w:val="008E42EE"/>
    <w:rsid w:val="008E46C2"/>
    <w:rsid w:val="008E4BDD"/>
    <w:rsid w:val="008E4DB4"/>
    <w:rsid w:val="008E5918"/>
    <w:rsid w:val="008E599E"/>
    <w:rsid w:val="008E6616"/>
    <w:rsid w:val="008E681D"/>
    <w:rsid w:val="008E6856"/>
    <w:rsid w:val="008E6A36"/>
    <w:rsid w:val="008E6B24"/>
    <w:rsid w:val="008E6B32"/>
    <w:rsid w:val="008E6C19"/>
    <w:rsid w:val="008E6C2A"/>
    <w:rsid w:val="008E6CFD"/>
    <w:rsid w:val="008E7501"/>
    <w:rsid w:val="008E7639"/>
    <w:rsid w:val="008F0215"/>
    <w:rsid w:val="008F0DF5"/>
    <w:rsid w:val="008F1398"/>
    <w:rsid w:val="008F1496"/>
    <w:rsid w:val="008F1963"/>
    <w:rsid w:val="008F1BB8"/>
    <w:rsid w:val="008F1E1A"/>
    <w:rsid w:val="008F25B2"/>
    <w:rsid w:val="008F2762"/>
    <w:rsid w:val="008F2BE6"/>
    <w:rsid w:val="008F2CDA"/>
    <w:rsid w:val="008F3041"/>
    <w:rsid w:val="008F396C"/>
    <w:rsid w:val="008F3BC8"/>
    <w:rsid w:val="008F3D1D"/>
    <w:rsid w:val="008F3F46"/>
    <w:rsid w:val="008F4206"/>
    <w:rsid w:val="008F4D3B"/>
    <w:rsid w:val="008F4D82"/>
    <w:rsid w:val="008F4E10"/>
    <w:rsid w:val="008F4E41"/>
    <w:rsid w:val="008F4E71"/>
    <w:rsid w:val="008F4E86"/>
    <w:rsid w:val="008F4ED4"/>
    <w:rsid w:val="008F517A"/>
    <w:rsid w:val="008F56CC"/>
    <w:rsid w:val="008F5ED9"/>
    <w:rsid w:val="008F600B"/>
    <w:rsid w:val="008F668E"/>
    <w:rsid w:val="008F67BF"/>
    <w:rsid w:val="008F6949"/>
    <w:rsid w:val="008F6BA8"/>
    <w:rsid w:val="008F6C87"/>
    <w:rsid w:val="008F6D15"/>
    <w:rsid w:val="008F71E3"/>
    <w:rsid w:val="008F7506"/>
    <w:rsid w:val="008F769E"/>
    <w:rsid w:val="008F7867"/>
    <w:rsid w:val="008F7B1C"/>
    <w:rsid w:val="00900174"/>
    <w:rsid w:val="00900293"/>
    <w:rsid w:val="009008DA"/>
    <w:rsid w:val="009008F2"/>
    <w:rsid w:val="009009B1"/>
    <w:rsid w:val="00900B54"/>
    <w:rsid w:val="00900BCA"/>
    <w:rsid w:val="009013E0"/>
    <w:rsid w:val="0090148C"/>
    <w:rsid w:val="009014E1"/>
    <w:rsid w:val="0090157A"/>
    <w:rsid w:val="009016C1"/>
    <w:rsid w:val="00901847"/>
    <w:rsid w:val="0090200C"/>
    <w:rsid w:val="00902229"/>
    <w:rsid w:val="00902778"/>
    <w:rsid w:val="009029E3"/>
    <w:rsid w:val="00902CC3"/>
    <w:rsid w:val="009037DA"/>
    <w:rsid w:val="00903B5B"/>
    <w:rsid w:val="00903EDC"/>
    <w:rsid w:val="009040C1"/>
    <w:rsid w:val="00904578"/>
    <w:rsid w:val="0090470C"/>
    <w:rsid w:val="009049B3"/>
    <w:rsid w:val="00904B82"/>
    <w:rsid w:val="00904BB0"/>
    <w:rsid w:val="00904F68"/>
    <w:rsid w:val="00905143"/>
    <w:rsid w:val="009052CB"/>
    <w:rsid w:val="00905EB2"/>
    <w:rsid w:val="009061AC"/>
    <w:rsid w:val="0090657C"/>
    <w:rsid w:val="009069D1"/>
    <w:rsid w:val="00906B8B"/>
    <w:rsid w:val="00906CAD"/>
    <w:rsid w:val="00906D8C"/>
    <w:rsid w:val="009070F1"/>
    <w:rsid w:val="009073E9"/>
    <w:rsid w:val="009076CA"/>
    <w:rsid w:val="00907771"/>
    <w:rsid w:val="00907861"/>
    <w:rsid w:val="00907AB8"/>
    <w:rsid w:val="00907E60"/>
    <w:rsid w:val="00907E87"/>
    <w:rsid w:val="00910101"/>
    <w:rsid w:val="009101A7"/>
    <w:rsid w:val="00910348"/>
    <w:rsid w:val="009103B0"/>
    <w:rsid w:val="00910545"/>
    <w:rsid w:val="00910AC2"/>
    <w:rsid w:val="00910B24"/>
    <w:rsid w:val="00910C3F"/>
    <w:rsid w:val="00911050"/>
    <w:rsid w:val="0091106D"/>
    <w:rsid w:val="00911ABF"/>
    <w:rsid w:val="00912038"/>
    <w:rsid w:val="00912300"/>
    <w:rsid w:val="009124D2"/>
    <w:rsid w:val="00912A01"/>
    <w:rsid w:val="00912A40"/>
    <w:rsid w:val="00912AD1"/>
    <w:rsid w:val="00912C5F"/>
    <w:rsid w:val="00912EE2"/>
    <w:rsid w:val="00913472"/>
    <w:rsid w:val="009135E6"/>
    <w:rsid w:val="0091384C"/>
    <w:rsid w:val="00913E25"/>
    <w:rsid w:val="00913F2F"/>
    <w:rsid w:val="00914439"/>
    <w:rsid w:val="00914532"/>
    <w:rsid w:val="00914D8A"/>
    <w:rsid w:val="00914F45"/>
    <w:rsid w:val="0091507F"/>
    <w:rsid w:val="0091544E"/>
    <w:rsid w:val="009154C0"/>
    <w:rsid w:val="00915942"/>
    <w:rsid w:val="00915A1D"/>
    <w:rsid w:val="00916BE2"/>
    <w:rsid w:val="00916DE1"/>
    <w:rsid w:val="00916F9F"/>
    <w:rsid w:val="00916FCC"/>
    <w:rsid w:val="00916FD6"/>
    <w:rsid w:val="00917138"/>
    <w:rsid w:val="00917326"/>
    <w:rsid w:val="00917567"/>
    <w:rsid w:val="00917851"/>
    <w:rsid w:val="00917A2E"/>
    <w:rsid w:val="00917B52"/>
    <w:rsid w:val="0092089A"/>
    <w:rsid w:val="00920904"/>
    <w:rsid w:val="00920AA0"/>
    <w:rsid w:val="00920B1E"/>
    <w:rsid w:val="009211B8"/>
    <w:rsid w:val="0092128E"/>
    <w:rsid w:val="00921675"/>
    <w:rsid w:val="00921BA3"/>
    <w:rsid w:val="00921E8A"/>
    <w:rsid w:val="009220FC"/>
    <w:rsid w:val="00922877"/>
    <w:rsid w:val="0092299F"/>
    <w:rsid w:val="00922B97"/>
    <w:rsid w:val="009231D0"/>
    <w:rsid w:val="00923E5A"/>
    <w:rsid w:val="00923F44"/>
    <w:rsid w:val="009240C3"/>
    <w:rsid w:val="009243C8"/>
    <w:rsid w:val="009249D4"/>
    <w:rsid w:val="0092511A"/>
    <w:rsid w:val="009254CE"/>
    <w:rsid w:val="00925EF2"/>
    <w:rsid w:val="009260BC"/>
    <w:rsid w:val="009260E6"/>
    <w:rsid w:val="00926420"/>
    <w:rsid w:val="00926943"/>
    <w:rsid w:val="00926957"/>
    <w:rsid w:val="009271CC"/>
    <w:rsid w:val="009274F7"/>
    <w:rsid w:val="0092753B"/>
    <w:rsid w:val="00927FB0"/>
    <w:rsid w:val="009301C3"/>
    <w:rsid w:val="009308B3"/>
    <w:rsid w:val="00930A98"/>
    <w:rsid w:val="00930B07"/>
    <w:rsid w:val="00931C06"/>
    <w:rsid w:val="0093292E"/>
    <w:rsid w:val="00932D4A"/>
    <w:rsid w:val="00932E2F"/>
    <w:rsid w:val="0093307F"/>
    <w:rsid w:val="0093312D"/>
    <w:rsid w:val="00933510"/>
    <w:rsid w:val="0093438C"/>
    <w:rsid w:val="009344AE"/>
    <w:rsid w:val="00934760"/>
    <w:rsid w:val="00934A98"/>
    <w:rsid w:val="00934E00"/>
    <w:rsid w:val="009358F7"/>
    <w:rsid w:val="00935A23"/>
    <w:rsid w:val="00935EA8"/>
    <w:rsid w:val="009362BF"/>
    <w:rsid w:val="009363C3"/>
    <w:rsid w:val="00936826"/>
    <w:rsid w:val="00936FC0"/>
    <w:rsid w:val="00937111"/>
    <w:rsid w:val="00937556"/>
    <w:rsid w:val="00937642"/>
    <w:rsid w:val="0093792F"/>
    <w:rsid w:val="00940239"/>
    <w:rsid w:val="009403A9"/>
    <w:rsid w:val="00940781"/>
    <w:rsid w:val="00941023"/>
    <w:rsid w:val="009410D2"/>
    <w:rsid w:val="00941973"/>
    <w:rsid w:val="00941E23"/>
    <w:rsid w:val="00942198"/>
    <w:rsid w:val="009422DC"/>
    <w:rsid w:val="00942392"/>
    <w:rsid w:val="009429B2"/>
    <w:rsid w:val="00942B5D"/>
    <w:rsid w:val="00942DA7"/>
    <w:rsid w:val="00943488"/>
    <w:rsid w:val="00943568"/>
    <w:rsid w:val="0094394A"/>
    <w:rsid w:val="00943FAE"/>
    <w:rsid w:val="00944237"/>
    <w:rsid w:val="00944422"/>
    <w:rsid w:val="0094472D"/>
    <w:rsid w:val="009448EE"/>
    <w:rsid w:val="00945527"/>
    <w:rsid w:val="00945931"/>
    <w:rsid w:val="00945AC7"/>
    <w:rsid w:val="00945B38"/>
    <w:rsid w:val="00945F3B"/>
    <w:rsid w:val="00945F6D"/>
    <w:rsid w:val="00946120"/>
    <w:rsid w:val="00946484"/>
    <w:rsid w:val="009465A1"/>
    <w:rsid w:val="009465DD"/>
    <w:rsid w:val="0094677D"/>
    <w:rsid w:val="0094696C"/>
    <w:rsid w:val="00946C49"/>
    <w:rsid w:val="00946F88"/>
    <w:rsid w:val="00947441"/>
    <w:rsid w:val="009478BE"/>
    <w:rsid w:val="00950300"/>
    <w:rsid w:val="00950312"/>
    <w:rsid w:val="009506D3"/>
    <w:rsid w:val="0095074A"/>
    <w:rsid w:val="00950A11"/>
    <w:rsid w:val="009511F2"/>
    <w:rsid w:val="0095143E"/>
    <w:rsid w:val="009515DE"/>
    <w:rsid w:val="0095173F"/>
    <w:rsid w:val="00952ADC"/>
    <w:rsid w:val="00953119"/>
    <w:rsid w:val="009532BC"/>
    <w:rsid w:val="0095393B"/>
    <w:rsid w:val="00953BB4"/>
    <w:rsid w:val="00953CC7"/>
    <w:rsid w:val="0095430E"/>
    <w:rsid w:val="009543F6"/>
    <w:rsid w:val="00955167"/>
    <w:rsid w:val="00955A21"/>
    <w:rsid w:val="00955CA8"/>
    <w:rsid w:val="00956098"/>
    <w:rsid w:val="009568A3"/>
    <w:rsid w:val="009568C8"/>
    <w:rsid w:val="00956CB8"/>
    <w:rsid w:val="00956CE2"/>
    <w:rsid w:val="00956D5B"/>
    <w:rsid w:val="00957954"/>
    <w:rsid w:val="00957A7D"/>
    <w:rsid w:val="00957A98"/>
    <w:rsid w:val="00957CAF"/>
    <w:rsid w:val="00957CD7"/>
    <w:rsid w:val="00957E51"/>
    <w:rsid w:val="00960280"/>
    <w:rsid w:val="009603C8"/>
    <w:rsid w:val="0096094A"/>
    <w:rsid w:val="00960EBE"/>
    <w:rsid w:val="00961306"/>
    <w:rsid w:val="00961497"/>
    <w:rsid w:val="0096150D"/>
    <w:rsid w:val="0096192E"/>
    <w:rsid w:val="0096215D"/>
    <w:rsid w:val="0096259E"/>
    <w:rsid w:val="009626A9"/>
    <w:rsid w:val="00962752"/>
    <w:rsid w:val="00962890"/>
    <w:rsid w:val="00962AD1"/>
    <w:rsid w:val="00962B5D"/>
    <w:rsid w:val="00962F92"/>
    <w:rsid w:val="0096303B"/>
    <w:rsid w:val="0096352A"/>
    <w:rsid w:val="009638CA"/>
    <w:rsid w:val="00963B86"/>
    <w:rsid w:val="00963E44"/>
    <w:rsid w:val="00963E8E"/>
    <w:rsid w:val="0096423E"/>
    <w:rsid w:val="0096436F"/>
    <w:rsid w:val="0096450A"/>
    <w:rsid w:val="00964855"/>
    <w:rsid w:val="00964A7A"/>
    <w:rsid w:val="00964E6A"/>
    <w:rsid w:val="00965267"/>
    <w:rsid w:val="00965739"/>
    <w:rsid w:val="0096585A"/>
    <w:rsid w:val="009658C3"/>
    <w:rsid w:val="00965B51"/>
    <w:rsid w:val="00965E0E"/>
    <w:rsid w:val="0096602A"/>
    <w:rsid w:val="009664E6"/>
    <w:rsid w:val="00966547"/>
    <w:rsid w:val="00966812"/>
    <w:rsid w:val="00966A95"/>
    <w:rsid w:val="00966AEE"/>
    <w:rsid w:val="00966BB6"/>
    <w:rsid w:val="00966BD1"/>
    <w:rsid w:val="00966CD9"/>
    <w:rsid w:val="00966EE9"/>
    <w:rsid w:val="00966F3F"/>
    <w:rsid w:val="0096769D"/>
    <w:rsid w:val="00967925"/>
    <w:rsid w:val="009702F6"/>
    <w:rsid w:val="00970364"/>
    <w:rsid w:val="0097077B"/>
    <w:rsid w:val="00970B47"/>
    <w:rsid w:val="00970DA5"/>
    <w:rsid w:val="00971128"/>
    <w:rsid w:val="00971584"/>
    <w:rsid w:val="009715C3"/>
    <w:rsid w:val="00971982"/>
    <w:rsid w:val="00971A51"/>
    <w:rsid w:val="00971A84"/>
    <w:rsid w:val="00971E9E"/>
    <w:rsid w:val="0097208B"/>
    <w:rsid w:val="009721A4"/>
    <w:rsid w:val="0097254E"/>
    <w:rsid w:val="009725F8"/>
    <w:rsid w:val="00972BA7"/>
    <w:rsid w:val="00972DF1"/>
    <w:rsid w:val="00972E06"/>
    <w:rsid w:val="00972EE0"/>
    <w:rsid w:val="00973716"/>
    <w:rsid w:val="00974217"/>
    <w:rsid w:val="009744D5"/>
    <w:rsid w:val="009756A6"/>
    <w:rsid w:val="00975BFB"/>
    <w:rsid w:val="00975D4F"/>
    <w:rsid w:val="00975F8E"/>
    <w:rsid w:val="00975FE5"/>
    <w:rsid w:val="00976283"/>
    <w:rsid w:val="00976316"/>
    <w:rsid w:val="0097635E"/>
    <w:rsid w:val="00976571"/>
    <w:rsid w:val="00976CBD"/>
    <w:rsid w:val="00976DB3"/>
    <w:rsid w:val="00977700"/>
    <w:rsid w:val="00977A2A"/>
    <w:rsid w:val="009806DC"/>
    <w:rsid w:val="00980E70"/>
    <w:rsid w:val="009810AC"/>
    <w:rsid w:val="00981744"/>
    <w:rsid w:val="00981768"/>
    <w:rsid w:val="0098176E"/>
    <w:rsid w:val="00981B92"/>
    <w:rsid w:val="00981BB7"/>
    <w:rsid w:val="00981F22"/>
    <w:rsid w:val="0098222D"/>
    <w:rsid w:val="0098282D"/>
    <w:rsid w:val="00982CF7"/>
    <w:rsid w:val="00982E74"/>
    <w:rsid w:val="00982F54"/>
    <w:rsid w:val="0098304D"/>
    <w:rsid w:val="0098306B"/>
    <w:rsid w:val="009832F4"/>
    <w:rsid w:val="009834FB"/>
    <w:rsid w:val="00983CE1"/>
    <w:rsid w:val="00984172"/>
    <w:rsid w:val="00984BB0"/>
    <w:rsid w:val="00984F98"/>
    <w:rsid w:val="009851FB"/>
    <w:rsid w:val="0098570A"/>
    <w:rsid w:val="00985A42"/>
    <w:rsid w:val="00985DBB"/>
    <w:rsid w:val="00986259"/>
    <w:rsid w:val="009869A8"/>
    <w:rsid w:val="0098700F"/>
    <w:rsid w:val="0098712C"/>
    <w:rsid w:val="009874F9"/>
    <w:rsid w:val="009878AB"/>
    <w:rsid w:val="00987DC2"/>
    <w:rsid w:val="00987DE6"/>
    <w:rsid w:val="00987DE9"/>
    <w:rsid w:val="009901E2"/>
    <w:rsid w:val="009901F2"/>
    <w:rsid w:val="009906CD"/>
    <w:rsid w:val="00990A05"/>
    <w:rsid w:val="00990E8F"/>
    <w:rsid w:val="009913C1"/>
    <w:rsid w:val="00991AA6"/>
    <w:rsid w:val="00991F7A"/>
    <w:rsid w:val="009926F3"/>
    <w:rsid w:val="0099277D"/>
    <w:rsid w:val="00992782"/>
    <w:rsid w:val="00992B7F"/>
    <w:rsid w:val="0099393B"/>
    <w:rsid w:val="00993C11"/>
    <w:rsid w:val="00993C82"/>
    <w:rsid w:val="00993EBC"/>
    <w:rsid w:val="00994336"/>
    <w:rsid w:val="00994397"/>
    <w:rsid w:val="009944D8"/>
    <w:rsid w:val="009946D3"/>
    <w:rsid w:val="00994D83"/>
    <w:rsid w:val="00994F08"/>
    <w:rsid w:val="00994F61"/>
    <w:rsid w:val="0099533A"/>
    <w:rsid w:val="009958E7"/>
    <w:rsid w:val="009959CE"/>
    <w:rsid w:val="00995B7C"/>
    <w:rsid w:val="00995C21"/>
    <w:rsid w:val="00995DB6"/>
    <w:rsid w:val="009967FC"/>
    <w:rsid w:val="009969B8"/>
    <w:rsid w:val="009975F3"/>
    <w:rsid w:val="00997A11"/>
    <w:rsid w:val="00997DA5"/>
    <w:rsid w:val="009A0AF7"/>
    <w:rsid w:val="009A0BC6"/>
    <w:rsid w:val="009A1617"/>
    <w:rsid w:val="009A2007"/>
    <w:rsid w:val="009A20E5"/>
    <w:rsid w:val="009A25AF"/>
    <w:rsid w:val="009A2EFB"/>
    <w:rsid w:val="009A2F00"/>
    <w:rsid w:val="009A3106"/>
    <w:rsid w:val="009A3822"/>
    <w:rsid w:val="009A395C"/>
    <w:rsid w:val="009A3D18"/>
    <w:rsid w:val="009A3EBE"/>
    <w:rsid w:val="009A419F"/>
    <w:rsid w:val="009A46EB"/>
    <w:rsid w:val="009A47C5"/>
    <w:rsid w:val="009A4E2D"/>
    <w:rsid w:val="009A5773"/>
    <w:rsid w:val="009A6122"/>
    <w:rsid w:val="009A61BA"/>
    <w:rsid w:val="009A61FB"/>
    <w:rsid w:val="009A621C"/>
    <w:rsid w:val="009A62CB"/>
    <w:rsid w:val="009A6397"/>
    <w:rsid w:val="009A659B"/>
    <w:rsid w:val="009A66B7"/>
    <w:rsid w:val="009A6862"/>
    <w:rsid w:val="009A7076"/>
    <w:rsid w:val="009A716B"/>
    <w:rsid w:val="009A7488"/>
    <w:rsid w:val="009A75DF"/>
    <w:rsid w:val="009A76E6"/>
    <w:rsid w:val="009A788F"/>
    <w:rsid w:val="009A7A70"/>
    <w:rsid w:val="009A7CE0"/>
    <w:rsid w:val="009B008F"/>
    <w:rsid w:val="009B033A"/>
    <w:rsid w:val="009B0395"/>
    <w:rsid w:val="009B0722"/>
    <w:rsid w:val="009B13BB"/>
    <w:rsid w:val="009B1477"/>
    <w:rsid w:val="009B14DA"/>
    <w:rsid w:val="009B16C7"/>
    <w:rsid w:val="009B20A3"/>
    <w:rsid w:val="009B227B"/>
    <w:rsid w:val="009B2928"/>
    <w:rsid w:val="009B2A26"/>
    <w:rsid w:val="009B2C24"/>
    <w:rsid w:val="009B2CE1"/>
    <w:rsid w:val="009B2FE2"/>
    <w:rsid w:val="009B3023"/>
    <w:rsid w:val="009B38E1"/>
    <w:rsid w:val="009B3A4D"/>
    <w:rsid w:val="009B3D09"/>
    <w:rsid w:val="009B4128"/>
    <w:rsid w:val="009B4249"/>
    <w:rsid w:val="009B42FC"/>
    <w:rsid w:val="009B4671"/>
    <w:rsid w:val="009B4741"/>
    <w:rsid w:val="009B4B62"/>
    <w:rsid w:val="009B4CD0"/>
    <w:rsid w:val="009B4F3C"/>
    <w:rsid w:val="009B58F2"/>
    <w:rsid w:val="009B5BD5"/>
    <w:rsid w:val="009B5EBF"/>
    <w:rsid w:val="009B615E"/>
    <w:rsid w:val="009B6848"/>
    <w:rsid w:val="009B69B9"/>
    <w:rsid w:val="009B6D99"/>
    <w:rsid w:val="009B7028"/>
    <w:rsid w:val="009B73B4"/>
    <w:rsid w:val="009B7A01"/>
    <w:rsid w:val="009B7C80"/>
    <w:rsid w:val="009B7DE1"/>
    <w:rsid w:val="009C00CC"/>
    <w:rsid w:val="009C0202"/>
    <w:rsid w:val="009C0FFC"/>
    <w:rsid w:val="009C1054"/>
    <w:rsid w:val="009C1481"/>
    <w:rsid w:val="009C1653"/>
    <w:rsid w:val="009C17DE"/>
    <w:rsid w:val="009C21A9"/>
    <w:rsid w:val="009C2223"/>
    <w:rsid w:val="009C23DB"/>
    <w:rsid w:val="009C26F0"/>
    <w:rsid w:val="009C2A2D"/>
    <w:rsid w:val="009C2E1D"/>
    <w:rsid w:val="009C2F63"/>
    <w:rsid w:val="009C3512"/>
    <w:rsid w:val="009C3E82"/>
    <w:rsid w:val="009C3F13"/>
    <w:rsid w:val="009C47FB"/>
    <w:rsid w:val="009C487F"/>
    <w:rsid w:val="009C496C"/>
    <w:rsid w:val="009C4A22"/>
    <w:rsid w:val="009C4EA8"/>
    <w:rsid w:val="009C5143"/>
    <w:rsid w:val="009C5547"/>
    <w:rsid w:val="009C59D2"/>
    <w:rsid w:val="009C5C7F"/>
    <w:rsid w:val="009C5DD2"/>
    <w:rsid w:val="009C5E5B"/>
    <w:rsid w:val="009C5E96"/>
    <w:rsid w:val="009C5EDE"/>
    <w:rsid w:val="009C6020"/>
    <w:rsid w:val="009C603F"/>
    <w:rsid w:val="009C6202"/>
    <w:rsid w:val="009C6265"/>
    <w:rsid w:val="009C62D2"/>
    <w:rsid w:val="009C6663"/>
    <w:rsid w:val="009C6C65"/>
    <w:rsid w:val="009C71DB"/>
    <w:rsid w:val="009C74E9"/>
    <w:rsid w:val="009D01D8"/>
    <w:rsid w:val="009D0268"/>
    <w:rsid w:val="009D0286"/>
    <w:rsid w:val="009D041C"/>
    <w:rsid w:val="009D0426"/>
    <w:rsid w:val="009D0878"/>
    <w:rsid w:val="009D0C43"/>
    <w:rsid w:val="009D0D7A"/>
    <w:rsid w:val="009D0E77"/>
    <w:rsid w:val="009D10F0"/>
    <w:rsid w:val="009D12C9"/>
    <w:rsid w:val="009D174A"/>
    <w:rsid w:val="009D1EBF"/>
    <w:rsid w:val="009D23F6"/>
    <w:rsid w:val="009D2675"/>
    <w:rsid w:val="009D2F5C"/>
    <w:rsid w:val="009D373B"/>
    <w:rsid w:val="009D38BE"/>
    <w:rsid w:val="009D3B89"/>
    <w:rsid w:val="009D4090"/>
    <w:rsid w:val="009D415D"/>
    <w:rsid w:val="009D4377"/>
    <w:rsid w:val="009D4BDF"/>
    <w:rsid w:val="009D5902"/>
    <w:rsid w:val="009D6514"/>
    <w:rsid w:val="009D6BF0"/>
    <w:rsid w:val="009D7130"/>
    <w:rsid w:val="009D7E3A"/>
    <w:rsid w:val="009D7F0E"/>
    <w:rsid w:val="009D7FB4"/>
    <w:rsid w:val="009E00CA"/>
    <w:rsid w:val="009E01A7"/>
    <w:rsid w:val="009E060E"/>
    <w:rsid w:val="009E0A49"/>
    <w:rsid w:val="009E0B64"/>
    <w:rsid w:val="009E0EA2"/>
    <w:rsid w:val="009E0F02"/>
    <w:rsid w:val="009E101E"/>
    <w:rsid w:val="009E1A5F"/>
    <w:rsid w:val="009E1B52"/>
    <w:rsid w:val="009E2016"/>
    <w:rsid w:val="009E21DD"/>
    <w:rsid w:val="009E3142"/>
    <w:rsid w:val="009E37E1"/>
    <w:rsid w:val="009E38A7"/>
    <w:rsid w:val="009E3B9B"/>
    <w:rsid w:val="009E3C20"/>
    <w:rsid w:val="009E4579"/>
    <w:rsid w:val="009E4D0B"/>
    <w:rsid w:val="009E4ED5"/>
    <w:rsid w:val="009E53A8"/>
    <w:rsid w:val="009E54BE"/>
    <w:rsid w:val="009E598D"/>
    <w:rsid w:val="009E59A2"/>
    <w:rsid w:val="009E59FB"/>
    <w:rsid w:val="009E65A2"/>
    <w:rsid w:val="009E6AF6"/>
    <w:rsid w:val="009E6BF5"/>
    <w:rsid w:val="009E7205"/>
    <w:rsid w:val="009E7510"/>
    <w:rsid w:val="009E7696"/>
    <w:rsid w:val="009E7935"/>
    <w:rsid w:val="009E7B85"/>
    <w:rsid w:val="009F0523"/>
    <w:rsid w:val="009F0D27"/>
    <w:rsid w:val="009F1543"/>
    <w:rsid w:val="009F1647"/>
    <w:rsid w:val="009F1C60"/>
    <w:rsid w:val="009F1E09"/>
    <w:rsid w:val="009F24EE"/>
    <w:rsid w:val="009F27E2"/>
    <w:rsid w:val="009F2A3E"/>
    <w:rsid w:val="009F2E94"/>
    <w:rsid w:val="009F3536"/>
    <w:rsid w:val="009F38A7"/>
    <w:rsid w:val="009F3C40"/>
    <w:rsid w:val="009F47E5"/>
    <w:rsid w:val="009F4CA7"/>
    <w:rsid w:val="009F4DCF"/>
    <w:rsid w:val="009F5188"/>
    <w:rsid w:val="009F51D0"/>
    <w:rsid w:val="009F5409"/>
    <w:rsid w:val="009F55A4"/>
    <w:rsid w:val="009F5AB8"/>
    <w:rsid w:val="009F5F16"/>
    <w:rsid w:val="009F6097"/>
    <w:rsid w:val="009F6279"/>
    <w:rsid w:val="009F6283"/>
    <w:rsid w:val="009F63F2"/>
    <w:rsid w:val="009F6493"/>
    <w:rsid w:val="009F69A3"/>
    <w:rsid w:val="009F6C39"/>
    <w:rsid w:val="009F6F91"/>
    <w:rsid w:val="009F7417"/>
    <w:rsid w:val="009F76CA"/>
    <w:rsid w:val="00A003AA"/>
    <w:rsid w:val="00A00831"/>
    <w:rsid w:val="00A0093A"/>
    <w:rsid w:val="00A0094A"/>
    <w:rsid w:val="00A01004"/>
    <w:rsid w:val="00A014CE"/>
    <w:rsid w:val="00A01B22"/>
    <w:rsid w:val="00A01B81"/>
    <w:rsid w:val="00A01E83"/>
    <w:rsid w:val="00A01F69"/>
    <w:rsid w:val="00A02375"/>
    <w:rsid w:val="00A02548"/>
    <w:rsid w:val="00A0276F"/>
    <w:rsid w:val="00A0293A"/>
    <w:rsid w:val="00A02B24"/>
    <w:rsid w:val="00A02D77"/>
    <w:rsid w:val="00A02ECB"/>
    <w:rsid w:val="00A033E5"/>
    <w:rsid w:val="00A037FB"/>
    <w:rsid w:val="00A03857"/>
    <w:rsid w:val="00A03B58"/>
    <w:rsid w:val="00A03EA2"/>
    <w:rsid w:val="00A043C1"/>
    <w:rsid w:val="00A0478A"/>
    <w:rsid w:val="00A04CFC"/>
    <w:rsid w:val="00A050EC"/>
    <w:rsid w:val="00A0515C"/>
    <w:rsid w:val="00A05327"/>
    <w:rsid w:val="00A05674"/>
    <w:rsid w:val="00A058D6"/>
    <w:rsid w:val="00A05D37"/>
    <w:rsid w:val="00A06190"/>
    <w:rsid w:val="00A0630E"/>
    <w:rsid w:val="00A06565"/>
    <w:rsid w:val="00A0660C"/>
    <w:rsid w:val="00A06834"/>
    <w:rsid w:val="00A06B88"/>
    <w:rsid w:val="00A071E7"/>
    <w:rsid w:val="00A07246"/>
    <w:rsid w:val="00A072EC"/>
    <w:rsid w:val="00A0731F"/>
    <w:rsid w:val="00A073E5"/>
    <w:rsid w:val="00A075B8"/>
    <w:rsid w:val="00A07B20"/>
    <w:rsid w:val="00A07EED"/>
    <w:rsid w:val="00A07F47"/>
    <w:rsid w:val="00A10288"/>
    <w:rsid w:val="00A1050A"/>
    <w:rsid w:val="00A105E8"/>
    <w:rsid w:val="00A10B9F"/>
    <w:rsid w:val="00A10CBD"/>
    <w:rsid w:val="00A10EDD"/>
    <w:rsid w:val="00A10FFD"/>
    <w:rsid w:val="00A11035"/>
    <w:rsid w:val="00A11468"/>
    <w:rsid w:val="00A1150D"/>
    <w:rsid w:val="00A11C2B"/>
    <w:rsid w:val="00A1227E"/>
    <w:rsid w:val="00A1343D"/>
    <w:rsid w:val="00A13620"/>
    <w:rsid w:val="00A13B4E"/>
    <w:rsid w:val="00A13C80"/>
    <w:rsid w:val="00A13CDF"/>
    <w:rsid w:val="00A14283"/>
    <w:rsid w:val="00A14290"/>
    <w:rsid w:val="00A14575"/>
    <w:rsid w:val="00A1468D"/>
    <w:rsid w:val="00A15363"/>
    <w:rsid w:val="00A1543D"/>
    <w:rsid w:val="00A154AD"/>
    <w:rsid w:val="00A154BD"/>
    <w:rsid w:val="00A1557A"/>
    <w:rsid w:val="00A15672"/>
    <w:rsid w:val="00A15760"/>
    <w:rsid w:val="00A15C88"/>
    <w:rsid w:val="00A15E7D"/>
    <w:rsid w:val="00A166C9"/>
    <w:rsid w:val="00A169DA"/>
    <w:rsid w:val="00A16CB1"/>
    <w:rsid w:val="00A16D74"/>
    <w:rsid w:val="00A16ECC"/>
    <w:rsid w:val="00A16EF1"/>
    <w:rsid w:val="00A16F36"/>
    <w:rsid w:val="00A171D2"/>
    <w:rsid w:val="00A177E4"/>
    <w:rsid w:val="00A17C47"/>
    <w:rsid w:val="00A17CE9"/>
    <w:rsid w:val="00A17EA7"/>
    <w:rsid w:val="00A17ED9"/>
    <w:rsid w:val="00A207F5"/>
    <w:rsid w:val="00A212C6"/>
    <w:rsid w:val="00A214F6"/>
    <w:rsid w:val="00A2278E"/>
    <w:rsid w:val="00A22BE0"/>
    <w:rsid w:val="00A23362"/>
    <w:rsid w:val="00A233F3"/>
    <w:rsid w:val="00A23651"/>
    <w:rsid w:val="00A23D55"/>
    <w:rsid w:val="00A24A3D"/>
    <w:rsid w:val="00A24E05"/>
    <w:rsid w:val="00A25118"/>
    <w:rsid w:val="00A252D9"/>
    <w:rsid w:val="00A25AA4"/>
    <w:rsid w:val="00A25F1E"/>
    <w:rsid w:val="00A25F23"/>
    <w:rsid w:val="00A26769"/>
    <w:rsid w:val="00A26BB8"/>
    <w:rsid w:val="00A26EB1"/>
    <w:rsid w:val="00A27011"/>
    <w:rsid w:val="00A27154"/>
    <w:rsid w:val="00A276E3"/>
    <w:rsid w:val="00A27C3C"/>
    <w:rsid w:val="00A27D45"/>
    <w:rsid w:val="00A30197"/>
    <w:rsid w:val="00A30745"/>
    <w:rsid w:val="00A30A82"/>
    <w:rsid w:val="00A30C2C"/>
    <w:rsid w:val="00A30E85"/>
    <w:rsid w:val="00A3104A"/>
    <w:rsid w:val="00A3123C"/>
    <w:rsid w:val="00A3131D"/>
    <w:rsid w:val="00A31386"/>
    <w:rsid w:val="00A3151A"/>
    <w:rsid w:val="00A31578"/>
    <w:rsid w:val="00A3193A"/>
    <w:rsid w:val="00A31CD2"/>
    <w:rsid w:val="00A329A6"/>
    <w:rsid w:val="00A33419"/>
    <w:rsid w:val="00A33828"/>
    <w:rsid w:val="00A33CE7"/>
    <w:rsid w:val="00A33E95"/>
    <w:rsid w:val="00A3407A"/>
    <w:rsid w:val="00A34233"/>
    <w:rsid w:val="00A34602"/>
    <w:rsid w:val="00A3479A"/>
    <w:rsid w:val="00A3496B"/>
    <w:rsid w:val="00A34C79"/>
    <w:rsid w:val="00A35044"/>
    <w:rsid w:val="00A35193"/>
    <w:rsid w:val="00A3576F"/>
    <w:rsid w:val="00A359DF"/>
    <w:rsid w:val="00A35B78"/>
    <w:rsid w:val="00A35FE8"/>
    <w:rsid w:val="00A3600E"/>
    <w:rsid w:val="00A36113"/>
    <w:rsid w:val="00A36741"/>
    <w:rsid w:val="00A36A06"/>
    <w:rsid w:val="00A36FD6"/>
    <w:rsid w:val="00A3710A"/>
    <w:rsid w:val="00A37156"/>
    <w:rsid w:val="00A37284"/>
    <w:rsid w:val="00A3741A"/>
    <w:rsid w:val="00A3749D"/>
    <w:rsid w:val="00A3750D"/>
    <w:rsid w:val="00A376B4"/>
    <w:rsid w:val="00A379D3"/>
    <w:rsid w:val="00A37B75"/>
    <w:rsid w:val="00A37C02"/>
    <w:rsid w:val="00A37DBF"/>
    <w:rsid w:val="00A37F8E"/>
    <w:rsid w:val="00A404C5"/>
    <w:rsid w:val="00A40A06"/>
    <w:rsid w:val="00A40ED8"/>
    <w:rsid w:val="00A417AD"/>
    <w:rsid w:val="00A41D73"/>
    <w:rsid w:val="00A41FDC"/>
    <w:rsid w:val="00A4206F"/>
    <w:rsid w:val="00A427D0"/>
    <w:rsid w:val="00A428C0"/>
    <w:rsid w:val="00A42B83"/>
    <w:rsid w:val="00A42D5B"/>
    <w:rsid w:val="00A42D80"/>
    <w:rsid w:val="00A42E3B"/>
    <w:rsid w:val="00A43315"/>
    <w:rsid w:val="00A43486"/>
    <w:rsid w:val="00A43595"/>
    <w:rsid w:val="00A43616"/>
    <w:rsid w:val="00A438C7"/>
    <w:rsid w:val="00A43E73"/>
    <w:rsid w:val="00A441F6"/>
    <w:rsid w:val="00A44210"/>
    <w:rsid w:val="00A4495D"/>
    <w:rsid w:val="00A449AF"/>
    <w:rsid w:val="00A449C3"/>
    <w:rsid w:val="00A44DB3"/>
    <w:rsid w:val="00A4532D"/>
    <w:rsid w:val="00A45464"/>
    <w:rsid w:val="00A45CC6"/>
    <w:rsid w:val="00A45D7D"/>
    <w:rsid w:val="00A45EED"/>
    <w:rsid w:val="00A4603D"/>
    <w:rsid w:val="00A46072"/>
    <w:rsid w:val="00A466BE"/>
    <w:rsid w:val="00A46A3C"/>
    <w:rsid w:val="00A4724F"/>
    <w:rsid w:val="00A4795A"/>
    <w:rsid w:val="00A505FB"/>
    <w:rsid w:val="00A50724"/>
    <w:rsid w:val="00A5074E"/>
    <w:rsid w:val="00A5110C"/>
    <w:rsid w:val="00A5247D"/>
    <w:rsid w:val="00A525E0"/>
    <w:rsid w:val="00A52980"/>
    <w:rsid w:val="00A530EA"/>
    <w:rsid w:val="00A531E6"/>
    <w:rsid w:val="00A539EA"/>
    <w:rsid w:val="00A53AB7"/>
    <w:rsid w:val="00A53AD3"/>
    <w:rsid w:val="00A53B61"/>
    <w:rsid w:val="00A5403B"/>
    <w:rsid w:val="00A543EA"/>
    <w:rsid w:val="00A5455D"/>
    <w:rsid w:val="00A54628"/>
    <w:rsid w:val="00A547CC"/>
    <w:rsid w:val="00A5495E"/>
    <w:rsid w:val="00A54E95"/>
    <w:rsid w:val="00A55C41"/>
    <w:rsid w:val="00A561F7"/>
    <w:rsid w:val="00A562C4"/>
    <w:rsid w:val="00A5634B"/>
    <w:rsid w:val="00A56CC0"/>
    <w:rsid w:val="00A56F17"/>
    <w:rsid w:val="00A5711F"/>
    <w:rsid w:val="00A571BD"/>
    <w:rsid w:val="00A57602"/>
    <w:rsid w:val="00A578B7"/>
    <w:rsid w:val="00A57DB2"/>
    <w:rsid w:val="00A600EE"/>
    <w:rsid w:val="00A60660"/>
    <w:rsid w:val="00A613E3"/>
    <w:rsid w:val="00A61851"/>
    <w:rsid w:val="00A61F5E"/>
    <w:rsid w:val="00A620F1"/>
    <w:rsid w:val="00A62984"/>
    <w:rsid w:val="00A629FE"/>
    <w:rsid w:val="00A62A09"/>
    <w:rsid w:val="00A62E00"/>
    <w:rsid w:val="00A630CB"/>
    <w:rsid w:val="00A63153"/>
    <w:rsid w:val="00A63600"/>
    <w:rsid w:val="00A63636"/>
    <w:rsid w:val="00A636A3"/>
    <w:rsid w:val="00A63916"/>
    <w:rsid w:val="00A63A41"/>
    <w:rsid w:val="00A6408F"/>
    <w:rsid w:val="00A64780"/>
    <w:rsid w:val="00A64832"/>
    <w:rsid w:val="00A649D9"/>
    <w:rsid w:val="00A64A10"/>
    <w:rsid w:val="00A64B56"/>
    <w:rsid w:val="00A64BAE"/>
    <w:rsid w:val="00A65064"/>
    <w:rsid w:val="00A651B6"/>
    <w:rsid w:val="00A6598F"/>
    <w:rsid w:val="00A65A4F"/>
    <w:rsid w:val="00A65E4B"/>
    <w:rsid w:val="00A66146"/>
    <w:rsid w:val="00A668AF"/>
    <w:rsid w:val="00A66A5F"/>
    <w:rsid w:val="00A66BCD"/>
    <w:rsid w:val="00A66DB4"/>
    <w:rsid w:val="00A67339"/>
    <w:rsid w:val="00A675D1"/>
    <w:rsid w:val="00A67AEC"/>
    <w:rsid w:val="00A7011E"/>
    <w:rsid w:val="00A704CA"/>
    <w:rsid w:val="00A70910"/>
    <w:rsid w:val="00A70C06"/>
    <w:rsid w:val="00A70D20"/>
    <w:rsid w:val="00A70E6C"/>
    <w:rsid w:val="00A70FDD"/>
    <w:rsid w:val="00A71146"/>
    <w:rsid w:val="00A7123C"/>
    <w:rsid w:val="00A714D4"/>
    <w:rsid w:val="00A715BA"/>
    <w:rsid w:val="00A7161C"/>
    <w:rsid w:val="00A71B45"/>
    <w:rsid w:val="00A71D64"/>
    <w:rsid w:val="00A71EBA"/>
    <w:rsid w:val="00A7242C"/>
    <w:rsid w:val="00A72EBF"/>
    <w:rsid w:val="00A73BC5"/>
    <w:rsid w:val="00A73DD1"/>
    <w:rsid w:val="00A73E53"/>
    <w:rsid w:val="00A74076"/>
    <w:rsid w:val="00A7428F"/>
    <w:rsid w:val="00A742F9"/>
    <w:rsid w:val="00A7442F"/>
    <w:rsid w:val="00A748A6"/>
    <w:rsid w:val="00A74A26"/>
    <w:rsid w:val="00A74F4A"/>
    <w:rsid w:val="00A75656"/>
    <w:rsid w:val="00A75793"/>
    <w:rsid w:val="00A75EF0"/>
    <w:rsid w:val="00A75EF6"/>
    <w:rsid w:val="00A76142"/>
    <w:rsid w:val="00A76771"/>
    <w:rsid w:val="00A76A0B"/>
    <w:rsid w:val="00A76DD1"/>
    <w:rsid w:val="00A76E1E"/>
    <w:rsid w:val="00A77065"/>
    <w:rsid w:val="00A7792B"/>
    <w:rsid w:val="00A77E11"/>
    <w:rsid w:val="00A77EB1"/>
    <w:rsid w:val="00A804C1"/>
    <w:rsid w:val="00A80DD5"/>
    <w:rsid w:val="00A80E3A"/>
    <w:rsid w:val="00A8124F"/>
    <w:rsid w:val="00A812AB"/>
    <w:rsid w:val="00A813D6"/>
    <w:rsid w:val="00A81663"/>
    <w:rsid w:val="00A81D80"/>
    <w:rsid w:val="00A82047"/>
    <w:rsid w:val="00A820CD"/>
    <w:rsid w:val="00A8240C"/>
    <w:rsid w:val="00A82416"/>
    <w:rsid w:val="00A82C20"/>
    <w:rsid w:val="00A82FCD"/>
    <w:rsid w:val="00A830A1"/>
    <w:rsid w:val="00A83444"/>
    <w:rsid w:val="00A836A8"/>
    <w:rsid w:val="00A83DC6"/>
    <w:rsid w:val="00A8422E"/>
    <w:rsid w:val="00A849D1"/>
    <w:rsid w:val="00A84A62"/>
    <w:rsid w:val="00A85770"/>
    <w:rsid w:val="00A85CF0"/>
    <w:rsid w:val="00A862C8"/>
    <w:rsid w:val="00A8682C"/>
    <w:rsid w:val="00A87430"/>
    <w:rsid w:val="00A875E9"/>
    <w:rsid w:val="00A876C8"/>
    <w:rsid w:val="00A87718"/>
    <w:rsid w:val="00A87DB0"/>
    <w:rsid w:val="00A87DD7"/>
    <w:rsid w:val="00A87F31"/>
    <w:rsid w:val="00A90188"/>
    <w:rsid w:val="00A9045B"/>
    <w:rsid w:val="00A90AD1"/>
    <w:rsid w:val="00A90C84"/>
    <w:rsid w:val="00A90D7D"/>
    <w:rsid w:val="00A9117E"/>
    <w:rsid w:val="00A911DE"/>
    <w:rsid w:val="00A91611"/>
    <w:rsid w:val="00A91684"/>
    <w:rsid w:val="00A918F0"/>
    <w:rsid w:val="00A921CF"/>
    <w:rsid w:val="00A9265E"/>
    <w:rsid w:val="00A92B41"/>
    <w:rsid w:val="00A92D0D"/>
    <w:rsid w:val="00A93D68"/>
    <w:rsid w:val="00A93F3B"/>
    <w:rsid w:val="00A94003"/>
    <w:rsid w:val="00A9437D"/>
    <w:rsid w:val="00A9445A"/>
    <w:rsid w:val="00A9476D"/>
    <w:rsid w:val="00A948CE"/>
    <w:rsid w:val="00A94E01"/>
    <w:rsid w:val="00A94EB3"/>
    <w:rsid w:val="00A951EF"/>
    <w:rsid w:val="00A95210"/>
    <w:rsid w:val="00A95377"/>
    <w:rsid w:val="00A953B4"/>
    <w:rsid w:val="00A953F4"/>
    <w:rsid w:val="00A9558F"/>
    <w:rsid w:val="00A955EA"/>
    <w:rsid w:val="00A95704"/>
    <w:rsid w:val="00A95AAF"/>
    <w:rsid w:val="00A95B8E"/>
    <w:rsid w:val="00A95EEE"/>
    <w:rsid w:val="00A963D2"/>
    <w:rsid w:val="00A96779"/>
    <w:rsid w:val="00A96973"/>
    <w:rsid w:val="00A969C9"/>
    <w:rsid w:val="00A96B63"/>
    <w:rsid w:val="00A96BF0"/>
    <w:rsid w:val="00A9729B"/>
    <w:rsid w:val="00A973A9"/>
    <w:rsid w:val="00A97668"/>
    <w:rsid w:val="00A978F6"/>
    <w:rsid w:val="00A97C80"/>
    <w:rsid w:val="00AA0047"/>
    <w:rsid w:val="00AA0418"/>
    <w:rsid w:val="00AA0A70"/>
    <w:rsid w:val="00AA0EFD"/>
    <w:rsid w:val="00AA1480"/>
    <w:rsid w:val="00AA15D9"/>
    <w:rsid w:val="00AA1C96"/>
    <w:rsid w:val="00AA1E9A"/>
    <w:rsid w:val="00AA1F39"/>
    <w:rsid w:val="00AA289B"/>
    <w:rsid w:val="00AA28E2"/>
    <w:rsid w:val="00AA295C"/>
    <w:rsid w:val="00AA2A53"/>
    <w:rsid w:val="00AA2ADE"/>
    <w:rsid w:val="00AA2BBA"/>
    <w:rsid w:val="00AA31A2"/>
    <w:rsid w:val="00AA3686"/>
    <w:rsid w:val="00AA3953"/>
    <w:rsid w:val="00AA3B6D"/>
    <w:rsid w:val="00AA3D43"/>
    <w:rsid w:val="00AA4265"/>
    <w:rsid w:val="00AA4439"/>
    <w:rsid w:val="00AA44F4"/>
    <w:rsid w:val="00AA458C"/>
    <w:rsid w:val="00AA45C8"/>
    <w:rsid w:val="00AA45D0"/>
    <w:rsid w:val="00AA47F8"/>
    <w:rsid w:val="00AA48CC"/>
    <w:rsid w:val="00AA4BA5"/>
    <w:rsid w:val="00AA53E4"/>
    <w:rsid w:val="00AA55AE"/>
    <w:rsid w:val="00AA57A5"/>
    <w:rsid w:val="00AA5A97"/>
    <w:rsid w:val="00AA5BAB"/>
    <w:rsid w:val="00AA5E9D"/>
    <w:rsid w:val="00AA5ED4"/>
    <w:rsid w:val="00AA5F93"/>
    <w:rsid w:val="00AA656C"/>
    <w:rsid w:val="00AA65D3"/>
    <w:rsid w:val="00AA66B0"/>
    <w:rsid w:val="00AA67EF"/>
    <w:rsid w:val="00AA6B02"/>
    <w:rsid w:val="00AA6EE4"/>
    <w:rsid w:val="00AA6F75"/>
    <w:rsid w:val="00AA711F"/>
    <w:rsid w:val="00AA79A9"/>
    <w:rsid w:val="00AA79BF"/>
    <w:rsid w:val="00AB00B3"/>
    <w:rsid w:val="00AB0BC1"/>
    <w:rsid w:val="00AB0F45"/>
    <w:rsid w:val="00AB1037"/>
    <w:rsid w:val="00AB11DA"/>
    <w:rsid w:val="00AB1486"/>
    <w:rsid w:val="00AB16BD"/>
    <w:rsid w:val="00AB16BE"/>
    <w:rsid w:val="00AB1A46"/>
    <w:rsid w:val="00AB1B96"/>
    <w:rsid w:val="00AB2309"/>
    <w:rsid w:val="00AB237E"/>
    <w:rsid w:val="00AB242F"/>
    <w:rsid w:val="00AB2F9F"/>
    <w:rsid w:val="00AB34CF"/>
    <w:rsid w:val="00AB3C93"/>
    <w:rsid w:val="00AB3F40"/>
    <w:rsid w:val="00AB42B0"/>
    <w:rsid w:val="00AB43AE"/>
    <w:rsid w:val="00AB4554"/>
    <w:rsid w:val="00AB4978"/>
    <w:rsid w:val="00AB4983"/>
    <w:rsid w:val="00AB4A36"/>
    <w:rsid w:val="00AB4AC3"/>
    <w:rsid w:val="00AB4CFE"/>
    <w:rsid w:val="00AB4EFA"/>
    <w:rsid w:val="00AB5185"/>
    <w:rsid w:val="00AB53DF"/>
    <w:rsid w:val="00AB56FE"/>
    <w:rsid w:val="00AB5797"/>
    <w:rsid w:val="00AB5840"/>
    <w:rsid w:val="00AB5901"/>
    <w:rsid w:val="00AB5CD2"/>
    <w:rsid w:val="00AB62B1"/>
    <w:rsid w:val="00AB6319"/>
    <w:rsid w:val="00AB66CD"/>
    <w:rsid w:val="00AB66D7"/>
    <w:rsid w:val="00AB6771"/>
    <w:rsid w:val="00AB6A00"/>
    <w:rsid w:val="00AB6B35"/>
    <w:rsid w:val="00AB6BCE"/>
    <w:rsid w:val="00AB6E41"/>
    <w:rsid w:val="00AB71E4"/>
    <w:rsid w:val="00AB7432"/>
    <w:rsid w:val="00AB7FE6"/>
    <w:rsid w:val="00AC019E"/>
    <w:rsid w:val="00AC02F7"/>
    <w:rsid w:val="00AC0329"/>
    <w:rsid w:val="00AC0472"/>
    <w:rsid w:val="00AC047E"/>
    <w:rsid w:val="00AC04C8"/>
    <w:rsid w:val="00AC0F0A"/>
    <w:rsid w:val="00AC1557"/>
    <w:rsid w:val="00AC1B38"/>
    <w:rsid w:val="00AC1F6A"/>
    <w:rsid w:val="00AC21CD"/>
    <w:rsid w:val="00AC22AA"/>
    <w:rsid w:val="00AC26B5"/>
    <w:rsid w:val="00AC2847"/>
    <w:rsid w:val="00AC2B78"/>
    <w:rsid w:val="00AC2FB3"/>
    <w:rsid w:val="00AC3174"/>
    <w:rsid w:val="00AC3186"/>
    <w:rsid w:val="00AC391A"/>
    <w:rsid w:val="00AC3AD6"/>
    <w:rsid w:val="00AC4116"/>
    <w:rsid w:val="00AC423C"/>
    <w:rsid w:val="00AC45C4"/>
    <w:rsid w:val="00AC4A21"/>
    <w:rsid w:val="00AC4B62"/>
    <w:rsid w:val="00AC4E5F"/>
    <w:rsid w:val="00AC534A"/>
    <w:rsid w:val="00AC54E1"/>
    <w:rsid w:val="00AC5A5D"/>
    <w:rsid w:val="00AC600B"/>
    <w:rsid w:val="00AC653F"/>
    <w:rsid w:val="00AC6CB3"/>
    <w:rsid w:val="00AC6D38"/>
    <w:rsid w:val="00AC6F79"/>
    <w:rsid w:val="00AC6F82"/>
    <w:rsid w:val="00AC7619"/>
    <w:rsid w:val="00AC7649"/>
    <w:rsid w:val="00AC78BA"/>
    <w:rsid w:val="00AC7961"/>
    <w:rsid w:val="00AC7AC7"/>
    <w:rsid w:val="00AC7C47"/>
    <w:rsid w:val="00AC7F82"/>
    <w:rsid w:val="00AD069A"/>
    <w:rsid w:val="00AD082D"/>
    <w:rsid w:val="00AD0FD0"/>
    <w:rsid w:val="00AD149E"/>
    <w:rsid w:val="00AD1720"/>
    <w:rsid w:val="00AD1801"/>
    <w:rsid w:val="00AD1D24"/>
    <w:rsid w:val="00AD1E26"/>
    <w:rsid w:val="00AD23DD"/>
    <w:rsid w:val="00AD2411"/>
    <w:rsid w:val="00AD26F3"/>
    <w:rsid w:val="00AD2ADB"/>
    <w:rsid w:val="00AD2B43"/>
    <w:rsid w:val="00AD2C7C"/>
    <w:rsid w:val="00AD2E52"/>
    <w:rsid w:val="00AD30AF"/>
    <w:rsid w:val="00AD3132"/>
    <w:rsid w:val="00AD318A"/>
    <w:rsid w:val="00AD31CA"/>
    <w:rsid w:val="00AD32AF"/>
    <w:rsid w:val="00AD34C1"/>
    <w:rsid w:val="00AD37AE"/>
    <w:rsid w:val="00AD3D42"/>
    <w:rsid w:val="00AD4541"/>
    <w:rsid w:val="00AD47FF"/>
    <w:rsid w:val="00AD4CAD"/>
    <w:rsid w:val="00AD5583"/>
    <w:rsid w:val="00AD5680"/>
    <w:rsid w:val="00AD5965"/>
    <w:rsid w:val="00AD5E7F"/>
    <w:rsid w:val="00AD60A3"/>
    <w:rsid w:val="00AD621A"/>
    <w:rsid w:val="00AD6304"/>
    <w:rsid w:val="00AD6372"/>
    <w:rsid w:val="00AD64BD"/>
    <w:rsid w:val="00AD6BEA"/>
    <w:rsid w:val="00AD6D44"/>
    <w:rsid w:val="00AD6F85"/>
    <w:rsid w:val="00AD765F"/>
    <w:rsid w:val="00AD7F29"/>
    <w:rsid w:val="00AD7F8D"/>
    <w:rsid w:val="00AE0759"/>
    <w:rsid w:val="00AE07B1"/>
    <w:rsid w:val="00AE0ABE"/>
    <w:rsid w:val="00AE0E8A"/>
    <w:rsid w:val="00AE1190"/>
    <w:rsid w:val="00AE12E3"/>
    <w:rsid w:val="00AE1C84"/>
    <w:rsid w:val="00AE210A"/>
    <w:rsid w:val="00AE2378"/>
    <w:rsid w:val="00AE34C6"/>
    <w:rsid w:val="00AE38ED"/>
    <w:rsid w:val="00AE3A81"/>
    <w:rsid w:val="00AE3ABA"/>
    <w:rsid w:val="00AE3C50"/>
    <w:rsid w:val="00AE3CA2"/>
    <w:rsid w:val="00AE3ECE"/>
    <w:rsid w:val="00AE43BC"/>
    <w:rsid w:val="00AE4793"/>
    <w:rsid w:val="00AE47F1"/>
    <w:rsid w:val="00AE4ED3"/>
    <w:rsid w:val="00AE525B"/>
    <w:rsid w:val="00AE541B"/>
    <w:rsid w:val="00AE5971"/>
    <w:rsid w:val="00AE5F17"/>
    <w:rsid w:val="00AE5FF3"/>
    <w:rsid w:val="00AE6878"/>
    <w:rsid w:val="00AE6A3D"/>
    <w:rsid w:val="00AE6BDC"/>
    <w:rsid w:val="00AE6D87"/>
    <w:rsid w:val="00AE7198"/>
    <w:rsid w:val="00AE75AA"/>
    <w:rsid w:val="00AE7BB8"/>
    <w:rsid w:val="00AF0458"/>
    <w:rsid w:val="00AF057F"/>
    <w:rsid w:val="00AF0825"/>
    <w:rsid w:val="00AF11D6"/>
    <w:rsid w:val="00AF11F4"/>
    <w:rsid w:val="00AF14AF"/>
    <w:rsid w:val="00AF196D"/>
    <w:rsid w:val="00AF1FF7"/>
    <w:rsid w:val="00AF2596"/>
    <w:rsid w:val="00AF2947"/>
    <w:rsid w:val="00AF2997"/>
    <w:rsid w:val="00AF29AB"/>
    <w:rsid w:val="00AF2C6F"/>
    <w:rsid w:val="00AF2E0F"/>
    <w:rsid w:val="00AF2EB5"/>
    <w:rsid w:val="00AF33B6"/>
    <w:rsid w:val="00AF348B"/>
    <w:rsid w:val="00AF4341"/>
    <w:rsid w:val="00AF4F71"/>
    <w:rsid w:val="00AF4FC3"/>
    <w:rsid w:val="00AF50C3"/>
    <w:rsid w:val="00AF54A7"/>
    <w:rsid w:val="00AF5702"/>
    <w:rsid w:val="00AF580E"/>
    <w:rsid w:val="00AF5978"/>
    <w:rsid w:val="00AF5D62"/>
    <w:rsid w:val="00AF5D96"/>
    <w:rsid w:val="00AF5DCA"/>
    <w:rsid w:val="00AF62E0"/>
    <w:rsid w:val="00AF6333"/>
    <w:rsid w:val="00AF68DD"/>
    <w:rsid w:val="00AF6D3B"/>
    <w:rsid w:val="00AF71BD"/>
    <w:rsid w:val="00AF71E4"/>
    <w:rsid w:val="00AF72BB"/>
    <w:rsid w:val="00AF78C5"/>
    <w:rsid w:val="00AF7EFF"/>
    <w:rsid w:val="00B00938"/>
    <w:rsid w:val="00B010CA"/>
    <w:rsid w:val="00B01145"/>
    <w:rsid w:val="00B0154E"/>
    <w:rsid w:val="00B01AC2"/>
    <w:rsid w:val="00B01BFB"/>
    <w:rsid w:val="00B01DF1"/>
    <w:rsid w:val="00B01E17"/>
    <w:rsid w:val="00B0212F"/>
    <w:rsid w:val="00B021C9"/>
    <w:rsid w:val="00B02681"/>
    <w:rsid w:val="00B02AAF"/>
    <w:rsid w:val="00B02BE1"/>
    <w:rsid w:val="00B033CB"/>
    <w:rsid w:val="00B03684"/>
    <w:rsid w:val="00B03A09"/>
    <w:rsid w:val="00B03A87"/>
    <w:rsid w:val="00B03E80"/>
    <w:rsid w:val="00B03FC9"/>
    <w:rsid w:val="00B0500F"/>
    <w:rsid w:val="00B05320"/>
    <w:rsid w:val="00B05332"/>
    <w:rsid w:val="00B05375"/>
    <w:rsid w:val="00B05621"/>
    <w:rsid w:val="00B05648"/>
    <w:rsid w:val="00B056F9"/>
    <w:rsid w:val="00B05732"/>
    <w:rsid w:val="00B05A43"/>
    <w:rsid w:val="00B05D41"/>
    <w:rsid w:val="00B0651E"/>
    <w:rsid w:val="00B06904"/>
    <w:rsid w:val="00B06979"/>
    <w:rsid w:val="00B06A62"/>
    <w:rsid w:val="00B06F50"/>
    <w:rsid w:val="00B070B2"/>
    <w:rsid w:val="00B07589"/>
    <w:rsid w:val="00B100EA"/>
    <w:rsid w:val="00B10879"/>
    <w:rsid w:val="00B10B13"/>
    <w:rsid w:val="00B111B2"/>
    <w:rsid w:val="00B11336"/>
    <w:rsid w:val="00B113FD"/>
    <w:rsid w:val="00B1190E"/>
    <w:rsid w:val="00B11BE2"/>
    <w:rsid w:val="00B11C91"/>
    <w:rsid w:val="00B11E3A"/>
    <w:rsid w:val="00B11FA3"/>
    <w:rsid w:val="00B12284"/>
    <w:rsid w:val="00B130A1"/>
    <w:rsid w:val="00B139C8"/>
    <w:rsid w:val="00B13A99"/>
    <w:rsid w:val="00B141B6"/>
    <w:rsid w:val="00B141E6"/>
    <w:rsid w:val="00B14A95"/>
    <w:rsid w:val="00B14E27"/>
    <w:rsid w:val="00B14E67"/>
    <w:rsid w:val="00B15006"/>
    <w:rsid w:val="00B15052"/>
    <w:rsid w:val="00B15B4A"/>
    <w:rsid w:val="00B15C67"/>
    <w:rsid w:val="00B15E47"/>
    <w:rsid w:val="00B16422"/>
    <w:rsid w:val="00B16968"/>
    <w:rsid w:val="00B16CF3"/>
    <w:rsid w:val="00B16E98"/>
    <w:rsid w:val="00B17601"/>
    <w:rsid w:val="00B17685"/>
    <w:rsid w:val="00B17752"/>
    <w:rsid w:val="00B17A30"/>
    <w:rsid w:val="00B17AEF"/>
    <w:rsid w:val="00B17B99"/>
    <w:rsid w:val="00B17ED7"/>
    <w:rsid w:val="00B17F2C"/>
    <w:rsid w:val="00B20098"/>
    <w:rsid w:val="00B201B0"/>
    <w:rsid w:val="00B20700"/>
    <w:rsid w:val="00B20916"/>
    <w:rsid w:val="00B20E30"/>
    <w:rsid w:val="00B20FC3"/>
    <w:rsid w:val="00B213C0"/>
    <w:rsid w:val="00B21CE7"/>
    <w:rsid w:val="00B21D95"/>
    <w:rsid w:val="00B22257"/>
    <w:rsid w:val="00B2290A"/>
    <w:rsid w:val="00B229EE"/>
    <w:rsid w:val="00B22EA2"/>
    <w:rsid w:val="00B23390"/>
    <w:rsid w:val="00B23400"/>
    <w:rsid w:val="00B2358C"/>
    <w:rsid w:val="00B23709"/>
    <w:rsid w:val="00B23849"/>
    <w:rsid w:val="00B23C97"/>
    <w:rsid w:val="00B249D2"/>
    <w:rsid w:val="00B24ECE"/>
    <w:rsid w:val="00B24F9C"/>
    <w:rsid w:val="00B253B5"/>
    <w:rsid w:val="00B25591"/>
    <w:rsid w:val="00B25990"/>
    <w:rsid w:val="00B261F1"/>
    <w:rsid w:val="00B267C4"/>
    <w:rsid w:val="00B26BA1"/>
    <w:rsid w:val="00B26D54"/>
    <w:rsid w:val="00B26F90"/>
    <w:rsid w:val="00B27372"/>
    <w:rsid w:val="00B27FDE"/>
    <w:rsid w:val="00B3053D"/>
    <w:rsid w:val="00B30A03"/>
    <w:rsid w:val="00B31750"/>
    <w:rsid w:val="00B31B13"/>
    <w:rsid w:val="00B31BC4"/>
    <w:rsid w:val="00B32067"/>
    <w:rsid w:val="00B3215A"/>
    <w:rsid w:val="00B32173"/>
    <w:rsid w:val="00B325D2"/>
    <w:rsid w:val="00B326F4"/>
    <w:rsid w:val="00B327A5"/>
    <w:rsid w:val="00B329FD"/>
    <w:rsid w:val="00B32AAC"/>
    <w:rsid w:val="00B32CF1"/>
    <w:rsid w:val="00B32DF6"/>
    <w:rsid w:val="00B33056"/>
    <w:rsid w:val="00B334D2"/>
    <w:rsid w:val="00B3362C"/>
    <w:rsid w:val="00B33DF3"/>
    <w:rsid w:val="00B33F66"/>
    <w:rsid w:val="00B3442A"/>
    <w:rsid w:val="00B3481C"/>
    <w:rsid w:val="00B34F1F"/>
    <w:rsid w:val="00B3505A"/>
    <w:rsid w:val="00B35247"/>
    <w:rsid w:val="00B359FB"/>
    <w:rsid w:val="00B35C34"/>
    <w:rsid w:val="00B362FB"/>
    <w:rsid w:val="00B3662C"/>
    <w:rsid w:val="00B368A7"/>
    <w:rsid w:val="00B368BF"/>
    <w:rsid w:val="00B36EFF"/>
    <w:rsid w:val="00B37172"/>
    <w:rsid w:val="00B371A0"/>
    <w:rsid w:val="00B3735F"/>
    <w:rsid w:val="00B37422"/>
    <w:rsid w:val="00B37864"/>
    <w:rsid w:val="00B37A1E"/>
    <w:rsid w:val="00B37B07"/>
    <w:rsid w:val="00B4022D"/>
    <w:rsid w:val="00B404DE"/>
    <w:rsid w:val="00B40612"/>
    <w:rsid w:val="00B40825"/>
    <w:rsid w:val="00B40D7B"/>
    <w:rsid w:val="00B41027"/>
    <w:rsid w:val="00B411E2"/>
    <w:rsid w:val="00B413D2"/>
    <w:rsid w:val="00B41626"/>
    <w:rsid w:val="00B41A8F"/>
    <w:rsid w:val="00B41D0E"/>
    <w:rsid w:val="00B41D72"/>
    <w:rsid w:val="00B41DC4"/>
    <w:rsid w:val="00B4201A"/>
    <w:rsid w:val="00B42408"/>
    <w:rsid w:val="00B42659"/>
    <w:rsid w:val="00B4281D"/>
    <w:rsid w:val="00B4286F"/>
    <w:rsid w:val="00B43159"/>
    <w:rsid w:val="00B4336B"/>
    <w:rsid w:val="00B435A1"/>
    <w:rsid w:val="00B4395A"/>
    <w:rsid w:val="00B43D8F"/>
    <w:rsid w:val="00B44148"/>
    <w:rsid w:val="00B4433C"/>
    <w:rsid w:val="00B44685"/>
    <w:rsid w:val="00B44B8A"/>
    <w:rsid w:val="00B44BA8"/>
    <w:rsid w:val="00B45133"/>
    <w:rsid w:val="00B45FE7"/>
    <w:rsid w:val="00B46B33"/>
    <w:rsid w:val="00B46F6D"/>
    <w:rsid w:val="00B476DD"/>
    <w:rsid w:val="00B47A27"/>
    <w:rsid w:val="00B47C66"/>
    <w:rsid w:val="00B47F11"/>
    <w:rsid w:val="00B504A2"/>
    <w:rsid w:val="00B50C0A"/>
    <w:rsid w:val="00B50CD0"/>
    <w:rsid w:val="00B50E13"/>
    <w:rsid w:val="00B50F92"/>
    <w:rsid w:val="00B5130A"/>
    <w:rsid w:val="00B514E2"/>
    <w:rsid w:val="00B515D0"/>
    <w:rsid w:val="00B51714"/>
    <w:rsid w:val="00B52ABB"/>
    <w:rsid w:val="00B52CE3"/>
    <w:rsid w:val="00B52E32"/>
    <w:rsid w:val="00B532F5"/>
    <w:rsid w:val="00B53924"/>
    <w:rsid w:val="00B53A09"/>
    <w:rsid w:val="00B542A3"/>
    <w:rsid w:val="00B54A67"/>
    <w:rsid w:val="00B55177"/>
    <w:rsid w:val="00B552CB"/>
    <w:rsid w:val="00B556E3"/>
    <w:rsid w:val="00B5577E"/>
    <w:rsid w:val="00B558C4"/>
    <w:rsid w:val="00B55C7E"/>
    <w:rsid w:val="00B55D4E"/>
    <w:rsid w:val="00B55E2E"/>
    <w:rsid w:val="00B55EC6"/>
    <w:rsid w:val="00B56331"/>
    <w:rsid w:val="00B564D9"/>
    <w:rsid w:val="00B5654E"/>
    <w:rsid w:val="00B5657E"/>
    <w:rsid w:val="00B5690B"/>
    <w:rsid w:val="00B56D85"/>
    <w:rsid w:val="00B56EEE"/>
    <w:rsid w:val="00B56F33"/>
    <w:rsid w:val="00B57276"/>
    <w:rsid w:val="00B5728B"/>
    <w:rsid w:val="00B57369"/>
    <w:rsid w:val="00B57B18"/>
    <w:rsid w:val="00B57EF8"/>
    <w:rsid w:val="00B602B6"/>
    <w:rsid w:val="00B605F8"/>
    <w:rsid w:val="00B60D39"/>
    <w:rsid w:val="00B60E89"/>
    <w:rsid w:val="00B60FE4"/>
    <w:rsid w:val="00B61470"/>
    <w:rsid w:val="00B61755"/>
    <w:rsid w:val="00B61890"/>
    <w:rsid w:val="00B61CD3"/>
    <w:rsid w:val="00B61D2A"/>
    <w:rsid w:val="00B6220F"/>
    <w:rsid w:val="00B62622"/>
    <w:rsid w:val="00B62AF1"/>
    <w:rsid w:val="00B62D86"/>
    <w:rsid w:val="00B62E60"/>
    <w:rsid w:val="00B62F07"/>
    <w:rsid w:val="00B63052"/>
    <w:rsid w:val="00B63AA0"/>
    <w:rsid w:val="00B63CE9"/>
    <w:rsid w:val="00B63D7F"/>
    <w:rsid w:val="00B63F45"/>
    <w:rsid w:val="00B640CE"/>
    <w:rsid w:val="00B64371"/>
    <w:rsid w:val="00B644D0"/>
    <w:rsid w:val="00B64825"/>
    <w:rsid w:val="00B6482E"/>
    <w:rsid w:val="00B64B33"/>
    <w:rsid w:val="00B6515E"/>
    <w:rsid w:val="00B651F2"/>
    <w:rsid w:val="00B65222"/>
    <w:rsid w:val="00B65C42"/>
    <w:rsid w:val="00B65CA5"/>
    <w:rsid w:val="00B65DE8"/>
    <w:rsid w:val="00B65EF5"/>
    <w:rsid w:val="00B66554"/>
    <w:rsid w:val="00B66609"/>
    <w:rsid w:val="00B6661D"/>
    <w:rsid w:val="00B66705"/>
    <w:rsid w:val="00B66A1A"/>
    <w:rsid w:val="00B66CBD"/>
    <w:rsid w:val="00B66F2D"/>
    <w:rsid w:val="00B670E3"/>
    <w:rsid w:val="00B67464"/>
    <w:rsid w:val="00B6787E"/>
    <w:rsid w:val="00B678EB"/>
    <w:rsid w:val="00B67B1F"/>
    <w:rsid w:val="00B67E02"/>
    <w:rsid w:val="00B67E0D"/>
    <w:rsid w:val="00B7066C"/>
    <w:rsid w:val="00B70EA4"/>
    <w:rsid w:val="00B70EF6"/>
    <w:rsid w:val="00B7145A"/>
    <w:rsid w:val="00B721A4"/>
    <w:rsid w:val="00B72C4E"/>
    <w:rsid w:val="00B72E83"/>
    <w:rsid w:val="00B73324"/>
    <w:rsid w:val="00B7358D"/>
    <w:rsid w:val="00B7365F"/>
    <w:rsid w:val="00B74148"/>
    <w:rsid w:val="00B743CF"/>
    <w:rsid w:val="00B74AB2"/>
    <w:rsid w:val="00B74C50"/>
    <w:rsid w:val="00B74D44"/>
    <w:rsid w:val="00B755CA"/>
    <w:rsid w:val="00B75ADD"/>
    <w:rsid w:val="00B75BDD"/>
    <w:rsid w:val="00B75E2A"/>
    <w:rsid w:val="00B760FB"/>
    <w:rsid w:val="00B7612F"/>
    <w:rsid w:val="00B76352"/>
    <w:rsid w:val="00B76556"/>
    <w:rsid w:val="00B76679"/>
    <w:rsid w:val="00B76731"/>
    <w:rsid w:val="00B76A09"/>
    <w:rsid w:val="00B76AFB"/>
    <w:rsid w:val="00B76CED"/>
    <w:rsid w:val="00B775FE"/>
    <w:rsid w:val="00B7767D"/>
    <w:rsid w:val="00B77A86"/>
    <w:rsid w:val="00B80099"/>
    <w:rsid w:val="00B80A98"/>
    <w:rsid w:val="00B80B94"/>
    <w:rsid w:val="00B80DD9"/>
    <w:rsid w:val="00B81241"/>
    <w:rsid w:val="00B81539"/>
    <w:rsid w:val="00B81569"/>
    <w:rsid w:val="00B81611"/>
    <w:rsid w:val="00B816E0"/>
    <w:rsid w:val="00B817BD"/>
    <w:rsid w:val="00B8192D"/>
    <w:rsid w:val="00B81999"/>
    <w:rsid w:val="00B81D62"/>
    <w:rsid w:val="00B82468"/>
    <w:rsid w:val="00B82828"/>
    <w:rsid w:val="00B830D8"/>
    <w:rsid w:val="00B83105"/>
    <w:rsid w:val="00B8322E"/>
    <w:rsid w:val="00B835F9"/>
    <w:rsid w:val="00B837A0"/>
    <w:rsid w:val="00B83BB6"/>
    <w:rsid w:val="00B83ECB"/>
    <w:rsid w:val="00B83EF3"/>
    <w:rsid w:val="00B8400F"/>
    <w:rsid w:val="00B84164"/>
    <w:rsid w:val="00B841C3"/>
    <w:rsid w:val="00B84522"/>
    <w:rsid w:val="00B845C6"/>
    <w:rsid w:val="00B849EA"/>
    <w:rsid w:val="00B84C72"/>
    <w:rsid w:val="00B853AA"/>
    <w:rsid w:val="00B858D4"/>
    <w:rsid w:val="00B85A95"/>
    <w:rsid w:val="00B861CE"/>
    <w:rsid w:val="00B86A55"/>
    <w:rsid w:val="00B86AD0"/>
    <w:rsid w:val="00B86BEE"/>
    <w:rsid w:val="00B86E31"/>
    <w:rsid w:val="00B87049"/>
    <w:rsid w:val="00B87319"/>
    <w:rsid w:val="00B87489"/>
    <w:rsid w:val="00B876E0"/>
    <w:rsid w:val="00B902B7"/>
    <w:rsid w:val="00B90412"/>
    <w:rsid w:val="00B9073A"/>
    <w:rsid w:val="00B90F87"/>
    <w:rsid w:val="00B91629"/>
    <w:rsid w:val="00B916F0"/>
    <w:rsid w:val="00B91AC0"/>
    <w:rsid w:val="00B91C55"/>
    <w:rsid w:val="00B92446"/>
    <w:rsid w:val="00B924D8"/>
    <w:rsid w:val="00B926A4"/>
    <w:rsid w:val="00B926B1"/>
    <w:rsid w:val="00B92936"/>
    <w:rsid w:val="00B92C9C"/>
    <w:rsid w:val="00B93105"/>
    <w:rsid w:val="00B9335A"/>
    <w:rsid w:val="00B9347F"/>
    <w:rsid w:val="00B93A98"/>
    <w:rsid w:val="00B93B3C"/>
    <w:rsid w:val="00B93EAB"/>
    <w:rsid w:val="00B94009"/>
    <w:rsid w:val="00B940D8"/>
    <w:rsid w:val="00B9450F"/>
    <w:rsid w:val="00B94866"/>
    <w:rsid w:val="00B94904"/>
    <w:rsid w:val="00B94F15"/>
    <w:rsid w:val="00B952D8"/>
    <w:rsid w:val="00B9564E"/>
    <w:rsid w:val="00B95710"/>
    <w:rsid w:val="00B95A63"/>
    <w:rsid w:val="00B95B06"/>
    <w:rsid w:val="00B95F1C"/>
    <w:rsid w:val="00B96877"/>
    <w:rsid w:val="00B9695E"/>
    <w:rsid w:val="00B96A29"/>
    <w:rsid w:val="00B96C38"/>
    <w:rsid w:val="00B96D92"/>
    <w:rsid w:val="00B96F76"/>
    <w:rsid w:val="00B97094"/>
    <w:rsid w:val="00B974D7"/>
    <w:rsid w:val="00B97A5D"/>
    <w:rsid w:val="00BA02F0"/>
    <w:rsid w:val="00BA0346"/>
    <w:rsid w:val="00BA03C4"/>
    <w:rsid w:val="00BA06BF"/>
    <w:rsid w:val="00BA0AB8"/>
    <w:rsid w:val="00BA0B7F"/>
    <w:rsid w:val="00BA125A"/>
    <w:rsid w:val="00BA1635"/>
    <w:rsid w:val="00BA24B6"/>
    <w:rsid w:val="00BA265B"/>
    <w:rsid w:val="00BA2984"/>
    <w:rsid w:val="00BA2BFE"/>
    <w:rsid w:val="00BA332C"/>
    <w:rsid w:val="00BA386A"/>
    <w:rsid w:val="00BA38ED"/>
    <w:rsid w:val="00BA3AE4"/>
    <w:rsid w:val="00BA3EF5"/>
    <w:rsid w:val="00BA4D59"/>
    <w:rsid w:val="00BA50A1"/>
    <w:rsid w:val="00BA5BAA"/>
    <w:rsid w:val="00BA5F8D"/>
    <w:rsid w:val="00BA63C4"/>
    <w:rsid w:val="00BA6710"/>
    <w:rsid w:val="00BA6B4F"/>
    <w:rsid w:val="00BA6E8D"/>
    <w:rsid w:val="00BA72AA"/>
    <w:rsid w:val="00BA732C"/>
    <w:rsid w:val="00BA74EE"/>
    <w:rsid w:val="00BA754F"/>
    <w:rsid w:val="00BA79F2"/>
    <w:rsid w:val="00BA7DD9"/>
    <w:rsid w:val="00BA7E39"/>
    <w:rsid w:val="00BA7F82"/>
    <w:rsid w:val="00BB0178"/>
    <w:rsid w:val="00BB01E1"/>
    <w:rsid w:val="00BB07BB"/>
    <w:rsid w:val="00BB0855"/>
    <w:rsid w:val="00BB0A4C"/>
    <w:rsid w:val="00BB0A91"/>
    <w:rsid w:val="00BB0AA1"/>
    <w:rsid w:val="00BB0B79"/>
    <w:rsid w:val="00BB0D25"/>
    <w:rsid w:val="00BB0D2A"/>
    <w:rsid w:val="00BB1546"/>
    <w:rsid w:val="00BB1997"/>
    <w:rsid w:val="00BB1B05"/>
    <w:rsid w:val="00BB1D8C"/>
    <w:rsid w:val="00BB1F05"/>
    <w:rsid w:val="00BB1F94"/>
    <w:rsid w:val="00BB2F1E"/>
    <w:rsid w:val="00BB320B"/>
    <w:rsid w:val="00BB3F65"/>
    <w:rsid w:val="00BB415D"/>
    <w:rsid w:val="00BB48E4"/>
    <w:rsid w:val="00BB492F"/>
    <w:rsid w:val="00BB51F7"/>
    <w:rsid w:val="00BB556E"/>
    <w:rsid w:val="00BB55FB"/>
    <w:rsid w:val="00BB59A1"/>
    <w:rsid w:val="00BB6091"/>
    <w:rsid w:val="00BB6ADC"/>
    <w:rsid w:val="00BB6AEF"/>
    <w:rsid w:val="00BB6D66"/>
    <w:rsid w:val="00BB7198"/>
    <w:rsid w:val="00BB71C0"/>
    <w:rsid w:val="00BB7573"/>
    <w:rsid w:val="00BB75CA"/>
    <w:rsid w:val="00BB769B"/>
    <w:rsid w:val="00BB76E2"/>
    <w:rsid w:val="00BB79F1"/>
    <w:rsid w:val="00BB7CFC"/>
    <w:rsid w:val="00BC0077"/>
    <w:rsid w:val="00BC0470"/>
    <w:rsid w:val="00BC092B"/>
    <w:rsid w:val="00BC094A"/>
    <w:rsid w:val="00BC0ED0"/>
    <w:rsid w:val="00BC0F57"/>
    <w:rsid w:val="00BC1011"/>
    <w:rsid w:val="00BC1454"/>
    <w:rsid w:val="00BC1797"/>
    <w:rsid w:val="00BC18B5"/>
    <w:rsid w:val="00BC1BB5"/>
    <w:rsid w:val="00BC1C11"/>
    <w:rsid w:val="00BC1D5E"/>
    <w:rsid w:val="00BC1E5B"/>
    <w:rsid w:val="00BC22E9"/>
    <w:rsid w:val="00BC24D1"/>
    <w:rsid w:val="00BC33B0"/>
    <w:rsid w:val="00BC344F"/>
    <w:rsid w:val="00BC3A45"/>
    <w:rsid w:val="00BC3DCF"/>
    <w:rsid w:val="00BC409A"/>
    <w:rsid w:val="00BC4133"/>
    <w:rsid w:val="00BC431C"/>
    <w:rsid w:val="00BC4537"/>
    <w:rsid w:val="00BC4548"/>
    <w:rsid w:val="00BC4D0C"/>
    <w:rsid w:val="00BC4E62"/>
    <w:rsid w:val="00BC504F"/>
    <w:rsid w:val="00BC5227"/>
    <w:rsid w:val="00BC56D3"/>
    <w:rsid w:val="00BC5F9A"/>
    <w:rsid w:val="00BC6264"/>
    <w:rsid w:val="00BC6ACA"/>
    <w:rsid w:val="00BC6C1B"/>
    <w:rsid w:val="00BC6DBE"/>
    <w:rsid w:val="00BC70D7"/>
    <w:rsid w:val="00BC771B"/>
    <w:rsid w:val="00BC7B07"/>
    <w:rsid w:val="00BD04B2"/>
    <w:rsid w:val="00BD0C59"/>
    <w:rsid w:val="00BD0DA1"/>
    <w:rsid w:val="00BD0F45"/>
    <w:rsid w:val="00BD135C"/>
    <w:rsid w:val="00BD18EA"/>
    <w:rsid w:val="00BD1EF7"/>
    <w:rsid w:val="00BD1FD3"/>
    <w:rsid w:val="00BD23C2"/>
    <w:rsid w:val="00BD2955"/>
    <w:rsid w:val="00BD2D5B"/>
    <w:rsid w:val="00BD369D"/>
    <w:rsid w:val="00BD3EFF"/>
    <w:rsid w:val="00BD3FC1"/>
    <w:rsid w:val="00BD43DA"/>
    <w:rsid w:val="00BD4714"/>
    <w:rsid w:val="00BD4CEE"/>
    <w:rsid w:val="00BD50C9"/>
    <w:rsid w:val="00BD5F50"/>
    <w:rsid w:val="00BD692B"/>
    <w:rsid w:val="00BD7127"/>
    <w:rsid w:val="00BD71CF"/>
    <w:rsid w:val="00BD733A"/>
    <w:rsid w:val="00BD734A"/>
    <w:rsid w:val="00BD7483"/>
    <w:rsid w:val="00BD76EF"/>
    <w:rsid w:val="00BD7E3F"/>
    <w:rsid w:val="00BD7F0D"/>
    <w:rsid w:val="00BE0377"/>
    <w:rsid w:val="00BE05EB"/>
    <w:rsid w:val="00BE0806"/>
    <w:rsid w:val="00BE08FB"/>
    <w:rsid w:val="00BE0CBA"/>
    <w:rsid w:val="00BE0EF4"/>
    <w:rsid w:val="00BE10C3"/>
    <w:rsid w:val="00BE1475"/>
    <w:rsid w:val="00BE165D"/>
    <w:rsid w:val="00BE1843"/>
    <w:rsid w:val="00BE191B"/>
    <w:rsid w:val="00BE1AA3"/>
    <w:rsid w:val="00BE1B27"/>
    <w:rsid w:val="00BE1DC4"/>
    <w:rsid w:val="00BE1E1B"/>
    <w:rsid w:val="00BE20BC"/>
    <w:rsid w:val="00BE2829"/>
    <w:rsid w:val="00BE2A44"/>
    <w:rsid w:val="00BE2E2E"/>
    <w:rsid w:val="00BE2FC0"/>
    <w:rsid w:val="00BE3034"/>
    <w:rsid w:val="00BE3036"/>
    <w:rsid w:val="00BE3077"/>
    <w:rsid w:val="00BE3123"/>
    <w:rsid w:val="00BE3948"/>
    <w:rsid w:val="00BE3D1E"/>
    <w:rsid w:val="00BE404E"/>
    <w:rsid w:val="00BE410D"/>
    <w:rsid w:val="00BE42EA"/>
    <w:rsid w:val="00BE492F"/>
    <w:rsid w:val="00BE4A73"/>
    <w:rsid w:val="00BE4A7F"/>
    <w:rsid w:val="00BE4D43"/>
    <w:rsid w:val="00BE4DD4"/>
    <w:rsid w:val="00BE53E7"/>
    <w:rsid w:val="00BE56CB"/>
    <w:rsid w:val="00BE5D24"/>
    <w:rsid w:val="00BE62E5"/>
    <w:rsid w:val="00BE652D"/>
    <w:rsid w:val="00BE6F47"/>
    <w:rsid w:val="00BE6FC3"/>
    <w:rsid w:val="00BE74ED"/>
    <w:rsid w:val="00BE752F"/>
    <w:rsid w:val="00BF0269"/>
    <w:rsid w:val="00BF02EE"/>
    <w:rsid w:val="00BF02FC"/>
    <w:rsid w:val="00BF052C"/>
    <w:rsid w:val="00BF0669"/>
    <w:rsid w:val="00BF0A6F"/>
    <w:rsid w:val="00BF0DE5"/>
    <w:rsid w:val="00BF0E41"/>
    <w:rsid w:val="00BF15C2"/>
    <w:rsid w:val="00BF1CC4"/>
    <w:rsid w:val="00BF2378"/>
    <w:rsid w:val="00BF2521"/>
    <w:rsid w:val="00BF278C"/>
    <w:rsid w:val="00BF2899"/>
    <w:rsid w:val="00BF2AC5"/>
    <w:rsid w:val="00BF2EF9"/>
    <w:rsid w:val="00BF2F4F"/>
    <w:rsid w:val="00BF3100"/>
    <w:rsid w:val="00BF322F"/>
    <w:rsid w:val="00BF3810"/>
    <w:rsid w:val="00BF3862"/>
    <w:rsid w:val="00BF388D"/>
    <w:rsid w:val="00BF38D2"/>
    <w:rsid w:val="00BF3AC5"/>
    <w:rsid w:val="00BF44E5"/>
    <w:rsid w:val="00BF47D3"/>
    <w:rsid w:val="00BF4B5C"/>
    <w:rsid w:val="00BF559A"/>
    <w:rsid w:val="00BF577A"/>
    <w:rsid w:val="00BF58C7"/>
    <w:rsid w:val="00BF5B0E"/>
    <w:rsid w:val="00BF5E30"/>
    <w:rsid w:val="00BF5ECA"/>
    <w:rsid w:val="00BF611E"/>
    <w:rsid w:val="00BF6243"/>
    <w:rsid w:val="00BF6291"/>
    <w:rsid w:val="00BF6992"/>
    <w:rsid w:val="00BF7277"/>
    <w:rsid w:val="00C00CEF"/>
    <w:rsid w:val="00C01337"/>
    <w:rsid w:val="00C01771"/>
    <w:rsid w:val="00C0196F"/>
    <w:rsid w:val="00C023D7"/>
    <w:rsid w:val="00C02658"/>
    <w:rsid w:val="00C02EDC"/>
    <w:rsid w:val="00C033C8"/>
    <w:rsid w:val="00C0357C"/>
    <w:rsid w:val="00C0383E"/>
    <w:rsid w:val="00C03A36"/>
    <w:rsid w:val="00C03E6A"/>
    <w:rsid w:val="00C03ECA"/>
    <w:rsid w:val="00C03FE7"/>
    <w:rsid w:val="00C045EF"/>
    <w:rsid w:val="00C046CC"/>
    <w:rsid w:val="00C047FF"/>
    <w:rsid w:val="00C0497E"/>
    <w:rsid w:val="00C04CA0"/>
    <w:rsid w:val="00C04FA1"/>
    <w:rsid w:val="00C05087"/>
    <w:rsid w:val="00C0526C"/>
    <w:rsid w:val="00C05B06"/>
    <w:rsid w:val="00C05D10"/>
    <w:rsid w:val="00C05E26"/>
    <w:rsid w:val="00C05E59"/>
    <w:rsid w:val="00C06157"/>
    <w:rsid w:val="00C06282"/>
    <w:rsid w:val="00C06827"/>
    <w:rsid w:val="00C06A65"/>
    <w:rsid w:val="00C06A71"/>
    <w:rsid w:val="00C06D7A"/>
    <w:rsid w:val="00C071CC"/>
    <w:rsid w:val="00C07777"/>
    <w:rsid w:val="00C079A3"/>
    <w:rsid w:val="00C079A9"/>
    <w:rsid w:val="00C07DC0"/>
    <w:rsid w:val="00C07F84"/>
    <w:rsid w:val="00C10399"/>
    <w:rsid w:val="00C105F3"/>
    <w:rsid w:val="00C10981"/>
    <w:rsid w:val="00C10B20"/>
    <w:rsid w:val="00C10CCB"/>
    <w:rsid w:val="00C10F58"/>
    <w:rsid w:val="00C11050"/>
    <w:rsid w:val="00C111E0"/>
    <w:rsid w:val="00C113DB"/>
    <w:rsid w:val="00C114EF"/>
    <w:rsid w:val="00C11520"/>
    <w:rsid w:val="00C117B5"/>
    <w:rsid w:val="00C11D79"/>
    <w:rsid w:val="00C12325"/>
    <w:rsid w:val="00C1234C"/>
    <w:rsid w:val="00C1257D"/>
    <w:rsid w:val="00C1271C"/>
    <w:rsid w:val="00C12EE3"/>
    <w:rsid w:val="00C12F3A"/>
    <w:rsid w:val="00C1380B"/>
    <w:rsid w:val="00C139E1"/>
    <w:rsid w:val="00C13B2C"/>
    <w:rsid w:val="00C13BB7"/>
    <w:rsid w:val="00C13D02"/>
    <w:rsid w:val="00C14344"/>
    <w:rsid w:val="00C14364"/>
    <w:rsid w:val="00C14527"/>
    <w:rsid w:val="00C146B6"/>
    <w:rsid w:val="00C14DFA"/>
    <w:rsid w:val="00C14FF3"/>
    <w:rsid w:val="00C150D0"/>
    <w:rsid w:val="00C156D7"/>
    <w:rsid w:val="00C15871"/>
    <w:rsid w:val="00C15AC2"/>
    <w:rsid w:val="00C15BA2"/>
    <w:rsid w:val="00C15D12"/>
    <w:rsid w:val="00C15EF4"/>
    <w:rsid w:val="00C1614A"/>
    <w:rsid w:val="00C161A2"/>
    <w:rsid w:val="00C162BC"/>
    <w:rsid w:val="00C167FE"/>
    <w:rsid w:val="00C1690F"/>
    <w:rsid w:val="00C16EDC"/>
    <w:rsid w:val="00C174D4"/>
    <w:rsid w:val="00C1792B"/>
    <w:rsid w:val="00C20B8F"/>
    <w:rsid w:val="00C213CD"/>
    <w:rsid w:val="00C21442"/>
    <w:rsid w:val="00C2172A"/>
    <w:rsid w:val="00C219B8"/>
    <w:rsid w:val="00C21D80"/>
    <w:rsid w:val="00C21E42"/>
    <w:rsid w:val="00C21E88"/>
    <w:rsid w:val="00C2209B"/>
    <w:rsid w:val="00C22179"/>
    <w:rsid w:val="00C22CE2"/>
    <w:rsid w:val="00C23091"/>
    <w:rsid w:val="00C2351E"/>
    <w:rsid w:val="00C23801"/>
    <w:rsid w:val="00C23808"/>
    <w:rsid w:val="00C23835"/>
    <w:rsid w:val="00C23890"/>
    <w:rsid w:val="00C24544"/>
    <w:rsid w:val="00C24995"/>
    <w:rsid w:val="00C24D8F"/>
    <w:rsid w:val="00C24E44"/>
    <w:rsid w:val="00C24ECE"/>
    <w:rsid w:val="00C25123"/>
    <w:rsid w:val="00C254DB"/>
    <w:rsid w:val="00C25AC9"/>
    <w:rsid w:val="00C25EDE"/>
    <w:rsid w:val="00C2601E"/>
    <w:rsid w:val="00C260D0"/>
    <w:rsid w:val="00C2660E"/>
    <w:rsid w:val="00C26BF0"/>
    <w:rsid w:val="00C26CD4"/>
    <w:rsid w:val="00C26D2E"/>
    <w:rsid w:val="00C27085"/>
    <w:rsid w:val="00C2714B"/>
    <w:rsid w:val="00C27603"/>
    <w:rsid w:val="00C2790C"/>
    <w:rsid w:val="00C27DF2"/>
    <w:rsid w:val="00C27E35"/>
    <w:rsid w:val="00C30151"/>
    <w:rsid w:val="00C301FF"/>
    <w:rsid w:val="00C30426"/>
    <w:rsid w:val="00C304EE"/>
    <w:rsid w:val="00C306D2"/>
    <w:rsid w:val="00C30921"/>
    <w:rsid w:val="00C30DA4"/>
    <w:rsid w:val="00C315BD"/>
    <w:rsid w:val="00C31904"/>
    <w:rsid w:val="00C31C33"/>
    <w:rsid w:val="00C3291D"/>
    <w:rsid w:val="00C32944"/>
    <w:rsid w:val="00C32FA1"/>
    <w:rsid w:val="00C332B8"/>
    <w:rsid w:val="00C33416"/>
    <w:rsid w:val="00C33654"/>
    <w:rsid w:val="00C3365D"/>
    <w:rsid w:val="00C33744"/>
    <w:rsid w:val="00C338E2"/>
    <w:rsid w:val="00C33C06"/>
    <w:rsid w:val="00C33C69"/>
    <w:rsid w:val="00C33CFE"/>
    <w:rsid w:val="00C340D1"/>
    <w:rsid w:val="00C342E4"/>
    <w:rsid w:val="00C34631"/>
    <w:rsid w:val="00C3487B"/>
    <w:rsid w:val="00C3489A"/>
    <w:rsid w:val="00C34A24"/>
    <w:rsid w:val="00C34D13"/>
    <w:rsid w:val="00C34E08"/>
    <w:rsid w:val="00C35781"/>
    <w:rsid w:val="00C358B7"/>
    <w:rsid w:val="00C35D5E"/>
    <w:rsid w:val="00C36500"/>
    <w:rsid w:val="00C36BD1"/>
    <w:rsid w:val="00C36C35"/>
    <w:rsid w:val="00C36CFA"/>
    <w:rsid w:val="00C36E71"/>
    <w:rsid w:val="00C3709D"/>
    <w:rsid w:val="00C370CE"/>
    <w:rsid w:val="00C37314"/>
    <w:rsid w:val="00C37C5A"/>
    <w:rsid w:val="00C37C81"/>
    <w:rsid w:val="00C40263"/>
    <w:rsid w:val="00C40A0C"/>
    <w:rsid w:val="00C40E51"/>
    <w:rsid w:val="00C40E66"/>
    <w:rsid w:val="00C40F6D"/>
    <w:rsid w:val="00C41079"/>
    <w:rsid w:val="00C411A0"/>
    <w:rsid w:val="00C4140D"/>
    <w:rsid w:val="00C414F4"/>
    <w:rsid w:val="00C417EF"/>
    <w:rsid w:val="00C41C16"/>
    <w:rsid w:val="00C41EA9"/>
    <w:rsid w:val="00C41F8F"/>
    <w:rsid w:val="00C42398"/>
    <w:rsid w:val="00C423CF"/>
    <w:rsid w:val="00C42554"/>
    <w:rsid w:val="00C425D6"/>
    <w:rsid w:val="00C42A5B"/>
    <w:rsid w:val="00C42BA8"/>
    <w:rsid w:val="00C42C0A"/>
    <w:rsid w:val="00C4370F"/>
    <w:rsid w:val="00C437CA"/>
    <w:rsid w:val="00C43A37"/>
    <w:rsid w:val="00C445FD"/>
    <w:rsid w:val="00C448B2"/>
    <w:rsid w:val="00C44F5A"/>
    <w:rsid w:val="00C45505"/>
    <w:rsid w:val="00C45651"/>
    <w:rsid w:val="00C45766"/>
    <w:rsid w:val="00C45DD7"/>
    <w:rsid w:val="00C460B1"/>
    <w:rsid w:val="00C460E0"/>
    <w:rsid w:val="00C46498"/>
    <w:rsid w:val="00C470D4"/>
    <w:rsid w:val="00C47634"/>
    <w:rsid w:val="00C47DC1"/>
    <w:rsid w:val="00C47E6B"/>
    <w:rsid w:val="00C50193"/>
    <w:rsid w:val="00C50242"/>
    <w:rsid w:val="00C50479"/>
    <w:rsid w:val="00C5073C"/>
    <w:rsid w:val="00C5086C"/>
    <w:rsid w:val="00C50BD7"/>
    <w:rsid w:val="00C50DF5"/>
    <w:rsid w:val="00C511D3"/>
    <w:rsid w:val="00C51388"/>
    <w:rsid w:val="00C51CDE"/>
    <w:rsid w:val="00C51D6F"/>
    <w:rsid w:val="00C52152"/>
    <w:rsid w:val="00C5232E"/>
    <w:rsid w:val="00C5283B"/>
    <w:rsid w:val="00C52F41"/>
    <w:rsid w:val="00C52F49"/>
    <w:rsid w:val="00C53316"/>
    <w:rsid w:val="00C53683"/>
    <w:rsid w:val="00C538F1"/>
    <w:rsid w:val="00C53E1A"/>
    <w:rsid w:val="00C53E87"/>
    <w:rsid w:val="00C53FC6"/>
    <w:rsid w:val="00C5438D"/>
    <w:rsid w:val="00C54A57"/>
    <w:rsid w:val="00C54C6F"/>
    <w:rsid w:val="00C54D44"/>
    <w:rsid w:val="00C54E38"/>
    <w:rsid w:val="00C55E69"/>
    <w:rsid w:val="00C561D9"/>
    <w:rsid w:val="00C569B9"/>
    <w:rsid w:val="00C56CC9"/>
    <w:rsid w:val="00C56FB3"/>
    <w:rsid w:val="00C57A67"/>
    <w:rsid w:val="00C601D5"/>
    <w:rsid w:val="00C60448"/>
    <w:rsid w:val="00C6082E"/>
    <w:rsid w:val="00C609EA"/>
    <w:rsid w:val="00C60B29"/>
    <w:rsid w:val="00C60FD4"/>
    <w:rsid w:val="00C61831"/>
    <w:rsid w:val="00C61A01"/>
    <w:rsid w:val="00C61E22"/>
    <w:rsid w:val="00C61E28"/>
    <w:rsid w:val="00C61E83"/>
    <w:rsid w:val="00C61F13"/>
    <w:rsid w:val="00C62863"/>
    <w:rsid w:val="00C62B84"/>
    <w:rsid w:val="00C62D88"/>
    <w:rsid w:val="00C62EA8"/>
    <w:rsid w:val="00C631E3"/>
    <w:rsid w:val="00C63676"/>
    <w:rsid w:val="00C63F10"/>
    <w:rsid w:val="00C640C3"/>
    <w:rsid w:val="00C64601"/>
    <w:rsid w:val="00C64762"/>
    <w:rsid w:val="00C647DC"/>
    <w:rsid w:val="00C6486C"/>
    <w:rsid w:val="00C648B5"/>
    <w:rsid w:val="00C64951"/>
    <w:rsid w:val="00C64B92"/>
    <w:rsid w:val="00C64CFE"/>
    <w:rsid w:val="00C65246"/>
    <w:rsid w:val="00C652CA"/>
    <w:rsid w:val="00C654C9"/>
    <w:rsid w:val="00C656DC"/>
    <w:rsid w:val="00C65DD5"/>
    <w:rsid w:val="00C65F5B"/>
    <w:rsid w:val="00C662D8"/>
    <w:rsid w:val="00C6671D"/>
    <w:rsid w:val="00C667FC"/>
    <w:rsid w:val="00C669D9"/>
    <w:rsid w:val="00C66C91"/>
    <w:rsid w:val="00C66D89"/>
    <w:rsid w:val="00C67C0D"/>
    <w:rsid w:val="00C67F1F"/>
    <w:rsid w:val="00C67FF6"/>
    <w:rsid w:val="00C7010C"/>
    <w:rsid w:val="00C703D4"/>
    <w:rsid w:val="00C70401"/>
    <w:rsid w:val="00C70482"/>
    <w:rsid w:val="00C70A40"/>
    <w:rsid w:val="00C70A86"/>
    <w:rsid w:val="00C70E3D"/>
    <w:rsid w:val="00C70F13"/>
    <w:rsid w:val="00C70F29"/>
    <w:rsid w:val="00C70FE0"/>
    <w:rsid w:val="00C71EA6"/>
    <w:rsid w:val="00C727DB"/>
    <w:rsid w:val="00C72992"/>
    <w:rsid w:val="00C72B02"/>
    <w:rsid w:val="00C72DD9"/>
    <w:rsid w:val="00C7336E"/>
    <w:rsid w:val="00C7383B"/>
    <w:rsid w:val="00C73E24"/>
    <w:rsid w:val="00C743CD"/>
    <w:rsid w:val="00C74A32"/>
    <w:rsid w:val="00C74ED7"/>
    <w:rsid w:val="00C75228"/>
    <w:rsid w:val="00C7526E"/>
    <w:rsid w:val="00C75307"/>
    <w:rsid w:val="00C753FA"/>
    <w:rsid w:val="00C755C6"/>
    <w:rsid w:val="00C7563C"/>
    <w:rsid w:val="00C75693"/>
    <w:rsid w:val="00C75C8C"/>
    <w:rsid w:val="00C76336"/>
    <w:rsid w:val="00C76755"/>
    <w:rsid w:val="00C76A17"/>
    <w:rsid w:val="00C76AC8"/>
    <w:rsid w:val="00C77023"/>
    <w:rsid w:val="00C7762D"/>
    <w:rsid w:val="00C77692"/>
    <w:rsid w:val="00C77782"/>
    <w:rsid w:val="00C77971"/>
    <w:rsid w:val="00C779B9"/>
    <w:rsid w:val="00C77BEE"/>
    <w:rsid w:val="00C77D0B"/>
    <w:rsid w:val="00C77DDA"/>
    <w:rsid w:val="00C805FD"/>
    <w:rsid w:val="00C80995"/>
    <w:rsid w:val="00C811DB"/>
    <w:rsid w:val="00C812C0"/>
    <w:rsid w:val="00C812E4"/>
    <w:rsid w:val="00C81556"/>
    <w:rsid w:val="00C81C9D"/>
    <w:rsid w:val="00C823CB"/>
    <w:rsid w:val="00C829A1"/>
    <w:rsid w:val="00C82C7A"/>
    <w:rsid w:val="00C82FBB"/>
    <w:rsid w:val="00C83481"/>
    <w:rsid w:val="00C83842"/>
    <w:rsid w:val="00C83858"/>
    <w:rsid w:val="00C83F43"/>
    <w:rsid w:val="00C83F9F"/>
    <w:rsid w:val="00C841E4"/>
    <w:rsid w:val="00C84432"/>
    <w:rsid w:val="00C847DC"/>
    <w:rsid w:val="00C84AC1"/>
    <w:rsid w:val="00C84B06"/>
    <w:rsid w:val="00C8562D"/>
    <w:rsid w:val="00C856E9"/>
    <w:rsid w:val="00C85829"/>
    <w:rsid w:val="00C858FF"/>
    <w:rsid w:val="00C8622F"/>
    <w:rsid w:val="00C86455"/>
    <w:rsid w:val="00C86B79"/>
    <w:rsid w:val="00C86B8D"/>
    <w:rsid w:val="00C87972"/>
    <w:rsid w:val="00C87B5E"/>
    <w:rsid w:val="00C87B92"/>
    <w:rsid w:val="00C87CD5"/>
    <w:rsid w:val="00C907E5"/>
    <w:rsid w:val="00C90F0B"/>
    <w:rsid w:val="00C916CB"/>
    <w:rsid w:val="00C917BB"/>
    <w:rsid w:val="00C91867"/>
    <w:rsid w:val="00C9191D"/>
    <w:rsid w:val="00C91AA6"/>
    <w:rsid w:val="00C91DEC"/>
    <w:rsid w:val="00C91E1D"/>
    <w:rsid w:val="00C91E77"/>
    <w:rsid w:val="00C91EC6"/>
    <w:rsid w:val="00C91FAC"/>
    <w:rsid w:val="00C92243"/>
    <w:rsid w:val="00C92E3C"/>
    <w:rsid w:val="00C92EE5"/>
    <w:rsid w:val="00C93375"/>
    <w:rsid w:val="00C9347E"/>
    <w:rsid w:val="00C936E7"/>
    <w:rsid w:val="00C93ED6"/>
    <w:rsid w:val="00C9432C"/>
    <w:rsid w:val="00C946B6"/>
    <w:rsid w:val="00C9548B"/>
    <w:rsid w:val="00C958A0"/>
    <w:rsid w:val="00C95A06"/>
    <w:rsid w:val="00C95A2F"/>
    <w:rsid w:val="00C95B3D"/>
    <w:rsid w:val="00C95C72"/>
    <w:rsid w:val="00C95D05"/>
    <w:rsid w:val="00C96041"/>
    <w:rsid w:val="00C961F0"/>
    <w:rsid w:val="00C965A7"/>
    <w:rsid w:val="00C9665F"/>
    <w:rsid w:val="00C97080"/>
    <w:rsid w:val="00C9738A"/>
    <w:rsid w:val="00C973E5"/>
    <w:rsid w:val="00C9751B"/>
    <w:rsid w:val="00C97977"/>
    <w:rsid w:val="00C97A81"/>
    <w:rsid w:val="00C97A8D"/>
    <w:rsid w:val="00C97CC5"/>
    <w:rsid w:val="00C97EDB"/>
    <w:rsid w:val="00CA011E"/>
    <w:rsid w:val="00CA0134"/>
    <w:rsid w:val="00CA0716"/>
    <w:rsid w:val="00CA0A98"/>
    <w:rsid w:val="00CA0B16"/>
    <w:rsid w:val="00CA10A6"/>
    <w:rsid w:val="00CA10CB"/>
    <w:rsid w:val="00CA17D6"/>
    <w:rsid w:val="00CA1814"/>
    <w:rsid w:val="00CA1A33"/>
    <w:rsid w:val="00CA1ACC"/>
    <w:rsid w:val="00CA1D1E"/>
    <w:rsid w:val="00CA1D74"/>
    <w:rsid w:val="00CA2026"/>
    <w:rsid w:val="00CA2057"/>
    <w:rsid w:val="00CA23DA"/>
    <w:rsid w:val="00CA2640"/>
    <w:rsid w:val="00CA27CE"/>
    <w:rsid w:val="00CA2C4C"/>
    <w:rsid w:val="00CA2DD4"/>
    <w:rsid w:val="00CA2F2A"/>
    <w:rsid w:val="00CA374B"/>
    <w:rsid w:val="00CA38E7"/>
    <w:rsid w:val="00CA3974"/>
    <w:rsid w:val="00CA3A48"/>
    <w:rsid w:val="00CA3E9B"/>
    <w:rsid w:val="00CA4006"/>
    <w:rsid w:val="00CA4394"/>
    <w:rsid w:val="00CA44E5"/>
    <w:rsid w:val="00CA4662"/>
    <w:rsid w:val="00CA48E8"/>
    <w:rsid w:val="00CA49D1"/>
    <w:rsid w:val="00CA4F1E"/>
    <w:rsid w:val="00CA50F4"/>
    <w:rsid w:val="00CA5370"/>
    <w:rsid w:val="00CA5656"/>
    <w:rsid w:val="00CA5D38"/>
    <w:rsid w:val="00CA5DEB"/>
    <w:rsid w:val="00CA602B"/>
    <w:rsid w:val="00CA60B7"/>
    <w:rsid w:val="00CA6402"/>
    <w:rsid w:val="00CA6FB3"/>
    <w:rsid w:val="00CA74F4"/>
    <w:rsid w:val="00CA78C3"/>
    <w:rsid w:val="00CA7A1D"/>
    <w:rsid w:val="00CA7AAF"/>
    <w:rsid w:val="00CA7ABB"/>
    <w:rsid w:val="00CA7C98"/>
    <w:rsid w:val="00CA7EAD"/>
    <w:rsid w:val="00CB0117"/>
    <w:rsid w:val="00CB03D7"/>
    <w:rsid w:val="00CB071A"/>
    <w:rsid w:val="00CB0859"/>
    <w:rsid w:val="00CB130B"/>
    <w:rsid w:val="00CB13B6"/>
    <w:rsid w:val="00CB1895"/>
    <w:rsid w:val="00CB1A36"/>
    <w:rsid w:val="00CB1F07"/>
    <w:rsid w:val="00CB220D"/>
    <w:rsid w:val="00CB2530"/>
    <w:rsid w:val="00CB25B2"/>
    <w:rsid w:val="00CB27C8"/>
    <w:rsid w:val="00CB2DC7"/>
    <w:rsid w:val="00CB3140"/>
    <w:rsid w:val="00CB3397"/>
    <w:rsid w:val="00CB393B"/>
    <w:rsid w:val="00CB42CA"/>
    <w:rsid w:val="00CB4376"/>
    <w:rsid w:val="00CB4461"/>
    <w:rsid w:val="00CB44BE"/>
    <w:rsid w:val="00CB4875"/>
    <w:rsid w:val="00CB4BAE"/>
    <w:rsid w:val="00CB4F0D"/>
    <w:rsid w:val="00CB4FA4"/>
    <w:rsid w:val="00CB6663"/>
    <w:rsid w:val="00CB6D07"/>
    <w:rsid w:val="00CB6EB2"/>
    <w:rsid w:val="00CB72A5"/>
    <w:rsid w:val="00CB75AE"/>
    <w:rsid w:val="00CB7655"/>
    <w:rsid w:val="00CB7DC0"/>
    <w:rsid w:val="00CC05F2"/>
    <w:rsid w:val="00CC09FC"/>
    <w:rsid w:val="00CC100B"/>
    <w:rsid w:val="00CC1027"/>
    <w:rsid w:val="00CC10ED"/>
    <w:rsid w:val="00CC128D"/>
    <w:rsid w:val="00CC1380"/>
    <w:rsid w:val="00CC1986"/>
    <w:rsid w:val="00CC1DCE"/>
    <w:rsid w:val="00CC2455"/>
    <w:rsid w:val="00CC2657"/>
    <w:rsid w:val="00CC29F9"/>
    <w:rsid w:val="00CC2B94"/>
    <w:rsid w:val="00CC2EC8"/>
    <w:rsid w:val="00CC335D"/>
    <w:rsid w:val="00CC392C"/>
    <w:rsid w:val="00CC3A37"/>
    <w:rsid w:val="00CC3E53"/>
    <w:rsid w:val="00CC3EE1"/>
    <w:rsid w:val="00CC4352"/>
    <w:rsid w:val="00CC4539"/>
    <w:rsid w:val="00CC495E"/>
    <w:rsid w:val="00CC4AB2"/>
    <w:rsid w:val="00CC4B42"/>
    <w:rsid w:val="00CC4BF4"/>
    <w:rsid w:val="00CC5250"/>
    <w:rsid w:val="00CC5305"/>
    <w:rsid w:val="00CC58D2"/>
    <w:rsid w:val="00CC5C97"/>
    <w:rsid w:val="00CC5E9D"/>
    <w:rsid w:val="00CC64FD"/>
    <w:rsid w:val="00CC67D8"/>
    <w:rsid w:val="00CC6D8D"/>
    <w:rsid w:val="00CC6FD0"/>
    <w:rsid w:val="00CC75A2"/>
    <w:rsid w:val="00CC7671"/>
    <w:rsid w:val="00CC7BD4"/>
    <w:rsid w:val="00CC7F00"/>
    <w:rsid w:val="00CD02A5"/>
    <w:rsid w:val="00CD054B"/>
    <w:rsid w:val="00CD0602"/>
    <w:rsid w:val="00CD0E2A"/>
    <w:rsid w:val="00CD1762"/>
    <w:rsid w:val="00CD1C70"/>
    <w:rsid w:val="00CD1C73"/>
    <w:rsid w:val="00CD1C74"/>
    <w:rsid w:val="00CD1C9D"/>
    <w:rsid w:val="00CD1EAF"/>
    <w:rsid w:val="00CD1F6D"/>
    <w:rsid w:val="00CD1F88"/>
    <w:rsid w:val="00CD2ECB"/>
    <w:rsid w:val="00CD304A"/>
    <w:rsid w:val="00CD3623"/>
    <w:rsid w:val="00CD3722"/>
    <w:rsid w:val="00CD43C7"/>
    <w:rsid w:val="00CD4617"/>
    <w:rsid w:val="00CD4644"/>
    <w:rsid w:val="00CD47EC"/>
    <w:rsid w:val="00CD4825"/>
    <w:rsid w:val="00CD4A34"/>
    <w:rsid w:val="00CD4A77"/>
    <w:rsid w:val="00CD4E85"/>
    <w:rsid w:val="00CD5329"/>
    <w:rsid w:val="00CD56D4"/>
    <w:rsid w:val="00CD5787"/>
    <w:rsid w:val="00CD5CAD"/>
    <w:rsid w:val="00CD5F17"/>
    <w:rsid w:val="00CD6145"/>
    <w:rsid w:val="00CD690C"/>
    <w:rsid w:val="00CD7317"/>
    <w:rsid w:val="00CD758D"/>
    <w:rsid w:val="00CD75F0"/>
    <w:rsid w:val="00CD76AB"/>
    <w:rsid w:val="00CD7909"/>
    <w:rsid w:val="00CD7AB4"/>
    <w:rsid w:val="00CE023E"/>
    <w:rsid w:val="00CE0289"/>
    <w:rsid w:val="00CE02AB"/>
    <w:rsid w:val="00CE058E"/>
    <w:rsid w:val="00CE0BF3"/>
    <w:rsid w:val="00CE0BF5"/>
    <w:rsid w:val="00CE0DA6"/>
    <w:rsid w:val="00CE1018"/>
    <w:rsid w:val="00CE1081"/>
    <w:rsid w:val="00CE1117"/>
    <w:rsid w:val="00CE1135"/>
    <w:rsid w:val="00CE124D"/>
    <w:rsid w:val="00CE1C5C"/>
    <w:rsid w:val="00CE1ED5"/>
    <w:rsid w:val="00CE1F14"/>
    <w:rsid w:val="00CE21BA"/>
    <w:rsid w:val="00CE2860"/>
    <w:rsid w:val="00CE2A7B"/>
    <w:rsid w:val="00CE2D42"/>
    <w:rsid w:val="00CE33FB"/>
    <w:rsid w:val="00CE34DA"/>
    <w:rsid w:val="00CE3792"/>
    <w:rsid w:val="00CE387F"/>
    <w:rsid w:val="00CE3B37"/>
    <w:rsid w:val="00CE3D8C"/>
    <w:rsid w:val="00CE4699"/>
    <w:rsid w:val="00CE4CF6"/>
    <w:rsid w:val="00CE4DB2"/>
    <w:rsid w:val="00CE4DBE"/>
    <w:rsid w:val="00CE5390"/>
    <w:rsid w:val="00CE5732"/>
    <w:rsid w:val="00CE5F90"/>
    <w:rsid w:val="00CE60F2"/>
    <w:rsid w:val="00CE61B3"/>
    <w:rsid w:val="00CE699E"/>
    <w:rsid w:val="00CE69A0"/>
    <w:rsid w:val="00CE6A7B"/>
    <w:rsid w:val="00CE717E"/>
    <w:rsid w:val="00CE767C"/>
    <w:rsid w:val="00CE79F0"/>
    <w:rsid w:val="00CE7BAF"/>
    <w:rsid w:val="00CE7D77"/>
    <w:rsid w:val="00CE7F93"/>
    <w:rsid w:val="00CF00CB"/>
    <w:rsid w:val="00CF011F"/>
    <w:rsid w:val="00CF021A"/>
    <w:rsid w:val="00CF034E"/>
    <w:rsid w:val="00CF0522"/>
    <w:rsid w:val="00CF0813"/>
    <w:rsid w:val="00CF09D7"/>
    <w:rsid w:val="00CF0F9A"/>
    <w:rsid w:val="00CF10E7"/>
    <w:rsid w:val="00CF1586"/>
    <w:rsid w:val="00CF16D4"/>
    <w:rsid w:val="00CF1855"/>
    <w:rsid w:val="00CF1892"/>
    <w:rsid w:val="00CF1E1C"/>
    <w:rsid w:val="00CF1E30"/>
    <w:rsid w:val="00CF201D"/>
    <w:rsid w:val="00CF2063"/>
    <w:rsid w:val="00CF228C"/>
    <w:rsid w:val="00CF2442"/>
    <w:rsid w:val="00CF2767"/>
    <w:rsid w:val="00CF2A26"/>
    <w:rsid w:val="00CF2A6F"/>
    <w:rsid w:val="00CF2C00"/>
    <w:rsid w:val="00CF2D26"/>
    <w:rsid w:val="00CF2E5C"/>
    <w:rsid w:val="00CF3293"/>
    <w:rsid w:val="00CF3325"/>
    <w:rsid w:val="00CF3993"/>
    <w:rsid w:val="00CF3C04"/>
    <w:rsid w:val="00CF3CDD"/>
    <w:rsid w:val="00CF3D16"/>
    <w:rsid w:val="00CF3F33"/>
    <w:rsid w:val="00CF453E"/>
    <w:rsid w:val="00CF4A13"/>
    <w:rsid w:val="00CF4A3B"/>
    <w:rsid w:val="00CF4C4B"/>
    <w:rsid w:val="00CF4C88"/>
    <w:rsid w:val="00CF58F7"/>
    <w:rsid w:val="00CF5A66"/>
    <w:rsid w:val="00CF5B28"/>
    <w:rsid w:val="00CF5D42"/>
    <w:rsid w:val="00CF5EE2"/>
    <w:rsid w:val="00CF5EE7"/>
    <w:rsid w:val="00CF6171"/>
    <w:rsid w:val="00CF6560"/>
    <w:rsid w:val="00CF663D"/>
    <w:rsid w:val="00CF75E7"/>
    <w:rsid w:val="00D0050F"/>
    <w:rsid w:val="00D007CD"/>
    <w:rsid w:val="00D00826"/>
    <w:rsid w:val="00D00B4E"/>
    <w:rsid w:val="00D00EA3"/>
    <w:rsid w:val="00D0163F"/>
    <w:rsid w:val="00D01CF8"/>
    <w:rsid w:val="00D01E72"/>
    <w:rsid w:val="00D02001"/>
    <w:rsid w:val="00D02420"/>
    <w:rsid w:val="00D024B7"/>
    <w:rsid w:val="00D025C5"/>
    <w:rsid w:val="00D0284F"/>
    <w:rsid w:val="00D02A33"/>
    <w:rsid w:val="00D02DD2"/>
    <w:rsid w:val="00D02FF7"/>
    <w:rsid w:val="00D033D0"/>
    <w:rsid w:val="00D038ED"/>
    <w:rsid w:val="00D03921"/>
    <w:rsid w:val="00D03AFB"/>
    <w:rsid w:val="00D04217"/>
    <w:rsid w:val="00D04303"/>
    <w:rsid w:val="00D0528C"/>
    <w:rsid w:val="00D058E3"/>
    <w:rsid w:val="00D06204"/>
    <w:rsid w:val="00D06780"/>
    <w:rsid w:val="00D0686C"/>
    <w:rsid w:val="00D068DA"/>
    <w:rsid w:val="00D06922"/>
    <w:rsid w:val="00D06D4A"/>
    <w:rsid w:val="00D06F9D"/>
    <w:rsid w:val="00D07048"/>
    <w:rsid w:val="00D072FA"/>
    <w:rsid w:val="00D07371"/>
    <w:rsid w:val="00D075EF"/>
    <w:rsid w:val="00D079CB"/>
    <w:rsid w:val="00D07DFB"/>
    <w:rsid w:val="00D10909"/>
    <w:rsid w:val="00D10D81"/>
    <w:rsid w:val="00D10E25"/>
    <w:rsid w:val="00D111B9"/>
    <w:rsid w:val="00D1207A"/>
    <w:rsid w:val="00D120E7"/>
    <w:rsid w:val="00D13C26"/>
    <w:rsid w:val="00D14414"/>
    <w:rsid w:val="00D1443B"/>
    <w:rsid w:val="00D1490A"/>
    <w:rsid w:val="00D14C49"/>
    <w:rsid w:val="00D14C56"/>
    <w:rsid w:val="00D14FDF"/>
    <w:rsid w:val="00D15360"/>
    <w:rsid w:val="00D154F5"/>
    <w:rsid w:val="00D159A8"/>
    <w:rsid w:val="00D16139"/>
    <w:rsid w:val="00D162F8"/>
    <w:rsid w:val="00D165FC"/>
    <w:rsid w:val="00D16898"/>
    <w:rsid w:val="00D16993"/>
    <w:rsid w:val="00D16CD9"/>
    <w:rsid w:val="00D16D59"/>
    <w:rsid w:val="00D1716E"/>
    <w:rsid w:val="00D17393"/>
    <w:rsid w:val="00D174BE"/>
    <w:rsid w:val="00D175DF"/>
    <w:rsid w:val="00D1793D"/>
    <w:rsid w:val="00D17A3F"/>
    <w:rsid w:val="00D17D8F"/>
    <w:rsid w:val="00D20176"/>
    <w:rsid w:val="00D20635"/>
    <w:rsid w:val="00D2072B"/>
    <w:rsid w:val="00D209DC"/>
    <w:rsid w:val="00D20EB3"/>
    <w:rsid w:val="00D21B56"/>
    <w:rsid w:val="00D21BB2"/>
    <w:rsid w:val="00D21CD5"/>
    <w:rsid w:val="00D21CE9"/>
    <w:rsid w:val="00D21EE2"/>
    <w:rsid w:val="00D22353"/>
    <w:rsid w:val="00D22C2B"/>
    <w:rsid w:val="00D2326F"/>
    <w:rsid w:val="00D23516"/>
    <w:rsid w:val="00D2358D"/>
    <w:rsid w:val="00D237EB"/>
    <w:rsid w:val="00D24419"/>
    <w:rsid w:val="00D24695"/>
    <w:rsid w:val="00D247E1"/>
    <w:rsid w:val="00D24A2E"/>
    <w:rsid w:val="00D24ADA"/>
    <w:rsid w:val="00D25089"/>
    <w:rsid w:val="00D2530C"/>
    <w:rsid w:val="00D254B7"/>
    <w:rsid w:val="00D26349"/>
    <w:rsid w:val="00D2693A"/>
    <w:rsid w:val="00D26D13"/>
    <w:rsid w:val="00D27013"/>
    <w:rsid w:val="00D27277"/>
    <w:rsid w:val="00D278AA"/>
    <w:rsid w:val="00D279AE"/>
    <w:rsid w:val="00D27B2B"/>
    <w:rsid w:val="00D30129"/>
    <w:rsid w:val="00D30764"/>
    <w:rsid w:val="00D30924"/>
    <w:rsid w:val="00D311B8"/>
    <w:rsid w:val="00D31339"/>
    <w:rsid w:val="00D31400"/>
    <w:rsid w:val="00D31445"/>
    <w:rsid w:val="00D314E4"/>
    <w:rsid w:val="00D3164D"/>
    <w:rsid w:val="00D3178C"/>
    <w:rsid w:val="00D320A1"/>
    <w:rsid w:val="00D320D2"/>
    <w:rsid w:val="00D3212D"/>
    <w:rsid w:val="00D3239B"/>
    <w:rsid w:val="00D3356B"/>
    <w:rsid w:val="00D33603"/>
    <w:rsid w:val="00D33835"/>
    <w:rsid w:val="00D33A23"/>
    <w:rsid w:val="00D33B62"/>
    <w:rsid w:val="00D33C92"/>
    <w:rsid w:val="00D3409A"/>
    <w:rsid w:val="00D34186"/>
    <w:rsid w:val="00D341D1"/>
    <w:rsid w:val="00D34243"/>
    <w:rsid w:val="00D343AE"/>
    <w:rsid w:val="00D34D5C"/>
    <w:rsid w:val="00D351BF"/>
    <w:rsid w:val="00D35601"/>
    <w:rsid w:val="00D36612"/>
    <w:rsid w:val="00D36C77"/>
    <w:rsid w:val="00D36F3A"/>
    <w:rsid w:val="00D36F66"/>
    <w:rsid w:val="00D3744E"/>
    <w:rsid w:val="00D37E33"/>
    <w:rsid w:val="00D4011D"/>
    <w:rsid w:val="00D40428"/>
    <w:rsid w:val="00D40639"/>
    <w:rsid w:val="00D4087B"/>
    <w:rsid w:val="00D40A71"/>
    <w:rsid w:val="00D40B0C"/>
    <w:rsid w:val="00D40DAF"/>
    <w:rsid w:val="00D40EB2"/>
    <w:rsid w:val="00D41440"/>
    <w:rsid w:val="00D415AE"/>
    <w:rsid w:val="00D41644"/>
    <w:rsid w:val="00D41D85"/>
    <w:rsid w:val="00D41FC0"/>
    <w:rsid w:val="00D420FA"/>
    <w:rsid w:val="00D421A7"/>
    <w:rsid w:val="00D4233B"/>
    <w:rsid w:val="00D42488"/>
    <w:rsid w:val="00D42FBF"/>
    <w:rsid w:val="00D43213"/>
    <w:rsid w:val="00D435FE"/>
    <w:rsid w:val="00D43AD3"/>
    <w:rsid w:val="00D43FC4"/>
    <w:rsid w:val="00D440F0"/>
    <w:rsid w:val="00D44420"/>
    <w:rsid w:val="00D4449E"/>
    <w:rsid w:val="00D44990"/>
    <w:rsid w:val="00D44BC3"/>
    <w:rsid w:val="00D44BDD"/>
    <w:rsid w:val="00D451B5"/>
    <w:rsid w:val="00D454F4"/>
    <w:rsid w:val="00D45870"/>
    <w:rsid w:val="00D460C5"/>
    <w:rsid w:val="00D4649A"/>
    <w:rsid w:val="00D469EF"/>
    <w:rsid w:val="00D46CBF"/>
    <w:rsid w:val="00D47483"/>
    <w:rsid w:val="00D47C2B"/>
    <w:rsid w:val="00D47CE8"/>
    <w:rsid w:val="00D47DD2"/>
    <w:rsid w:val="00D47E0F"/>
    <w:rsid w:val="00D505A3"/>
    <w:rsid w:val="00D50A49"/>
    <w:rsid w:val="00D50B30"/>
    <w:rsid w:val="00D50C8B"/>
    <w:rsid w:val="00D515BB"/>
    <w:rsid w:val="00D516D3"/>
    <w:rsid w:val="00D517AF"/>
    <w:rsid w:val="00D51B51"/>
    <w:rsid w:val="00D520C0"/>
    <w:rsid w:val="00D52566"/>
    <w:rsid w:val="00D52C44"/>
    <w:rsid w:val="00D533B5"/>
    <w:rsid w:val="00D53572"/>
    <w:rsid w:val="00D53796"/>
    <w:rsid w:val="00D538A8"/>
    <w:rsid w:val="00D538D5"/>
    <w:rsid w:val="00D5422E"/>
    <w:rsid w:val="00D548A1"/>
    <w:rsid w:val="00D54DC8"/>
    <w:rsid w:val="00D559AD"/>
    <w:rsid w:val="00D55C87"/>
    <w:rsid w:val="00D55EEE"/>
    <w:rsid w:val="00D567F0"/>
    <w:rsid w:val="00D56872"/>
    <w:rsid w:val="00D56D98"/>
    <w:rsid w:val="00D57026"/>
    <w:rsid w:val="00D5718B"/>
    <w:rsid w:val="00D5721D"/>
    <w:rsid w:val="00D572F5"/>
    <w:rsid w:val="00D57502"/>
    <w:rsid w:val="00D57517"/>
    <w:rsid w:val="00D57903"/>
    <w:rsid w:val="00D57972"/>
    <w:rsid w:val="00D57BF0"/>
    <w:rsid w:val="00D603B5"/>
    <w:rsid w:val="00D6160E"/>
    <w:rsid w:val="00D61615"/>
    <w:rsid w:val="00D617C7"/>
    <w:rsid w:val="00D61937"/>
    <w:rsid w:val="00D61C8D"/>
    <w:rsid w:val="00D61F07"/>
    <w:rsid w:val="00D61FD4"/>
    <w:rsid w:val="00D622C3"/>
    <w:rsid w:val="00D6281F"/>
    <w:rsid w:val="00D62A81"/>
    <w:rsid w:val="00D6341D"/>
    <w:rsid w:val="00D636EA"/>
    <w:rsid w:val="00D637F0"/>
    <w:rsid w:val="00D6386B"/>
    <w:rsid w:val="00D638D3"/>
    <w:rsid w:val="00D63E45"/>
    <w:rsid w:val="00D64505"/>
    <w:rsid w:val="00D646AB"/>
    <w:rsid w:val="00D64937"/>
    <w:rsid w:val="00D64B59"/>
    <w:rsid w:val="00D64E72"/>
    <w:rsid w:val="00D65AB6"/>
    <w:rsid w:val="00D65BE2"/>
    <w:rsid w:val="00D65F14"/>
    <w:rsid w:val="00D66108"/>
    <w:rsid w:val="00D665E8"/>
    <w:rsid w:val="00D66770"/>
    <w:rsid w:val="00D66B8B"/>
    <w:rsid w:val="00D66ED8"/>
    <w:rsid w:val="00D67028"/>
    <w:rsid w:val="00D670F9"/>
    <w:rsid w:val="00D67196"/>
    <w:rsid w:val="00D6731C"/>
    <w:rsid w:val="00D67375"/>
    <w:rsid w:val="00D67605"/>
    <w:rsid w:val="00D6771D"/>
    <w:rsid w:val="00D6777A"/>
    <w:rsid w:val="00D67977"/>
    <w:rsid w:val="00D67F4D"/>
    <w:rsid w:val="00D67F53"/>
    <w:rsid w:val="00D7056E"/>
    <w:rsid w:val="00D707EA"/>
    <w:rsid w:val="00D70862"/>
    <w:rsid w:val="00D7089B"/>
    <w:rsid w:val="00D70EC0"/>
    <w:rsid w:val="00D70ED5"/>
    <w:rsid w:val="00D71438"/>
    <w:rsid w:val="00D71F9B"/>
    <w:rsid w:val="00D725F6"/>
    <w:rsid w:val="00D727AB"/>
    <w:rsid w:val="00D72FE3"/>
    <w:rsid w:val="00D73147"/>
    <w:rsid w:val="00D73193"/>
    <w:rsid w:val="00D732AA"/>
    <w:rsid w:val="00D73D31"/>
    <w:rsid w:val="00D73D48"/>
    <w:rsid w:val="00D7400F"/>
    <w:rsid w:val="00D74030"/>
    <w:rsid w:val="00D74855"/>
    <w:rsid w:val="00D74BFF"/>
    <w:rsid w:val="00D7513A"/>
    <w:rsid w:val="00D7543E"/>
    <w:rsid w:val="00D75D36"/>
    <w:rsid w:val="00D75F7B"/>
    <w:rsid w:val="00D7634A"/>
    <w:rsid w:val="00D7648E"/>
    <w:rsid w:val="00D76994"/>
    <w:rsid w:val="00D7704B"/>
    <w:rsid w:val="00D77337"/>
    <w:rsid w:val="00D77C12"/>
    <w:rsid w:val="00D77E65"/>
    <w:rsid w:val="00D77FB5"/>
    <w:rsid w:val="00D804F7"/>
    <w:rsid w:val="00D80567"/>
    <w:rsid w:val="00D80976"/>
    <w:rsid w:val="00D8098D"/>
    <w:rsid w:val="00D80A72"/>
    <w:rsid w:val="00D80D0C"/>
    <w:rsid w:val="00D81055"/>
    <w:rsid w:val="00D81220"/>
    <w:rsid w:val="00D81307"/>
    <w:rsid w:val="00D8145E"/>
    <w:rsid w:val="00D81585"/>
    <w:rsid w:val="00D81752"/>
    <w:rsid w:val="00D817A5"/>
    <w:rsid w:val="00D81904"/>
    <w:rsid w:val="00D819AC"/>
    <w:rsid w:val="00D81B41"/>
    <w:rsid w:val="00D81B84"/>
    <w:rsid w:val="00D820AC"/>
    <w:rsid w:val="00D82189"/>
    <w:rsid w:val="00D8225A"/>
    <w:rsid w:val="00D82263"/>
    <w:rsid w:val="00D82592"/>
    <w:rsid w:val="00D82627"/>
    <w:rsid w:val="00D82724"/>
    <w:rsid w:val="00D82871"/>
    <w:rsid w:val="00D82CC9"/>
    <w:rsid w:val="00D836B2"/>
    <w:rsid w:val="00D8384D"/>
    <w:rsid w:val="00D844AB"/>
    <w:rsid w:val="00D848BE"/>
    <w:rsid w:val="00D84B2F"/>
    <w:rsid w:val="00D85561"/>
    <w:rsid w:val="00D85DBF"/>
    <w:rsid w:val="00D85E02"/>
    <w:rsid w:val="00D862C0"/>
    <w:rsid w:val="00D86799"/>
    <w:rsid w:val="00D86BA3"/>
    <w:rsid w:val="00D86D5E"/>
    <w:rsid w:val="00D87712"/>
    <w:rsid w:val="00D87793"/>
    <w:rsid w:val="00D87A10"/>
    <w:rsid w:val="00D87B04"/>
    <w:rsid w:val="00D87B76"/>
    <w:rsid w:val="00D87D29"/>
    <w:rsid w:val="00D87D4B"/>
    <w:rsid w:val="00D90150"/>
    <w:rsid w:val="00D902D0"/>
    <w:rsid w:val="00D90472"/>
    <w:rsid w:val="00D90567"/>
    <w:rsid w:val="00D90640"/>
    <w:rsid w:val="00D9093F"/>
    <w:rsid w:val="00D90BF2"/>
    <w:rsid w:val="00D90E05"/>
    <w:rsid w:val="00D90FD2"/>
    <w:rsid w:val="00D91570"/>
    <w:rsid w:val="00D91EBA"/>
    <w:rsid w:val="00D92C2E"/>
    <w:rsid w:val="00D9318D"/>
    <w:rsid w:val="00D93E66"/>
    <w:rsid w:val="00D9460A"/>
    <w:rsid w:val="00D94682"/>
    <w:rsid w:val="00D94C4B"/>
    <w:rsid w:val="00D94CB2"/>
    <w:rsid w:val="00D94F8D"/>
    <w:rsid w:val="00D9578F"/>
    <w:rsid w:val="00D95A6D"/>
    <w:rsid w:val="00D95BAD"/>
    <w:rsid w:val="00D95FCB"/>
    <w:rsid w:val="00D967C7"/>
    <w:rsid w:val="00D96A91"/>
    <w:rsid w:val="00D96F0E"/>
    <w:rsid w:val="00D97467"/>
    <w:rsid w:val="00D97564"/>
    <w:rsid w:val="00D97A35"/>
    <w:rsid w:val="00DA01FA"/>
    <w:rsid w:val="00DA04CF"/>
    <w:rsid w:val="00DA0572"/>
    <w:rsid w:val="00DA0BC2"/>
    <w:rsid w:val="00DA0DF0"/>
    <w:rsid w:val="00DA100A"/>
    <w:rsid w:val="00DA1287"/>
    <w:rsid w:val="00DA142F"/>
    <w:rsid w:val="00DA1E6B"/>
    <w:rsid w:val="00DA253B"/>
    <w:rsid w:val="00DA2554"/>
    <w:rsid w:val="00DA27A5"/>
    <w:rsid w:val="00DA2CEA"/>
    <w:rsid w:val="00DA2EBF"/>
    <w:rsid w:val="00DA30AF"/>
    <w:rsid w:val="00DA3524"/>
    <w:rsid w:val="00DA3D4F"/>
    <w:rsid w:val="00DA3EEE"/>
    <w:rsid w:val="00DA49AE"/>
    <w:rsid w:val="00DA548C"/>
    <w:rsid w:val="00DA5C15"/>
    <w:rsid w:val="00DA6542"/>
    <w:rsid w:val="00DA68D9"/>
    <w:rsid w:val="00DA6B0E"/>
    <w:rsid w:val="00DA6CAF"/>
    <w:rsid w:val="00DA6FD0"/>
    <w:rsid w:val="00DA7333"/>
    <w:rsid w:val="00DA7511"/>
    <w:rsid w:val="00DA79DB"/>
    <w:rsid w:val="00DA7B0F"/>
    <w:rsid w:val="00DA7E5A"/>
    <w:rsid w:val="00DB022A"/>
    <w:rsid w:val="00DB0E23"/>
    <w:rsid w:val="00DB14A9"/>
    <w:rsid w:val="00DB15A5"/>
    <w:rsid w:val="00DB15F7"/>
    <w:rsid w:val="00DB1ABE"/>
    <w:rsid w:val="00DB1D3B"/>
    <w:rsid w:val="00DB202A"/>
    <w:rsid w:val="00DB212C"/>
    <w:rsid w:val="00DB224C"/>
    <w:rsid w:val="00DB24CE"/>
    <w:rsid w:val="00DB250B"/>
    <w:rsid w:val="00DB26AA"/>
    <w:rsid w:val="00DB29EB"/>
    <w:rsid w:val="00DB2BDE"/>
    <w:rsid w:val="00DB2EDC"/>
    <w:rsid w:val="00DB2F3D"/>
    <w:rsid w:val="00DB39BA"/>
    <w:rsid w:val="00DB3BA5"/>
    <w:rsid w:val="00DB3C4B"/>
    <w:rsid w:val="00DB4053"/>
    <w:rsid w:val="00DB48F0"/>
    <w:rsid w:val="00DB5078"/>
    <w:rsid w:val="00DB510F"/>
    <w:rsid w:val="00DB6758"/>
    <w:rsid w:val="00DB6A97"/>
    <w:rsid w:val="00DB6CCD"/>
    <w:rsid w:val="00DB6D81"/>
    <w:rsid w:val="00DB7499"/>
    <w:rsid w:val="00DB78AA"/>
    <w:rsid w:val="00DB7AD7"/>
    <w:rsid w:val="00DB7D3A"/>
    <w:rsid w:val="00DB7E6B"/>
    <w:rsid w:val="00DC0384"/>
    <w:rsid w:val="00DC07FE"/>
    <w:rsid w:val="00DC0835"/>
    <w:rsid w:val="00DC09AB"/>
    <w:rsid w:val="00DC0E28"/>
    <w:rsid w:val="00DC11BA"/>
    <w:rsid w:val="00DC142E"/>
    <w:rsid w:val="00DC18B6"/>
    <w:rsid w:val="00DC1E0C"/>
    <w:rsid w:val="00DC1E91"/>
    <w:rsid w:val="00DC1FEB"/>
    <w:rsid w:val="00DC2327"/>
    <w:rsid w:val="00DC2864"/>
    <w:rsid w:val="00DC2CBC"/>
    <w:rsid w:val="00DC30E4"/>
    <w:rsid w:val="00DC33AB"/>
    <w:rsid w:val="00DC3539"/>
    <w:rsid w:val="00DC35C6"/>
    <w:rsid w:val="00DC364A"/>
    <w:rsid w:val="00DC3728"/>
    <w:rsid w:val="00DC37AA"/>
    <w:rsid w:val="00DC3FB9"/>
    <w:rsid w:val="00DC420C"/>
    <w:rsid w:val="00DC4245"/>
    <w:rsid w:val="00DC44E6"/>
    <w:rsid w:val="00DC4F65"/>
    <w:rsid w:val="00DC5074"/>
    <w:rsid w:val="00DC5098"/>
    <w:rsid w:val="00DC53E1"/>
    <w:rsid w:val="00DC56F7"/>
    <w:rsid w:val="00DC5C56"/>
    <w:rsid w:val="00DC629E"/>
    <w:rsid w:val="00DC63BA"/>
    <w:rsid w:val="00DC6A6B"/>
    <w:rsid w:val="00DC6B47"/>
    <w:rsid w:val="00DC7326"/>
    <w:rsid w:val="00DC7E22"/>
    <w:rsid w:val="00DD02AC"/>
    <w:rsid w:val="00DD0AE6"/>
    <w:rsid w:val="00DD1076"/>
    <w:rsid w:val="00DD15C2"/>
    <w:rsid w:val="00DD1648"/>
    <w:rsid w:val="00DD1875"/>
    <w:rsid w:val="00DD1C96"/>
    <w:rsid w:val="00DD1D93"/>
    <w:rsid w:val="00DD231B"/>
    <w:rsid w:val="00DD249A"/>
    <w:rsid w:val="00DD2524"/>
    <w:rsid w:val="00DD2596"/>
    <w:rsid w:val="00DD2787"/>
    <w:rsid w:val="00DD28B2"/>
    <w:rsid w:val="00DD2AE5"/>
    <w:rsid w:val="00DD3057"/>
    <w:rsid w:val="00DD3140"/>
    <w:rsid w:val="00DD31DF"/>
    <w:rsid w:val="00DD3218"/>
    <w:rsid w:val="00DD33BA"/>
    <w:rsid w:val="00DD3B6B"/>
    <w:rsid w:val="00DD3C03"/>
    <w:rsid w:val="00DD3D24"/>
    <w:rsid w:val="00DD3E31"/>
    <w:rsid w:val="00DD3F99"/>
    <w:rsid w:val="00DD44FD"/>
    <w:rsid w:val="00DD4756"/>
    <w:rsid w:val="00DD4757"/>
    <w:rsid w:val="00DD47AD"/>
    <w:rsid w:val="00DD5627"/>
    <w:rsid w:val="00DD5F4B"/>
    <w:rsid w:val="00DD6001"/>
    <w:rsid w:val="00DD64F7"/>
    <w:rsid w:val="00DD677C"/>
    <w:rsid w:val="00DD6A22"/>
    <w:rsid w:val="00DD6C56"/>
    <w:rsid w:val="00DD6E5E"/>
    <w:rsid w:val="00DD6F19"/>
    <w:rsid w:val="00DD707B"/>
    <w:rsid w:val="00DD724F"/>
    <w:rsid w:val="00DD7937"/>
    <w:rsid w:val="00DD7A6E"/>
    <w:rsid w:val="00DE002B"/>
    <w:rsid w:val="00DE0543"/>
    <w:rsid w:val="00DE08CB"/>
    <w:rsid w:val="00DE08F8"/>
    <w:rsid w:val="00DE0D20"/>
    <w:rsid w:val="00DE0DC1"/>
    <w:rsid w:val="00DE0F53"/>
    <w:rsid w:val="00DE1BAC"/>
    <w:rsid w:val="00DE1F17"/>
    <w:rsid w:val="00DE2599"/>
    <w:rsid w:val="00DE2936"/>
    <w:rsid w:val="00DE2A2E"/>
    <w:rsid w:val="00DE3025"/>
    <w:rsid w:val="00DE30F3"/>
    <w:rsid w:val="00DE323C"/>
    <w:rsid w:val="00DE3893"/>
    <w:rsid w:val="00DE3C1F"/>
    <w:rsid w:val="00DE3F43"/>
    <w:rsid w:val="00DE3FB9"/>
    <w:rsid w:val="00DE4737"/>
    <w:rsid w:val="00DE473D"/>
    <w:rsid w:val="00DE4B00"/>
    <w:rsid w:val="00DE56FF"/>
    <w:rsid w:val="00DE5A0E"/>
    <w:rsid w:val="00DE61CB"/>
    <w:rsid w:val="00DE6582"/>
    <w:rsid w:val="00DE6833"/>
    <w:rsid w:val="00DE691A"/>
    <w:rsid w:val="00DE691B"/>
    <w:rsid w:val="00DE69C3"/>
    <w:rsid w:val="00DE6FDE"/>
    <w:rsid w:val="00DE7A4D"/>
    <w:rsid w:val="00DE7AAD"/>
    <w:rsid w:val="00DE7C0A"/>
    <w:rsid w:val="00DE7C14"/>
    <w:rsid w:val="00DE7DBA"/>
    <w:rsid w:val="00DF017A"/>
    <w:rsid w:val="00DF0368"/>
    <w:rsid w:val="00DF0521"/>
    <w:rsid w:val="00DF06E4"/>
    <w:rsid w:val="00DF0864"/>
    <w:rsid w:val="00DF0AAB"/>
    <w:rsid w:val="00DF10F8"/>
    <w:rsid w:val="00DF17FD"/>
    <w:rsid w:val="00DF1E65"/>
    <w:rsid w:val="00DF231E"/>
    <w:rsid w:val="00DF244A"/>
    <w:rsid w:val="00DF25B3"/>
    <w:rsid w:val="00DF2C59"/>
    <w:rsid w:val="00DF2FB8"/>
    <w:rsid w:val="00DF32DE"/>
    <w:rsid w:val="00DF33BE"/>
    <w:rsid w:val="00DF41DE"/>
    <w:rsid w:val="00DF4BF1"/>
    <w:rsid w:val="00DF4C28"/>
    <w:rsid w:val="00DF4FD6"/>
    <w:rsid w:val="00DF554D"/>
    <w:rsid w:val="00DF5763"/>
    <w:rsid w:val="00DF6094"/>
    <w:rsid w:val="00DF63C0"/>
    <w:rsid w:val="00DF676F"/>
    <w:rsid w:val="00DF684B"/>
    <w:rsid w:val="00DF6CC2"/>
    <w:rsid w:val="00DF6DD2"/>
    <w:rsid w:val="00DF72FF"/>
    <w:rsid w:val="00DF741B"/>
    <w:rsid w:val="00DF77E3"/>
    <w:rsid w:val="00DF7812"/>
    <w:rsid w:val="00DF7C33"/>
    <w:rsid w:val="00DF7D4B"/>
    <w:rsid w:val="00E006F5"/>
    <w:rsid w:val="00E00A5D"/>
    <w:rsid w:val="00E00E4A"/>
    <w:rsid w:val="00E00E82"/>
    <w:rsid w:val="00E01437"/>
    <w:rsid w:val="00E01F76"/>
    <w:rsid w:val="00E021C2"/>
    <w:rsid w:val="00E02328"/>
    <w:rsid w:val="00E02492"/>
    <w:rsid w:val="00E02536"/>
    <w:rsid w:val="00E02637"/>
    <w:rsid w:val="00E02649"/>
    <w:rsid w:val="00E02CD9"/>
    <w:rsid w:val="00E02ECC"/>
    <w:rsid w:val="00E02EE6"/>
    <w:rsid w:val="00E037A1"/>
    <w:rsid w:val="00E03950"/>
    <w:rsid w:val="00E03B00"/>
    <w:rsid w:val="00E03B63"/>
    <w:rsid w:val="00E043E0"/>
    <w:rsid w:val="00E045F7"/>
    <w:rsid w:val="00E04903"/>
    <w:rsid w:val="00E04BE1"/>
    <w:rsid w:val="00E0589C"/>
    <w:rsid w:val="00E05C39"/>
    <w:rsid w:val="00E05E88"/>
    <w:rsid w:val="00E05E9C"/>
    <w:rsid w:val="00E06046"/>
    <w:rsid w:val="00E0628C"/>
    <w:rsid w:val="00E0646A"/>
    <w:rsid w:val="00E067A9"/>
    <w:rsid w:val="00E068F9"/>
    <w:rsid w:val="00E069E4"/>
    <w:rsid w:val="00E06D71"/>
    <w:rsid w:val="00E06D72"/>
    <w:rsid w:val="00E06F6C"/>
    <w:rsid w:val="00E0711D"/>
    <w:rsid w:val="00E074A4"/>
    <w:rsid w:val="00E07723"/>
    <w:rsid w:val="00E07DA1"/>
    <w:rsid w:val="00E1039B"/>
    <w:rsid w:val="00E107A7"/>
    <w:rsid w:val="00E10C4B"/>
    <w:rsid w:val="00E10EC7"/>
    <w:rsid w:val="00E10EE9"/>
    <w:rsid w:val="00E116FC"/>
    <w:rsid w:val="00E11758"/>
    <w:rsid w:val="00E11943"/>
    <w:rsid w:val="00E11B99"/>
    <w:rsid w:val="00E11E3E"/>
    <w:rsid w:val="00E11FEC"/>
    <w:rsid w:val="00E12276"/>
    <w:rsid w:val="00E128FC"/>
    <w:rsid w:val="00E12937"/>
    <w:rsid w:val="00E129DA"/>
    <w:rsid w:val="00E12C05"/>
    <w:rsid w:val="00E12E65"/>
    <w:rsid w:val="00E12E71"/>
    <w:rsid w:val="00E12EA5"/>
    <w:rsid w:val="00E12FC5"/>
    <w:rsid w:val="00E13082"/>
    <w:rsid w:val="00E13639"/>
    <w:rsid w:val="00E13AD8"/>
    <w:rsid w:val="00E13B39"/>
    <w:rsid w:val="00E13E6A"/>
    <w:rsid w:val="00E13E71"/>
    <w:rsid w:val="00E14037"/>
    <w:rsid w:val="00E14BE0"/>
    <w:rsid w:val="00E14C1B"/>
    <w:rsid w:val="00E14C66"/>
    <w:rsid w:val="00E14D8B"/>
    <w:rsid w:val="00E15677"/>
    <w:rsid w:val="00E15C41"/>
    <w:rsid w:val="00E161CD"/>
    <w:rsid w:val="00E1620F"/>
    <w:rsid w:val="00E16308"/>
    <w:rsid w:val="00E168C3"/>
    <w:rsid w:val="00E17020"/>
    <w:rsid w:val="00E17322"/>
    <w:rsid w:val="00E17C81"/>
    <w:rsid w:val="00E17D6B"/>
    <w:rsid w:val="00E17E05"/>
    <w:rsid w:val="00E17EC0"/>
    <w:rsid w:val="00E17F27"/>
    <w:rsid w:val="00E205A2"/>
    <w:rsid w:val="00E20641"/>
    <w:rsid w:val="00E20FDE"/>
    <w:rsid w:val="00E210F6"/>
    <w:rsid w:val="00E21175"/>
    <w:rsid w:val="00E21895"/>
    <w:rsid w:val="00E2198E"/>
    <w:rsid w:val="00E21DE4"/>
    <w:rsid w:val="00E21E5D"/>
    <w:rsid w:val="00E22015"/>
    <w:rsid w:val="00E2257B"/>
    <w:rsid w:val="00E22711"/>
    <w:rsid w:val="00E2287A"/>
    <w:rsid w:val="00E22984"/>
    <w:rsid w:val="00E22DF7"/>
    <w:rsid w:val="00E23662"/>
    <w:rsid w:val="00E238D1"/>
    <w:rsid w:val="00E23DD4"/>
    <w:rsid w:val="00E242B8"/>
    <w:rsid w:val="00E243FD"/>
    <w:rsid w:val="00E24747"/>
    <w:rsid w:val="00E24A3D"/>
    <w:rsid w:val="00E2538F"/>
    <w:rsid w:val="00E25491"/>
    <w:rsid w:val="00E2575E"/>
    <w:rsid w:val="00E25836"/>
    <w:rsid w:val="00E25AA4"/>
    <w:rsid w:val="00E26018"/>
    <w:rsid w:val="00E26394"/>
    <w:rsid w:val="00E26427"/>
    <w:rsid w:val="00E266B5"/>
    <w:rsid w:val="00E26712"/>
    <w:rsid w:val="00E26756"/>
    <w:rsid w:val="00E26B01"/>
    <w:rsid w:val="00E26B02"/>
    <w:rsid w:val="00E26CCF"/>
    <w:rsid w:val="00E27121"/>
    <w:rsid w:val="00E27318"/>
    <w:rsid w:val="00E27A44"/>
    <w:rsid w:val="00E30016"/>
    <w:rsid w:val="00E307C4"/>
    <w:rsid w:val="00E30CF0"/>
    <w:rsid w:val="00E31070"/>
    <w:rsid w:val="00E31900"/>
    <w:rsid w:val="00E31CB2"/>
    <w:rsid w:val="00E321AA"/>
    <w:rsid w:val="00E323DD"/>
    <w:rsid w:val="00E3257A"/>
    <w:rsid w:val="00E3276C"/>
    <w:rsid w:val="00E32AD5"/>
    <w:rsid w:val="00E3339E"/>
    <w:rsid w:val="00E333A0"/>
    <w:rsid w:val="00E335A0"/>
    <w:rsid w:val="00E335C8"/>
    <w:rsid w:val="00E3366B"/>
    <w:rsid w:val="00E338D0"/>
    <w:rsid w:val="00E34810"/>
    <w:rsid w:val="00E34811"/>
    <w:rsid w:val="00E34FB7"/>
    <w:rsid w:val="00E35056"/>
    <w:rsid w:val="00E356AE"/>
    <w:rsid w:val="00E356DD"/>
    <w:rsid w:val="00E35874"/>
    <w:rsid w:val="00E35967"/>
    <w:rsid w:val="00E360F9"/>
    <w:rsid w:val="00E3640B"/>
    <w:rsid w:val="00E365C8"/>
    <w:rsid w:val="00E36C08"/>
    <w:rsid w:val="00E36C56"/>
    <w:rsid w:val="00E36D19"/>
    <w:rsid w:val="00E36E64"/>
    <w:rsid w:val="00E40015"/>
    <w:rsid w:val="00E403C8"/>
    <w:rsid w:val="00E411C3"/>
    <w:rsid w:val="00E411F6"/>
    <w:rsid w:val="00E41475"/>
    <w:rsid w:val="00E41539"/>
    <w:rsid w:val="00E420B4"/>
    <w:rsid w:val="00E421DC"/>
    <w:rsid w:val="00E4237C"/>
    <w:rsid w:val="00E4255E"/>
    <w:rsid w:val="00E428A8"/>
    <w:rsid w:val="00E42925"/>
    <w:rsid w:val="00E42C4E"/>
    <w:rsid w:val="00E42E0E"/>
    <w:rsid w:val="00E433C4"/>
    <w:rsid w:val="00E43BAC"/>
    <w:rsid w:val="00E43D54"/>
    <w:rsid w:val="00E43FB4"/>
    <w:rsid w:val="00E4487C"/>
    <w:rsid w:val="00E44E93"/>
    <w:rsid w:val="00E44F73"/>
    <w:rsid w:val="00E44FB4"/>
    <w:rsid w:val="00E45213"/>
    <w:rsid w:val="00E452BA"/>
    <w:rsid w:val="00E454AF"/>
    <w:rsid w:val="00E4570E"/>
    <w:rsid w:val="00E45B1F"/>
    <w:rsid w:val="00E45B7D"/>
    <w:rsid w:val="00E45EF0"/>
    <w:rsid w:val="00E45F3A"/>
    <w:rsid w:val="00E45F6F"/>
    <w:rsid w:val="00E46183"/>
    <w:rsid w:val="00E46291"/>
    <w:rsid w:val="00E462AD"/>
    <w:rsid w:val="00E462CB"/>
    <w:rsid w:val="00E46510"/>
    <w:rsid w:val="00E46768"/>
    <w:rsid w:val="00E468B4"/>
    <w:rsid w:val="00E46992"/>
    <w:rsid w:val="00E46D89"/>
    <w:rsid w:val="00E46E70"/>
    <w:rsid w:val="00E47C79"/>
    <w:rsid w:val="00E50828"/>
    <w:rsid w:val="00E50C07"/>
    <w:rsid w:val="00E50DCE"/>
    <w:rsid w:val="00E50E7D"/>
    <w:rsid w:val="00E516E6"/>
    <w:rsid w:val="00E51C87"/>
    <w:rsid w:val="00E5210C"/>
    <w:rsid w:val="00E52849"/>
    <w:rsid w:val="00E528F4"/>
    <w:rsid w:val="00E5290A"/>
    <w:rsid w:val="00E52CB0"/>
    <w:rsid w:val="00E5356A"/>
    <w:rsid w:val="00E538D8"/>
    <w:rsid w:val="00E54281"/>
    <w:rsid w:val="00E543EC"/>
    <w:rsid w:val="00E54473"/>
    <w:rsid w:val="00E549D6"/>
    <w:rsid w:val="00E54CBB"/>
    <w:rsid w:val="00E54D80"/>
    <w:rsid w:val="00E55511"/>
    <w:rsid w:val="00E55589"/>
    <w:rsid w:val="00E5585E"/>
    <w:rsid w:val="00E565F5"/>
    <w:rsid w:val="00E56CD3"/>
    <w:rsid w:val="00E56CE9"/>
    <w:rsid w:val="00E573B2"/>
    <w:rsid w:val="00E57699"/>
    <w:rsid w:val="00E579AF"/>
    <w:rsid w:val="00E57BA0"/>
    <w:rsid w:val="00E57C01"/>
    <w:rsid w:val="00E57DCF"/>
    <w:rsid w:val="00E57DEB"/>
    <w:rsid w:val="00E603EF"/>
    <w:rsid w:val="00E6052A"/>
    <w:rsid w:val="00E6084C"/>
    <w:rsid w:val="00E609F1"/>
    <w:rsid w:val="00E60BEF"/>
    <w:rsid w:val="00E610DF"/>
    <w:rsid w:val="00E611A7"/>
    <w:rsid w:val="00E611AB"/>
    <w:rsid w:val="00E61D8F"/>
    <w:rsid w:val="00E61F2C"/>
    <w:rsid w:val="00E62891"/>
    <w:rsid w:val="00E633A7"/>
    <w:rsid w:val="00E63E54"/>
    <w:rsid w:val="00E6455A"/>
    <w:rsid w:val="00E64BB0"/>
    <w:rsid w:val="00E64E46"/>
    <w:rsid w:val="00E6503B"/>
    <w:rsid w:val="00E657B0"/>
    <w:rsid w:val="00E6583E"/>
    <w:rsid w:val="00E65884"/>
    <w:rsid w:val="00E659E5"/>
    <w:rsid w:val="00E65AE3"/>
    <w:rsid w:val="00E65C9B"/>
    <w:rsid w:val="00E65DE5"/>
    <w:rsid w:val="00E6607E"/>
    <w:rsid w:val="00E663C3"/>
    <w:rsid w:val="00E667E4"/>
    <w:rsid w:val="00E66FF1"/>
    <w:rsid w:val="00E672CF"/>
    <w:rsid w:val="00E6755C"/>
    <w:rsid w:val="00E676BB"/>
    <w:rsid w:val="00E67A1F"/>
    <w:rsid w:val="00E67B28"/>
    <w:rsid w:val="00E67ED5"/>
    <w:rsid w:val="00E702BF"/>
    <w:rsid w:val="00E70B4B"/>
    <w:rsid w:val="00E70F59"/>
    <w:rsid w:val="00E7136D"/>
    <w:rsid w:val="00E714C1"/>
    <w:rsid w:val="00E71A42"/>
    <w:rsid w:val="00E7211E"/>
    <w:rsid w:val="00E7387A"/>
    <w:rsid w:val="00E73D45"/>
    <w:rsid w:val="00E73F87"/>
    <w:rsid w:val="00E73FC5"/>
    <w:rsid w:val="00E741A6"/>
    <w:rsid w:val="00E7421A"/>
    <w:rsid w:val="00E743A6"/>
    <w:rsid w:val="00E7456B"/>
    <w:rsid w:val="00E75317"/>
    <w:rsid w:val="00E75535"/>
    <w:rsid w:val="00E75CCB"/>
    <w:rsid w:val="00E75ECC"/>
    <w:rsid w:val="00E7615A"/>
    <w:rsid w:val="00E7626A"/>
    <w:rsid w:val="00E76A72"/>
    <w:rsid w:val="00E76A90"/>
    <w:rsid w:val="00E76C9A"/>
    <w:rsid w:val="00E76D25"/>
    <w:rsid w:val="00E76F13"/>
    <w:rsid w:val="00E772B2"/>
    <w:rsid w:val="00E77590"/>
    <w:rsid w:val="00E77B74"/>
    <w:rsid w:val="00E77BAA"/>
    <w:rsid w:val="00E77F53"/>
    <w:rsid w:val="00E77FD5"/>
    <w:rsid w:val="00E80011"/>
    <w:rsid w:val="00E8022C"/>
    <w:rsid w:val="00E8038F"/>
    <w:rsid w:val="00E8068C"/>
    <w:rsid w:val="00E8073C"/>
    <w:rsid w:val="00E8091C"/>
    <w:rsid w:val="00E80CA4"/>
    <w:rsid w:val="00E8129B"/>
    <w:rsid w:val="00E81615"/>
    <w:rsid w:val="00E81DE8"/>
    <w:rsid w:val="00E81FB6"/>
    <w:rsid w:val="00E8226E"/>
    <w:rsid w:val="00E823BD"/>
    <w:rsid w:val="00E82690"/>
    <w:rsid w:val="00E82745"/>
    <w:rsid w:val="00E82796"/>
    <w:rsid w:val="00E827C1"/>
    <w:rsid w:val="00E827DD"/>
    <w:rsid w:val="00E82802"/>
    <w:rsid w:val="00E8288A"/>
    <w:rsid w:val="00E828E5"/>
    <w:rsid w:val="00E82A52"/>
    <w:rsid w:val="00E82BED"/>
    <w:rsid w:val="00E82C94"/>
    <w:rsid w:val="00E835D4"/>
    <w:rsid w:val="00E837DA"/>
    <w:rsid w:val="00E83979"/>
    <w:rsid w:val="00E83A6B"/>
    <w:rsid w:val="00E8429F"/>
    <w:rsid w:val="00E8449C"/>
    <w:rsid w:val="00E845BA"/>
    <w:rsid w:val="00E845D8"/>
    <w:rsid w:val="00E84602"/>
    <w:rsid w:val="00E84873"/>
    <w:rsid w:val="00E84A21"/>
    <w:rsid w:val="00E84ADE"/>
    <w:rsid w:val="00E84DEB"/>
    <w:rsid w:val="00E84E2F"/>
    <w:rsid w:val="00E8514C"/>
    <w:rsid w:val="00E85186"/>
    <w:rsid w:val="00E85254"/>
    <w:rsid w:val="00E8525D"/>
    <w:rsid w:val="00E8554F"/>
    <w:rsid w:val="00E85F7B"/>
    <w:rsid w:val="00E864FC"/>
    <w:rsid w:val="00E86BB8"/>
    <w:rsid w:val="00E86CB5"/>
    <w:rsid w:val="00E87048"/>
    <w:rsid w:val="00E87500"/>
    <w:rsid w:val="00E876C5"/>
    <w:rsid w:val="00E877A5"/>
    <w:rsid w:val="00E878C6"/>
    <w:rsid w:val="00E8795E"/>
    <w:rsid w:val="00E90677"/>
    <w:rsid w:val="00E909D9"/>
    <w:rsid w:val="00E90B77"/>
    <w:rsid w:val="00E90C0D"/>
    <w:rsid w:val="00E90C6B"/>
    <w:rsid w:val="00E90C94"/>
    <w:rsid w:val="00E91081"/>
    <w:rsid w:val="00E9125C"/>
    <w:rsid w:val="00E913B6"/>
    <w:rsid w:val="00E91516"/>
    <w:rsid w:val="00E91762"/>
    <w:rsid w:val="00E91CBC"/>
    <w:rsid w:val="00E92036"/>
    <w:rsid w:val="00E92A6D"/>
    <w:rsid w:val="00E92AF9"/>
    <w:rsid w:val="00E92EB9"/>
    <w:rsid w:val="00E92F24"/>
    <w:rsid w:val="00E93CEE"/>
    <w:rsid w:val="00E945FB"/>
    <w:rsid w:val="00E9578E"/>
    <w:rsid w:val="00E95839"/>
    <w:rsid w:val="00E95A71"/>
    <w:rsid w:val="00E95D99"/>
    <w:rsid w:val="00E95FFD"/>
    <w:rsid w:val="00E960D6"/>
    <w:rsid w:val="00E96278"/>
    <w:rsid w:val="00E9652F"/>
    <w:rsid w:val="00E965DE"/>
    <w:rsid w:val="00E96AE6"/>
    <w:rsid w:val="00E97DEC"/>
    <w:rsid w:val="00E97E8B"/>
    <w:rsid w:val="00EA0031"/>
    <w:rsid w:val="00EA00E6"/>
    <w:rsid w:val="00EA02A1"/>
    <w:rsid w:val="00EA0546"/>
    <w:rsid w:val="00EA073B"/>
    <w:rsid w:val="00EA0A67"/>
    <w:rsid w:val="00EA0A97"/>
    <w:rsid w:val="00EA0D62"/>
    <w:rsid w:val="00EA0DFC"/>
    <w:rsid w:val="00EA0F81"/>
    <w:rsid w:val="00EA135E"/>
    <w:rsid w:val="00EA160A"/>
    <w:rsid w:val="00EA1FF3"/>
    <w:rsid w:val="00EA236E"/>
    <w:rsid w:val="00EA2508"/>
    <w:rsid w:val="00EA2DE4"/>
    <w:rsid w:val="00EA30DD"/>
    <w:rsid w:val="00EA33DA"/>
    <w:rsid w:val="00EA35A4"/>
    <w:rsid w:val="00EA3C55"/>
    <w:rsid w:val="00EA3F9F"/>
    <w:rsid w:val="00EA40E1"/>
    <w:rsid w:val="00EA46C9"/>
    <w:rsid w:val="00EA4948"/>
    <w:rsid w:val="00EA4B11"/>
    <w:rsid w:val="00EA4BD0"/>
    <w:rsid w:val="00EA4D9A"/>
    <w:rsid w:val="00EA4F75"/>
    <w:rsid w:val="00EA51AE"/>
    <w:rsid w:val="00EA5A60"/>
    <w:rsid w:val="00EA5BE0"/>
    <w:rsid w:val="00EA5C71"/>
    <w:rsid w:val="00EA5CCE"/>
    <w:rsid w:val="00EA5E77"/>
    <w:rsid w:val="00EA5F16"/>
    <w:rsid w:val="00EA60ED"/>
    <w:rsid w:val="00EA63A9"/>
    <w:rsid w:val="00EA63D2"/>
    <w:rsid w:val="00EA649F"/>
    <w:rsid w:val="00EA650E"/>
    <w:rsid w:val="00EA66D3"/>
    <w:rsid w:val="00EA695F"/>
    <w:rsid w:val="00EA6AC4"/>
    <w:rsid w:val="00EA6B91"/>
    <w:rsid w:val="00EA6B9B"/>
    <w:rsid w:val="00EA6BC3"/>
    <w:rsid w:val="00EA6D07"/>
    <w:rsid w:val="00EA6EBD"/>
    <w:rsid w:val="00EA759D"/>
    <w:rsid w:val="00EA76B1"/>
    <w:rsid w:val="00EA785D"/>
    <w:rsid w:val="00EA7B30"/>
    <w:rsid w:val="00EA7D23"/>
    <w:rsid w:val="00EB069C"/>
    <w:rsid w:val="00EB09CD"/>
    <w:rsid w:val="00EB0A2F"/>
    <w:rsid w:val="00EB1038"/>
    <w:rsid w:val="00EB1806"/>
    <w:rsid w:val="00EB191E"/>
    <w:rsid w:val="00EB1C1A"/>
    <w:rsid w:val="00EB274F"/>
    <w:rsid w:val="00EB29DF"/>
    <w:rsid w:val="00EB2C38"/>
    <w:rsid w:val="00EB3019"/>
    <w:rsid w:val="00EB3775"/>
    <w:rsid w:val="00EB3AA6"/>
    <w:rsid w:val="00EB3D99"/>
    <w:rsid w:val="00EB3E6B"/>
    <w:rsid w:val="00EB4082"/>
    <w:rsid w:val="00EB4120"/>
    <w:rsid w:val="00EB43FA"/>
    <w:rsid w:val="00EB441E"/>
    <w:rsid w:val="00EB4439"/>
    <w:rsid w:val="00EB443B"/>
    <w:rsid w:val="00EB453F"/>
    <w:rsid w:val="00EB4961"/>
    <w:rsid w:val="00EB4D04"/>
    <w:rsid w:val="00EB509E"/>
    <w:rsid w:val="00EB52CA"/>
    <w:rsid w:val="00EB5DA2"/>
    <w:rsid w:val="00EB6325"/>
    <w:rsid w:val="00EB637C"/>
    <w:rsid w:val="00EB6435"/>
    <w:rsid w:val="00EB6A31"/>
    <w:rsid w:val="00EB6DF9"/>
    <w:rsid w:val="00EB6FA6"/>
    <w:rsid w:val="00EB7877"/>
    <w:rsid w:val="00EB7B1F"/>
    <w:rsid w:val="00EC0318"/>
    <w:rsid w:val="00EC0433"/>
    <w:rsid w:val="00EC0A73"/>
    <w:rsid w:val="00EC0A92"/>
    <w:rsid w:val="00EC0E3F"/>
    <w:rsid w:val="00EC1350"/>
    <w:rsid w:val="00EC13DE"/>
    <w:rsid w:val="00EC19E5"/>
    <w:rsid w:val="00EC1F27"/>
    <w:rsid w:val="00EC1F5B"/>
    <w:rsid w:val="00EC2070"/>
    <w:rsid w:val="00EC2087"/>
    <w:rsid w:val="00EC253F"/>
    <w:rsid w:val="00EC26A2"/>
    <w:rsid w:val="00EC2835"/>
    <w:rsid w:val="00EC2B42"/>
    <w:rsid w:val="00EC2C9E"/>
    <w:rsid w:val="00EC2D35"/>
    <w:rsid w:val="00EC3C23"/>
    <w:rsid w:val="00EC3D29"/>
    <w:rsid w:val="00EC4746"/>
    <w:rsid w:val="00EC4A68"/>
    <w:rsid w:val="00EC4C4E"/>
    <w:rsid w:val="00EC4C8F"/>
    <w:rsid w:val="00EC4CB2"/>
    <w:rsid w:val="00EC5B3B"/>
    <w:rsid w:val="00EC5E5E"/>
    <w:rsid w:val="00EC5E90"/>
    <w:rsid w:val="00EC69C8"/>
    <w:rsid w:val="00EC6A0B"/>
    <w:rsid w:val="00EC6A82"/>
    <w:rsid w:val="00EC6EE8"/>
    <w:rsid w:val="00EC752D"/>
    <w:rsid w:val="00EC7672"/>
    <w:rsid w:val="00EC7AEE"/>
    <w:rsid w:val="00EC7FE8"/>
    <w:rsid w:val="00ED00F8"/>
    <w:rsid w:val="00ED06A0"/>
    <w:rsid w:val="00ED07AD"/>
    <w:rsid w:val="00ED07BF"/>
    <w:rsid w:val="00ED07C1"/>
    <w:rsid w:val="00ED0EEC"/>
    <w:rsid w:val="00ED0F42"/>
    <w:rsid w:val="00ED11D6"/>
    <w:rsid w:val="00ED1308"/>
    <w:rsid w:val="00ED1FBE"/>
    <w:rsid w:val="00ED25FA"/>
    <w:rsid w:val="00ED2659"/>
    <w:rsid w:val="00ED2793"/>
    <w:rsid w:val="00ED2D40"/>
    <w:rsid w:val="00ED3CCF"/>
    <w:rsid w:val="00ED42FB"/>
    <w:rsid w:val="00ED495B"/>
    <w:rsid w:val="00ED4BC6"/>
    <w:rsid w:val="00ED5358"/>
    <w:rsid w:val="00ED5401"/>
    <w:rsid w:val="00ED5E92"/>
    <w:rsid w:val="00ED6DAC"/>
    <w:rsid w:val="00ED71C6"/>
    <w:rsid w:val="00ED73E4"/>
    <w:rsid w:val="00ED74ED"/>
    <w:rsid w:val="00ED7C38"/>
    <w:rsid w:val="00EE001F"/>
    <w:rsid w:val="00EE0339"/>
    <w:rsid w:val="00EE048C"/>
    <w:rsid w:val="00EE0926"/>
    <w:rsid w:val="00EE0955"/>
    <w:rsid w:val="00EE0AAA"/>
    <w:rsid w:val="00EE0BC3"/>
    <w:rsid w:val="00EE0D34"/>
    <w:rsid w:val="00EE15F7"/>
    <w:rsid w:val="00EE19DD"/>
    <w:rsid w:val="00EE1CC4"/>
    <w:rsid w:val="00EE2294"/>
    <w:rsid w:val="00EE24ED"/>
    <w:rsid w:val="00EE2A97"/>
    <w:rsid w:val="00EE2C81"/>
    <w:rsid w:val="00EE3570"/>
    <w:rsid w:val="00EE3E90"/>
    <w:rsid w:val="00EE3ED6"/>
    <w:rsid w:val="00EE3FA9"/>
    <w:rsid w:val="00EE40DB"/>
    <w:rsid w:val="00EE412E"/>
    <w:rsid w:val="00EE4318"/>
    <w:rsid w:val="00EE4ADA"/>
    <w:rsid w:val="00EE4BDD"/>
    <w:rsid w:val="00EE4BE9"/>
    <w:rsid w:val="00EE4EC1"/>
    <w:rsid w:val="00EE5164"/>
    <w:rsid w:val="00EE52C7"/>
    <w:rsid w:val="00EE53F4"/>
    <w:rsid w:val="00EE5405"/>
    <w:rsid w:val="00EE56AC"/>
    <w:rsid w:val="00EE5A23"/>
    <w:rsid w:val="00EE5D75"/>
    <w:rsid w:val="00EE5DA0"/>
    <w:rsid w:val="00EE608E"/>
    <w:rsid w:val="00EE662A"/>
    <w:rsid w:val="00EE68C6"/>
    <w:rsid w:val="00EE68CB"/>
    <w:rsid w:val="00EE6BC5"/>
    <w:rsid w:val="00EE6BEF"/>
    <w:rsid w:val="00EE7AE6"/>
    <w:rsid w:val="00EE7C2A"/>
    <w:rsid w:val="00EE7FA9"/>
    <w:rsid w:val="00EF0903"/>
    <w:rsid w:val="00EF091D"/>
    <w:rsid w:val="00EF0BAE"/>
    <w:rsid w:val="00EF0DA7"/>
    <w:rsid w:val="00EF1483"/>
    <w:rsid w:val="00EF1BB5"/>
    <w:rsid w:val="00EF1ECB"/>
    <w:rsid w:val="00EF2046"/>
    <w:rsid w:val="00EF20C9"/>
    <w:rsid w:val="00EF21F9"/>
    <w:rsid w:val="00EF27B2"/>
    <w:rsid w:val="00EF2812"/>
    <w:rsid w:val="00EF2A4D"/>
    <w:rsid w:val="00EF2D10"/>
    <w:rsid w:val="00EF2F91"/>
    <w:rsid w:val="00EF3427"/>
    <w:rsid w:val="00EF34A9"/>
    <w:rsid w:val="00EF38E6"/>
    <w:rsid w:val="00EF3B27"/>
    <w:rsid w:val="00EF3C5C"/>
    <w:rsid w:val="00EF3C9A"/>
    <w:rsid w:val="00EF3EC1"/>
    <w:rsid w:val="00EF3ECF"/>
    <w:rsid w:val="00EF48E0"/>
    <w:rsid w:val="00EF4981"/>
    <w:rsid w:val="00EF54C5"/>
    <w:rsid w:val="00EF5A2D"/>
    <w:rsid w:val="00EF5D4C"/>
    <w:rsid w:val="00EF5DF4"/>
    <w:rsid w:val="00EF6081"/>
    <w:rsid w:val="00EF6348"/>
    <w:rsid w:val="00EF646D"/>
    <w:rsid w:val="00EF6478"/>
    <w:rsid w:val="00EF6760"/>
    <w:rsid w:val="00EF6A4E"/>
    <w:rsid w:val="00EF7054"/>
    <w:rsid w:val="00EF7088"/>
    <w:rsid w:val="00EF71F3"/>
    <w:rsid w:val="00EF7612"/>
    <w:rsid w:val="00EF76C6"/>
    <w:rsid w:val="00EF77E8"/>
    <w:rsid w:val="00EF7A84"/>
    <w:rsid w:val="00EF7FE1"/>
    <w:rsid w:val="00F0036D"/>
    <w:rsid w:val="00F00771"/>
    <w:rsid w:val="00F0096C"/>
    <w:rsid w:val="00F009C0"/>
    <w:rsid w:val="00F00E8D"/>
    <w:rsid w:val="00F01306"/>
    <w:rsid w:val="00F0130D"/>
    <w:rsid w:val="00F01AFD"/>
    <w:rsid w:val="00F01BE0"/>
    <w:rsid w:val="00F021A3"/>
    <w:rsid w:val="00F02244"/>
    <w:rsid w:val="00F03342"/>
    <w:rsid w:val="00F03644"/>
    <w:rsid w:val="00F03F03"/>
    <w:rsid w:val="00F04051"/>
    <w:rsid w:val="00F04885"/>
    <w:rsid w:val="00F04A98"/>
    <w:rsid w:val="00F051F3"/>
    <w:rsid w:val="00F05416"/>
    <w:rsid w:val="00F055EC"/>
    <w:rsid w:val="00F0575A"/>
    <w:rsid w:val="00F05ECF"/>
    <w:rsid w:val="00F0647E"/>
    <w:rsid w:val="00F06880"/>
    <w:rsid w:val="00F06A5C"/>
    <w:rsid w:val="00F06B16"/>
    <w:rsid w:val="00F06E56"/>
    <w:rsid w:val="00F07005"/>
    <w:rsid w:val="00F074E6"/>
    <w:rsid w:val="00F0753B"/>
    <w:rsid w:val="00F07894"/>
    <w:rsid w:val="00F07DEB"/>
    <w:rsid w:val="00F10097"/>
    <w:rsid w:val="00F1018E"/>
    <w:rsid w:val="00F10367"/>
    <w:rsid w:val="00F107A3"/>
    <w:rsid w:val="00F10963"/>
    <w:rsid w:val="00F10AE9"/>
    <w:rsid w:val="00F10C41"/>
    <w:rsid w:val="00F10DDD"/>
    <w:rsid w:val="00F1110B"/>
    <w:rsid w:val="00F111DB"/>
    <w:rsid w:val="00F1185B"/>
    <w:rsid w:val="00F11D3B"/>
    <w:rsid w:val="00F11FD0"/>
    <w:rsid w:val="00F1203E"/>
    <w:rsid w:val="00F12178"/>
    <w:rsid w:val="00F128B7"/>
    <w:rsid w:val="00F12952"/>
    <w:rsid w:val="00F12970"/>
    <w:rsid w:val="00F129B5"/>
    <w:rsid w:val="00F12BE6"/>
    <w:rsid w:val="00F13063"/>
    <w:rsid w:val="00F136C6"/>
    <w:rsid w:val="00F1379B"/>
    <w:rsid w:val="00F1409A"/>
    <w:rsid w:val="00F1455D"/>
    <w:rsid w:val="00F150A1"/>
    <w:rsid w:val="00F15477"/>
    <w:rsid w:val="00F1584B"/>
    <w:rsid w:val="00F15998"/>
    <w:rsid w:val="00F164F8"/>
    <w:rsid w:val="00F1662B"/>
    <w:rsid w:val="00F16872"/>
    <w:rsid w:val="00F16EEF"/>
    <w:rsid w:val="00F17372"/>
    <w:rsid w:val="00F174C4"/>
    <w:rsid w:val="00F17ECF"/>
    <w:rsid w:val="00F20366"/>
    <w:rsid w:val="00F204A1"/>
    <w:rsid w:val="00F20502"/>
    <w:rsid w:val="00F209A1"/>
    <w:rsid w:val="00F20F8A"/>
    <w:rsid w:val="00F21533"/>
    <w:rsid w:val="00F217F8"/>
    <w:rsid w:val="00F21FF5"/>
    <w:rsid w:val="00F2201D"/>
    <w:rsid w:val="00F22F92"/>
    <w:rsid w:val="00F236DD"/>
    <w:rsid w:val="00F23A68"/>
    <w:rsid w:val="00F23AB0"/>
    <w:rsid w:val="00F23E1A"/>
    <w:rsid w:val="00F2406B"/>
    <w:rsid w:val="00F24F06"/>
    <w:rsid w:val="00F2518F"/>
    <w:rsid w:val="00F256A6"/>
    <w:rsid w:val="00F25A6A"/>
    <w:rsid w:val="00F25A6B"/>
    <w:rsid w:val="00F25BC6"/>
    <w:rsid w:val="00F26021"/>
    <w:rsid w:val="00F260AE"/>
    <w:rsid w:val="00F263C1"/>
    <w:rsid w:val="00F270EC"/>
    <w:rsid w:val="00F2731F"/>
    <w:rsid w:val="00F27895"/>
    <w:rsid w:val="00F278C6"/>
    <w:rsid w:val="00F27FC8"/>
    <w:rsid w:val="00F300FF"/>
    <w:rsid w:val="00F30360"/>
    <w:rsid w:val="00F30639"/>
    <w:rsid w:val="00F30936"/>
    <w:rsid w:val="00F30F65"/>
    <w:rsid w:val="00F30FE4"/>
    <w:rsid w:val="00F31156"/>
    <w:rsid w:val="00F3124F"/>
    <w:rsid w:val="00F31BD7"/>
    <w:rsid w:val="00F31FF9"/>
    <w:rsid w:val="00F328DD"/>
    <w:rsid w:val="00F33332"/>
    <w:rsid w:val="00F3343A"/>
    <w:rsid w:val="00F334CF"/>
    <w:rsid w:val="00F335FE"/>
    <w:rsid w:val="00F338CA"/>
    <w:rsid w:val="00F33AD9"/>
    <w:rsid w:val="00F3463C"/>
    <w:rsid w:val="00F3489F"/>
    <w:rsid w:val="00F348CE"/>
    <w:rsid w:val="00F34F15"/>
    <w:rsid w:val="00F353B1"/>
    <w:rsid w:val="00F3552F"/>
    <w:rsid w:val="00F35C17"/>
    <w:rsid w:val="00F35F63"/>
    <w:rsid w:val="00F35FDB"/>
    <w:rsid w:val="00F36107"/>
    <w:rsid w:val="00F3623C"/>
    <w:rsid w:val="00F36BCB"/>
    <w:rsid w:val="00F3712C"/>
    <w:rsid w:val="00F377EA"/>
    <w:rsid w:val="00F37B34"/>
    <w:rsid w:val="00F402DA"/>
    <w:rsid w:val="00F40417"/>
    <w:rsid w:val="00F40A09"/>
    <w:rsid w:val="00F40A24"/>
    <w:rsid w:val="00F40E5A"/>
    <w:rsid w:val="00F40F28"/>
    <w:rsid w:val="00F4106C"/>
    <w:rsid w:val="00F419F8"/>
    <w:rsid w:val="00F41D27"/>
    <w:rsid w:val="00F420CD"/>
    <w:rsid w:val="00F4236B"/>
    <w:rsid w:val="00F42571"/>
    <w:rsid w:val="00F42AF2"/>
    <w:rsid w:val="00F42C8D"/>
    <w:rsid w:val="00F42CA9"/>
    <w:rsid w:val="00F4313B"/>
    <w:rsid w:val="00F431A2"/>
    <w:rsid w:val="00F432CE"/>
    <w:rsid w:val="00F43C8E"/>
    <w:rsid w:val="00F44C09"/>
    <w:rsid w:val="00F45024"/>
    <w:rsid w:val="00F457B1"/>
    <w:rsid w:val="00F45B56"/>
    <w:rsid w:val="00F460AA"/>
    <w:rsid w:val="00F461A4"/>
    <w:rsid w:val="00F46594"/>
    <w:rsid w:val="00F4661C"/>
    <w:rsid w:val="00F473D8"/>
    <w:rsid w:val="00F473ED"/>
    <w:rsid w:val="00F474EC"/>
    <w:rsid w:val="00F47614"/>
    <w:rsid w:val="00F477E9"/>
    <w:rsid w:val="00F47C08"/>
    <w:rsid w:val="00F47D46"/>
    <w:rsid w:val="00F47E0D"/>
    <w:rsid w:val="00F47F64"/>
    <w:rsid w:val="00F47FC7"/>
    <w:rsid w:val="00F504BE"/>
    <w:rsid w:val="00F505F7"/>
    <w:rsid w:val="00F50610"/>
    <w:rsid w:val="00F50763"/>
    <w:rsid w:val="00F508CF"/>
    <w:rsid w:val="00F50951"/>
    <w:rsid w:val="00F50A8F"/>
    <w:rsid w:val="00F50D9A"/>
    <w:rsid w:val="00F50E09"/>
    <w:rsid w:val="00F50F82"/>
    <w:rsid w:val="00F5126B"/>
    <w:rsid w:val="00F5160D"/>
    <w:rsid w:val="00F5189E"/>
    <w:rsid w:val="00F519FC"/>
    <w:rsid w:val="00F5240A"/>
    <w:rsid w:val="00F52792"/>
    <w:rsid w:val="00F52982"/>
    <w:rsid w:val="00F52BBD"/>
    <w:rsid w:val="00F530E0"/>
    <w:rsid w:val="00F53131"/>
    <w:rsid w:val="00F536D5"/>
    <w:rsid w:val="00F53742"/>
    <w:rsid w:val="00F53979"/>
    <w:rsid w:val="00F53A47"/>
    <w:rsid w:val="00F53D1E"/>
    <w:rsid w:val="00F53D5F"/>
    <w:rsid w:val="00F541B2"/>
    <w:rsid w:val="00F54293"/>
    <w:rsid w:val="00F5480C"/>
    <w:rsid w:val="00F548DA"/>
    <w:rsid w:val="00F54DB6"/>
    <w:rsid w:val="00F55563"/>
    <w:rsid w:val="00F55761"/>
    <w:rsid w:val="00F55EE9"/>
    <w:rsid w:val="00F55FF1"/>
    <w:rsid w:val="00F560CF"/>
    <w:rsid w:val="00F566D9"/>
    <w:rsid w:val="00F56C92"/>
    <w:rsid w:val="00F57049"/>
    <w:rsid w:val="00F5745E"/>
    <w:rsid w:val="00F574D2"/>
    <w:rsid w:val="00F57843"/>
    <w:rsid w:val="00F57990"/>
    <w:rsid w:val="00F579CC"/>
    <w:rsid w:val="00F57B27"/>
    <w:rsid w:val="00F607A8"/>
    <w:rsid w:val="00F60BF6"/>
    <w:rsid w:val="00F60E5B"/>
    <w:rsid w:val="00F614F5"/>
    <w:rsid w:val="00F61C57"/>
    <w:rsid w:val="00F61C65"/>
    <w:rsid w:val="00F61DAB"/>
    <w:rsid w:val="00F61DE9"/>
    <w:rsid w:val="00F62072"/>
    <w:rsid w:val="00F621F1"/>
    <w:rsid w:val="00F62585"/>
    <w:rsid w:val="00F6271D"/>
    <w:rsid w:val="00F63026"/>
    <w:rsid w:val="00F63332"/>
    <w:rsid w:val="00F638CA"/>
    <w:rsid w:val="00F63D6F"/>
    <w:rsid w:val="00F64377"/>
    <w:rsid w:val="00F64598"/>
    <w:rsid w:val="00F64AB8"/>
    <w:rsid w:val="00F64C9F"/>
    <w:rsid w:val="00F651A5"/>
    <w:rsid w:val="00F651F6"/>
    <w:rsid w:val="00F65228"/>
    <w:rsid w:val="00F654F0"/>
    <w:rsid w:val="00F65586"/>
    <w:rsid w:val="00F65C0F"/>
    <w:rsid w:val="00F65CE6"/>
    <w:rsid w:val="00F66159"/>
    <w:rsid w:val="00F6637B"/>
    <w:rsid w:val="00F66EE7"/>
    <w:rsid w:val="00F67114"/>
    <w:rsid w:val="00F67531"/>
    <w:rsid w:val="00F679B0"/>
    <w:rsid w:val="00F679EF"/>
    <w:rsid w:val="00F67B23"/>
    <w:rsid w:val="00F70121"/>
    <w:rsid w:val="00F705F3"/>
    <w:rsid w:val="00F70C41"/>
    <w:rsid w:val="00F70C82"/>
    <w:rsid w:val="00F717E7"/>
    <w:rsid w:val="00F71893"/>
    <w:rsid w:val="00F718F5"/>
    <w:rsid w:val="00F71A10"/>
    <w:rsid w:val="00F71B75"/>
    <w:rsid w:val="00F71BF7"/>
    <w:rsid w:val="00F71C2C"/>
    <w:rsid w:val="00F71D3C"/>
    <w:rsid w:val="00F728AE"/>
    <w:rsid w:val="00F72C09"/>
    <w:rsid w:val="00F73607"/>
    <w:rsid w:val="00F73A77"/>
    <w:rsid w:val="00F73D5E"/>
    <w:rsid w:val="00F73F73"/>
    <w:rsid w:val="00F741AC"/>
    <w:rsid w:val="00F74713"/>
    <w:rsid w:val="00F74821"/>
    <w:rsid w:val="00F75ACB"/>
    <w:rsid w:val="00F7638D"/>
    <w:rsid w:val="00F76537"/>
    <w:rsid w:val="00F766E5"/>
    <w:rsid w:val="00F76E0E"/>
    <w:rsid w:val="00F77089"/>
    <w:rsid w:val="00F779C4"/>
    <w:rsid w:val="00F80015"/>
    <w:rsid w:val="00F8006E"/>
    <w:rsid w:val="00F807E5"/>
    <w:rsid w:val="00F80819"/>
    <w:rsid w:val="00F80CCD"/>
    <w:rsid w:val="00F80D60"/>
    <w:rsid w:val="00F81124"/>
    <w:rsid w:val="00F811FD"/>
    <w:rsid w:val="00F8127D"/>
    <w:rsid w:val="00F813E9"/>
    <w:rsid w:val="00F81645"/>
    <w:rsid w:val="00F8197D"/>
    <w:rsid w:val="00F81A42"/>
    <w:rsid w:val="00F81E59"/>
    <w:rsid w:val="00F81EDC"/>
    <w:rsid w:val="00F82239"/>
    <w:rsid w:val="00F82A23"/>
    <w:rsid w:val="00F82BA2"/>
    <w:rsid w:val="00F8311D"/>
    <w:rsid w:val="00F83315"/>
    <w:rsid w:val="00F8333B"/>
    <w:rsid w:val="00F83488"/>
    <w:rsid w:val="00F8397B"/>
    <w:rsid w:val="00F83BDE"/>
    <w:rsid w:val="00F83F89"/>
    <w:rsid w:val="00F842F7"/>
    <w:rsid w:val="00F8442F"/>
    <w:rsid w:val="00F84573"/>
    <w:rsid w:val="00F84E49"/>
    <w:rsid w:val="00F8576C"/>
    <w:rsid w:val="00F85969"/>
    <w:rsid w:val="00F859F7"/>
    <w:rsid w:val="00F85E75"/>
    <w:rsid w:val="00F86245"/>
    <w:rsid w:val="00F862B0"/>
    <w:rsid w:val="00F86581"/>
    <w:rsid w:val="00F866B2"/>
    <w:rsid w:val="00F86F9D"/>
    <w:rsid w:val="00F8721D"/>
    <w:rsid w:val="00F8736B"/>
    <w:rsid w:val="00F87DF3"/>
    <w:rsid w:val="00F90269"/>
    <w:rsid w:val="00F90B6F"/>
    <w:rsid w:val="00F91139"/>
    <w:rsid w:val="00F9143F"/>
    <w:rsid w:val="00F91815"/>
    <w:rsid w:val="00F91A78"/>
    <w:rsid w:val="00F9215D"/>
    <w:rsid w:val="00F92314"/>
    <w:rsid w:val="00F9275C"/>
    <w:rsid w:val="00F929FF"/>
    <w:rsid w:val="00F92DC9"/>
    <w:rsid w:val="00F92E2E"/>
    <w:rsid w:val="00F92E47"/>
    <w:rsid w:val="00F9319A"/>
    <w:rsid w:val="00F93986"/>
    <w:rsid w:val="00F93BFA"/>
    <w:rsid w:val="00F94067"/>
    <w:rsid w:val="00F943F5"/>
    <w:rsid w:val="00F94830"/>
    <w:rsid w:val="00F948D4"/>
    <w:rsid w:val="00F949AB"/>
    <w:rsid w:val="00F94C78"/>
    <w:rsid w:val="00F94D02"/>
    <w:rsid w:val="00F9516F"/>
    <w:rsid w:val="00F9567D"/>
    <w:rsid w:val="00F95D1A"/>
    <w:rsid w:val="00F95DB4"/>
    <w:rsid w:val="00F95F4B"/>
    <w:rsid w:val="00F9632B"/>
    <w:rsid w:val="00F96A9C"/>
    <w:rsid w:val="00F96CB5"/>
    <w:rsid w:val="00F96CD8"/>
    <w:rsid w:val="00F96D6B"/>
    <w:rsid w:val="00F970B8"/>
    <w:rsid w:val="00F9716B"/>
    <w:rsid w:val="00F9797B"/>
    <w:rsid w:val="00F97A2C"/>
    <w:rsid w:val="00F97F81"/>
    <w:rsid w:val="00FA052D"/>
    <w:rsid w:val="00FA05C1"/>
    <w:rsid w:val="00FA072A"/>
    <w:rsid w:val="00FA07C7"/>
    <w:rsid w:val="00FA093C"/>
    <w:rsid w:val="00FA1213"/>
    <w:rsid w:val="00FA13DB"/>
    <w:rsid w:val="00FA1494"/>
    <w:rsid w:val="00FA1745"/>
    <w:rsid w:val="00FA213B"/>
    <w:rsid w:val="00FA296B"/>
    <w:rsid w:val="00FA2CC1"/>
    <w:rsid w:val="00FA3012"/>
    <w:rsid w:val="00FA3201"/>
    <w:rsid w:val="00FA347D"/>
    <w:rsid w:val="00FA38D8"/>
    <w:rsid w:val="00FA3985"/>
    <w:rsid w:val="00FA3A02"/>
    <w:rsid w:val="00FA3A07"/>
    <w:rsid w:val="00FA3BB1"/>
    <w:rsid w:val="00FA3C0B"/>
    <w:rsid w:val="00FA3FD2"/>
    <w:rsid w:val="00FA4285"/>
    <w:rsid w:val="00FA44B7"/>
    <w:rsid w:val="00FA4AF4"/>
    <w:rsid w:val="00FA4CCF"/>
    <w:rsid w:val="00FA4F60"/>
    <w:rsid w:val="00FA50C3"/>
    <w:rsid w:val="00FA5167"/>
    <w:rsid w:val="00FA522B"/>
    <w:rsid w:val="00FA5274"/>
    <w:rsid w:val="00FA544D"/>
    <w:rsid w:val="00FA5721"/>
    <w:rsid w:val="00FA5C19"/>
    <w:rsid w:val="00FA5D3B"/>
    <w:rsid w:val="00FA683F"/>
    <w:rsid w:val="00FA6A77"/>
    <w:rsid w:val="00FA6B43"/>
    <w:rsid w:val="00FA7262"/>
    <w:rsid w:val="00FA7397"/>
    <w:rsid w:val="00FA740B"/>
    <w:rsid w:val="00FA741A"/>
    <w:rsid w:val="00FA7AFA"/>
    <w:rsid w:val="00FA7B84"/>
    <w:rsid w:val="00FA7E07"/>
    <w:rsid w:val="00FB092F"/>
    <w:rsid w:val="00FB0A42"/>
    <w:rsid w:val="00FB0D5B"/>
    <w:rsid w:val="00FB0D66"/>
    <w:rsid w:val="00FB1109"/>
    <w:rsid w:val="00FB1B4E"/>
    <w:rsid w:val="00FB1E76"/>
    <w:rsid w:val="00FB1F05"/>
    <w:rsid w:val="00FB2202"/>
    <w:rsid w:val="00FB23A7"/>
    <w:rsid w:val="00FB26B9"/>
    <w:rsid w:val="00FB2D70"/>
    <w:rsid w:val="00FB2FF2"/>
    <w:rsid w:val="00FB38B5"/>
    <w:rsid w:val="00FB3E11"/>
    <w:rsid w:val="00FB4393"/>
    <w:rsid w:val="00FB4413"/>
    <w:rsid w:val="00FB45D7"/>
    <w:rsid w:val="00FB4738"/>
    <w:rsid w:val="00FB4C6E"/>
    <w:rsid w:val="00FB4DE3"/>
    <w:rsid w:val="00FB4E82"/>
    <w:rsid w:val="00FB4EB3"/>
    <w:rsid w:val="00FB50CB"/>
    <w:rsid w:val="00FB52DE"/>
    <w:rsid w:val="00FB5426"/>
    <w:rsid w:val="00FB5611"/>
    <w:rsid w:val="00FB576E"/>
    <w:rsid w:val="00FB57BD"/>
    <w:rsid w:val="00FB581F"/>
    <w:rsid w:val="00FB590B"/>
    <w:rsid w:val="00FB5B28"/>
    <w:rsid w:val="00FB5E48"/>
    <w:rsid w:val="00FB5F52"/>
    <w:rsid w:val="00FB65F1"/>
    <w:rsid w:val="00FB6756"/>
    <w:rsid w:val="00FB6D7D"/>
    <w:rsid w:val="00FB6E61"/>
    <w:rsid w:val="00FB71E7"/>
    <w:rsid w:val="00FB7265"/>
    <w:rsid w:val="00FB7779"/>
    <w:rsid w:val="00FB7799"/>
    <w:rsid w:val="00FB784C"/>
    <w:rsid w:val="00FB7EEA"/>
    <w:rsid w:val="00FC01A6"/>
    <w:rsid w:val="00FC0751"/>
    <w:rsid w:val="00FC0806"/>
    <w:rsid w:val="00FC0863"/>
    <w:rsid w:val="00FC0D46"/>
    <w:rsid w:val="00FC10BA"/>
    <w:rsid w:val="00FC2024"/>
    <w:rsid w:val="00FC25AB"/>
    <w:rsid w:val="00FC25D4"/>
    <w:rsid w:val="00FC28EC"/>
    <w:rsid w:val="00FC2A3B"/>
    <w:rsid w:val="00FC2E34"/>
    <w:rsid w:val="00FC2EE6"/>
    <w:rsid w:val="00FC2F3D"/>
    <w:rsid w:val="00FC2F88"/>
    <w:rsid w:val="00FC3B9C"/>
    <w:rsid w:val="00FC3C01"/>
    <w:rsid w:val="00FC46EA"/>
    <w:rsid w:val="00FC4AB6"/>
    <w:rsid w:val="00FC4C2E"/>
    <w:rsid w:val="00FC4D06"/>
    <w:rsid w:val="00FC4DEB"/>
    <w:rsid w:val="00FC5318"/>
    <w:rsid w:val="00FC53C6"/>
    <w:rsid w:val="00FC5429"/>
    <w:rsid w:val="00FC579C"/>
    <w:rsid w:val="00FC5AA9"/>
    <w:rsid w:val="00FC5BDF"/>
    <w:rsid w:val="00FC5CE0"/>
    <w:rsid w:val="00FC5DF1"/>
    <w:rsid w:val="00FC6121"/>
    <w:rsid w:val="00FC6AD1"/>
    <w:rsid w:val="00FC6B78"/>
    <w:rsid w:val="00FC6DAE"/>
    <w:rsid w:val="00FC6FD8"/>
    <w:rsid w:val="00FC7BEC"/>
    <w:rsid w:val="00FC7E36"/>
    <w:rsid w:val="00FD008C"/>
    <w:rsid w:val="00FD00B5"/>
    <w:rsid w:val="00FD0260"/>
    <w:rsid w:val="00FD0915"/>
    <w:rsid w:val="00FD0A6A"/>
    <w:rsid w:val="00FD0F67"/>
    <w:rsid w:val="00FD11F4"/>
    <w:rsid w:val="00FD1538"/>
    <w:rsid w:val="00FD2553"/>
    <w:rsid w:val="00FD2BBA"/>
    <w:rsid w:val="00FD2EB2"/>
    <w:rsid w:val="00FD3D92"/>
    <w:rsid w:val="00FD3E1E"/>
    <w:rsid w:val="00FD3EED"/>
    <w:rsid w:val="00FD3FB2"/>
    <w:rsid w:val="00FD464C"/>
    <w:rsid w:val="00FD46C9"/>
    <w:rsid w:val="00FD47CD"/>
    <w:rsid w:val="00FD47D2"/>
    <w:rsid w:val="00FD4B15"/>
    <w:rsid w:val="00FD4E55"/>
    <w:rsid w:val="00FD56EF"/>
    <w:rsid w:val="00FD584C"/>
    <w:rsid w:val="00FD5FE5"/>
    <w:rsid w:val="00FD60F6"/>
    <w:rsid w:val="00FD663E"/>
    <w:rsid w:val="00FD672F"/>
    <w:rsid w:val="00FD6C36"/>
    <w:rsid w:val="00FD6F3B"/>
    <w:rsid w:val="00FD70BA"/>
    <w:rsid w:val="00FD7523"/>
    <w:rsid w:val="00FD7678"/>
    <w:rsid w:val="00FD7A31"/>
    <w:rsid w:val="00FE0BBC"/>
    <w:rsid w:val="00FE12EF"/>
    <w:rsid w:val="00FE20F5"/>
    <w:rsid w:val="00FE21A0"/>
    <w:rsid w:val="00FE237A"/>
    <w:rsid w:val="00FE2564"/>
    <w:rsid w:val="00FE2B91"/>
    <w:rsid w:val="00FE2FD9"/>
    <w:rsid w:val="00FE34DB"/>
    <w:rsid w:val="00FE4386"/>
    <w:rsid w:val="00FE43DA"/>
    <w:rsid w:val="00FE4951"/>
    <w:rsid w:val="00FE4A33"/>
    <w:rsid w:val="00FE4ACF"/>
    <w:rsid w:val="00FE4B73"/>
    <w:rsid w:val="00FE4BE7"/>
    <w:rsid w:val="00FE4E21"/>
    <w:rsid w:val="00FE4E72"/>
    <w:rsid w:val="00FE5349"/>
    <w:rsid w:val="00FE5435"/>
    <w:rsid w:val="00FE55A1"/>
    <w:rsid w:val="00FE5A40"/>
    <w:rsid w:val="00FE5B33"/>
    <w:rsid w:val="00FE6433"/>
    <w:rsid w:val="00FE6697"/>
    <w:rsid w:val="00FE69B1"/>
    <w:rsid w:val="00FE69E0"/>
    <w:rsid w:val="00FE72C9"/>
    <w:rsid w:val="00FE7AA1"/>
    <w:rsid w:val="00FE7B57"/>
    <w:rsid w:val="00FE7E74"/>
    <w:rsid w:val="00FF07D3"/>
    <w:rsid w:val="00FF0B23"/>
    <w:rsid w:val="00FF0B7C"/>
    <w:rsid w:val="00FF0DA7"/>
    <w:rsid w:val="00FF1064"/>
    <w:rsid w:val="00FF14E2"/>
    <w:rsid w:val="00FF199F"/>
    <w:rsid w:val="00FF1BE6"/>
    <w:rsid w:val="00FF1E71"/>
    <w:rsid w:val="00FF1EC4"/>
    <w:rsid w:val="00FF277F"/>
    <w:rsid w:val="00FF2A40"/>
    <w:rsid w:val="00FF2B92"/>
    <w:rsid w:val="00FF34E1"/>
    <w:rsid w:val="00FF3B27"/>
    <w:rsid w:val="00FF3C50"/>
    <w:rsid w:val="00FF3C6D"/>
    <w:rsid w:val="00FF3D05"/>
    <w:rsid w:val="00FF4F2D"/>
    <w:rsid w:val="00FF4F5A"/>
    <w:rsid w:val="00FF5160"/>
    <w:rsid w:val="00FF5F23"/>
    <w:rsid w:val="00FF5F8B"/>
    <w:rsid w:val="00FF61E7"/>
    <w:rsid w:val="00FF62DB"/>
    <w:rsid w:val="00FF6A71"/>
    <w:rsid w:val="00FF6D62"/>
    <w:rsid w:val="00FF6E50"/>
    <w:rsid w:val="00FF77AE"/>
    <w:rsid w:val="00FF7C3B"/>
    <w:rsid w:val="00FF7E27"/>
    <w:rsid w:val="00FF7E4C"/>
    <w:rsid w:val="010E195E"/>
    <w:rsid w:val="01117FAF"/>
    <w:rsid w:val="012A4E2C"/>
    <w:rsid w:val="013025B0"/>
    <w:rsid w:val="01302B43"/>
    <w:rsid w:val="014018F8"/>
    <w:rsid w:val="015E4AD6"/>
    <w:rsid w:val="0180105E"/>
    <w:rsid w:val="01947035"/>
    <w:rsid w:val="01AB71AE"/>
    <w:rsid w:val="01C0747F"/>
    <w:rsid w:val="01C5295A"/>
    <w:rsid w:val="01C92AC4"/>
    <w:rsid w:val="01CE0516"/>
    <w:rsid w:val="01D6394D"/>
    <w:rsid w:val="01DE2834"/>
    <w:rsid w:val="01EF5536"/>
    <w:rsid w:val="01F55B29"/>
    <w:rsid w:val="01FB2325"/>
    <w:rsid w:val="0208440A"/>
    <w:rsid w:val="02087FF9"/>
    <w:rsid w:val="02170C12"/>
    <w:rsid w:val="021A67FD"/>
    <w:rsid w:val="02467A44"/>
    <w:rsid w:val="02511F45"/>
    <w:rsid w:val="026E51D8"/>
    <w:rsid w:val="027E40BD"/>
    <w:rsid w:val="027F60B8"/>
    <w:rsid w:val="028B36A9"/>
    <w:rsid w:val="02917DD4"/>
    <w:rsid w:val="02A0065F"/>
    <w:rsid w:val="02BB32C9"/>
    <w:rsid w:val="02DC61DA"/>
    <w:rsid w:val="02F42F11"/>
    <w:rsid w:val="02FB7952"/>
    <w:rsid w:val="03026E39"/>
    <w:rsid w:val="030423AD"/>
    <w:rsid w:val="031303A2"/>
    <w:rsid w:val="03144B37"/>
    <w:rsid w:val="031A4A2D"/>
    <w:rsid w:val="03420EAA"/>
    <w:rsid w:val="03541B80"/>
    <w:rsid w:val="03546191"/>
    <w:rsid w:val="035F28EB"/>
    <w:rsid w:val="037411BE"/>
    <w:rsid w:val="037B78F8"/>
    <w:rsid w:val="03922815"/>
    <w:rsid w:val="03A25AA5"/>
    <w:rsid w:val="03A72764"/>
    <w:rsid w:val="03B05E6B"/>
    <w:rsid w:val="03CB2E6E"/>
    <w:rsid w:val="03CF6DB7"/>
    <w:rsid w:val="03D05884"/>
    <w:rsid w:val="03E94237"/>
    <w:rsid w:val="03ED0B8D"/>
    <w:rsid w:val="03F01F3C"/>
    <w:rsid w:val="03F26001"/>
    <w:rsid w:val="03FB03BA"/>
    <w:rsid w:val="040D30E5"/>
    <w:rsid w:val="040E27E3"/>
    <w:rsid w:val="041333E2"/>
    <w:rsid w:val="041476CE"/>
    <w:rsid w:val="0416112E"/>
    <w:rsid w:val="04161698"/>
    <w:rsid w:val="041B03FD"/>
    <w:rsid w:val="04212517"/>
    <w:rsid w:val="043B3ABB"/>
    <w:rsid w:val="043D4E77"/>
    <w:rsid w:val="04442E8A"/>
    <w:rsid w:val="045F4DED"/>
    <w:rsid w:val="04737D33"/>
    <w:rsid w:val="049C379B"/>
    <w:rsid w:val="04A3117E"/>
    <w:rsid w:val="04DF1A8A"/>
    <w:rsid w:val="04EE7F1F"/>
    <w:rsid w:val="0518358C"/>
    <w:rsid w:val="0519214F"/>
    <w:rsid w:val="051F6CDA"/>
    <w:rsid w:val="052521C2"/>
    <w:rsid w:val="053D3B07"/>
    <w:rsid w:val="05402BA4"/>
    <w:rsid w:val="057120F5"/>
    <w:rsid w:val="05BA0563"/>
    <w:rsid w:val="05CA3E55"/>
    <w:rsid w:val="05CD30C3"/>
    <w:rsid w:val="05DC0F08"/>
    <w:rsid w:val="05E732EC"/>
    <w:rsid w:val="05EF03F3"/>
    <w:rsid w:val="05F11A75"/>
    <w:rsid w:val="05F8385C"/>
    <w:rsid w:val="05F95229"/>
    <w:rsid w:val="05FD4C3F"/>
    <w:rsid w:val="0604682D"/>
    <w:rsid w:val="060A58E4"/>
    <w:rsid w:val="061C344E"/>
    <w:rsid w:val="06277B8D"/>
    <w:rsid w:val="064008D3"/>
    <w:rsid w:val="064D7DFE"/>
    <w:rsid w:val="06521F56"/>
    <w:rsid w:val="065564A8"/>
    <w:rsid w:val="0678627B"/>
    <w:rsid w:val="06876E9F"/>
    <w:rsid w:val="069D7E4F"/>
    <w:rsid w:val="069F1A11"/>
    <w:rsid w:val="06A01330"/>
    <w:rsid w:val="06A44D39"/>
    <w:rsid w:val="06AB4FE9"/>
    <w:rsid w:val="06C65D9F"/>
    <w:rsid w:val="06DC50D0"/>
    <w:rsid w:val="06E66391"/>
    <w:rsid w:val="06F2153D"/>
    <w:rsid w:val="06F85085"/>
    <w:rsid w:val="06FE6FA4"/>
    <w:rsid w:val="07044F68"/>
    <w:rsid w:val="070A4AD3"/>
    <w:rsid w:val="071F0609"/>
    <w:rsid w:val="07254441"/>
    <w:rsid w:val="072A594E"/>
    <w:rsid w:val="07392A40"/>
    <w:rsid w:val="073C1333"/>
    <w:rsid w:val="073F1070"/>
    <w:rsid w:val="0744536A"/>
    <w:rsid w:val="074A7B6B"/>
    <w:rsid w:val="075208F7"/>
    <w:rsid w:val="075E138C"/>
    <w:rsid w:val="07787DFE"/>
    <w:rsid w:val="078A3A4A"/>
    <w:rsid w:val="07A82915"/>
    <w:rsid w:val="07B17123"/>
    <w:rsid w:val="07C65292"/>
    <w:rsid w:val="07D47A9D"/>
    <w:rsid w:val="07F1540A"/>
    <w:rsid w:val="08035B24"/>
    <w:rsid w:val="080737D2"/>
    <w:rsid w:val="08170E92"/>
    <w:rsid w:val="082D0DDC"/>
    <w:rsid w:val="083F5311"/>
    <w:rsid w:val="085A2979"/>
    <w:rsid w:val="087A0447"/>
    <w:rsid w:val="089808CE"/>
    <w:rsid w:val="08B33959"/>
    <w:rsid w:val="08C6173B"/>
    <w:rsid w:val="08CF4B99"/>
    <w:rsid w:val="08DD1A34"/>
    <w:rsid w:val="08DD2784"/>
    <w:rsid w:val="08E17105"/>
    <w:rsid w:val="08E243CC"/>
    <w:rsid w:val="0955687B"/>
    <w:rsid w:val="09691794"/>
    <w:rsid w:val="09713FEF"/>
    <w:rsid w:val="09731D74"/>
    <w:rsid w:val="09765A66"/>
    <w:rsid w:val="09842AFB"/>
    <w:rsid w:val="098456E9"/>
    <w:rsid w:val="098A4C6E"/>
    <w:rsid w:val="099D5AA3"/>
    <w:rsid w:val="09AC65D8"/>
    <w:rsid w:val="09AE0D2A"/>
    <w:rsid w:val="09B77321"/>
    <w:rsid w:val="09BA05C8"/>
    <w:rsid w:val="09BA4874"/>
    <w:rsid w:val="09BD55B7"/>
    <w:rsid w:val="09CA2E4C"/>
    <w:rsid w:val="09E55FF0"/>
    <w:rsid w:val="09E905BE"/>
    <w:rsid w:val="09F72E90"/>
    <w:rsid w:val="09FE37B9"/>
    <w:rsid w:val="0A0E0F05"/>
    <w:rsid w:val="0A3D5DAE"/>
    <w:rsid w:val="0A5110B7"/>
    <w:rsid w:val="0A5F6C8C"/>
    <w:rsid w:val="0A6A0048"/>
    <w:rsid w:val="0A6C1EB6"/>
    <w:rsid w:val="0A7D5078"/>
    <w:rsid w:val="0A9F4095"/>
    <w:rsid w:val="0AB039A7"/>
    <w:rsid w:val="0AB227FB"/>
    <w:rsid w:val="0AB439F1"/>
    <w:rsid w:val="0ACD7DA1"/>
    <w:rsid w:val="0AD25E2A"/>
    <w:rsid w:val="0AF80AD0"/>
    <w:rsid w:val="0B091549"/>
    <w:rsid w:val="0B314E2B"/>
    <w:rsid w:val="0B350656"/>
    <w:rsid w:val="0B416FFB"/>
    <w:rsid w:val="0B4E7E32"/>
    <w:rsid w:val="0B5772B7"/>
    <w:rsid w:val="0B7449C2"/>
    <w:rsid w:val="0B753148"/>
    <w:rsid w:val="0B843B0F"/>
    <w:rsid w:val="0B9734EE"/>
    <w:rsid w:val="0BAD3FA1"/>
    <w:rsid w:val="0BAF1463"/>
    <w:rsid w:val="0BB02F60"/>
    <w:rsid w:val="0BBD1A85"/>
    <w:rsid w:val="0BD41714"/>
    <w:rsid w:val="0BEA40F4"/>
    <w:rsid w:val="0BF67C25"/>
    <w:rsid w:val="0BF92C5E"/>
    <w:rsid w:val="0C030F0E"/>
    <w:rsid w:val="0C1E10EA"/>
    <w:rsid w:val="0C227ED8"/>
    <w:rsid w:val="0C271FB5"/>
    <w:rsid w:val="0C272694"/>
    <w:rsid w:val="0C59751A"/>
    <w:rsid w:val="0C5D24F3"/>
    <w:rsid w:val="0C83324F"/>
    <w:rsid w:val="0C897BC6"/>
    <w:rsid w:val="0C9E177B"/>
    <w:rsid w:val="0CDF63DD"/>
    <w:rsid w:val="0D0A252A"/>
    <w:rsid w:val="0D1B7AB5"/>
    <w:rsid w:val="0D361C30"/>
    <w:rsid w:val="0D3F57BC"/>
    <w:rsid w:val="0D496836"/>
    <w:rsid w:val="0D637FC3"/>
    <w:rsid w:val="0D7D26F3"/>
    <w:rsid w:val="0D7E7532"/>
    <w:rsid w:val="0D8556EC"/>
    <w:rsid w:val="0D8A27D4"/>
    <w:rsid w:val="0DAC1AA3"/>
    <w:rsid w:val="0DDD31AC"/>
    <w:rsid w:val="0DDF20F5"/>
    <w:rsid w:val="0DEF4E1E"/>
    <w:rsid w:val="0DF84278"/>
    <w:rsid w:val="0E020B57"/>
    <w:rsid w:val="0E0D1416"/>
    <w:rsid w:val="0E1975D0"/>
    <w:rsid w:val="0E2362FC"/>
    <w:rsid w:val="0E26441B"/>
    <w:rsid w:val="0E371357"/>
    <w:rsid w:val="0E4D21FC"/>
    <w:rsid w:val="0E5D1AE1"/>
    <w:rsid w:val="0E664FCA"/>
    <w:rsid w:val="0E682AF0"/>
    <w:rsid w:val="0E8A29EF"/>
    <w:rsid w:val="0E8F62CF"/>
    <w:rsid w:val="0EB00C1A"/>
    <w:rsid w:val="0EBC3F3A"/>
    <w:rsid w:val="0EC041D1"/>
    <w:rsid w:val="0EC41C31"/>
    <w:rsid w:val="0EC84022"/>
    <w:rsid w:val="0ED46442"/>
    <w:rsid w:val="0EDC7451"/>
    <w:rsid w:val="0EEC3004"/>
    <w:rsid w:val="0F2613E3"/>
    <w:rsid w:val="0F284305"/>
    <w:rsid w:val="0F2A2416"/>
    <w:rsid w:val="0F331350"/>
    <w:rsid w:val="0F334C90"/>
    <w:rsid w:val="0F344AE6"/>
    <w:rsid w:val="0F4E7F38"/>
    <w:rsid w:val="0F4F619E"/>
    <w:rsid w:val="0F56151A"/>
    <w:rsid w:val="0F693DDF"/>
    <w:rsid w:val="0F697944"/>
    <w:rsid w:val="0F6D15AA"/>
    <w:rsid w:val="0FD22FA1"/>
    <w:rsid w:val="0FD82F22"/>
    <w:rsid w:val="0FED7CE6"/>
    <w:rsid w:val="0FF12560"/>
    <w:rsid w:val="0FF773F1"/>
    <w:rsid w:val="10031D39"/>
    <w:rsid w:val="10070D5C"/>
    <w:rsid w:val="10196ED0"/>
    <w:rsid w:val="10342F60"/>
    <w:rsid w:val="105A290D"/>
    <w:rsid w:val="10762694"/>
    <w:rsid w:val="1090031E"/>
    <w:rsid w:val="10BB3D3A"/>
    <w:rsid w:val="10C161C0"/>
    <w:rsid w:val="10C842CC"/>
    <w:rsid w:val="10ED1167"/>
    <w:rsid w:val="10ED7413"/>
    <w:rsid w:val="10FC076F"/>
    <w:rsid w:val="111B3D47"/>
    <w:rsid w:val="11292696"/>
    <w:rsid w:val="113F0F40"/>
    <w:rsid w:val="114258F3"/>
    <w:rsid w:val="117874EE"/>
    <w:rsid w:val="11901201"/>
    <w:rsid w:val="11BC4646"/>
    <w:rsid w:val="11BF511D"/>
    <w:rsid w:val="11D70CF0"/>
    <w:rsid w:val="11E42340"/>
    <w:rsid w:val="1219505F"/>
    <w:rsid w:val="121E7EE3"/>
    <w:rsid w:val="12272E4A"/>
    <w:rsid w:val="12387A0C"/>
    <w:rsid w:val="123D3B24"/>
    <w:rsid w:val="124303FA"/>
    <w:rsid w:val="12463148"/>
    <w:rsid w:val="124D69A8"/>
    <w:rsid w:val="12505D75"/>
    <w:rsid w:val="12650476"/>
    <w:rsid w:val="126B1DB4"/>
    <w:rsid w:val="12713CA6"/>
    <w:rsid w:val="1275514B"/>
    <w:rsid w:val="127A5DEA"/>
    <w:rsid w:val="12A20354"/>
    <w:rsid w:val="12B5154F"/>
    <w:rsid w:val="12CB4AC9"/>
    <w:rsid w:val="12D83115"/>
    <w:rsid w:val="12D943C8"/>
    <w:rsid w:val="12EE190F"/>
    <w:rsid w:val="12F91269"/>
    <w:rsid w:val="13021540"/>
    <w:rsid w:val="1312030A"/>
    <w:rsid w:val="131B0BE9"/>
    <w:rsid w:val="133236CD"/>
    <w:rsid w:val="13420542"/>
    <w:rsid w:val="13715D31"/>
    <w:rsid w:val="13757C98"/>
    <w:rsid w:val="138C54D3"/>
    <w:rsid w:val="138F0B1F"/>
    <w:rsid w:val="13983E78"/>
    <w:rsid w:val="13B326E7"/>
    <w:rsid w:val="13C7650B"/>
    <w:rsid w:val="13EE1CEA"/>
    <w:rsid w:val="14021EDE"/>
    <w:rsid w:val="14093126"/>
    <w:rsid w:val="142328B9"/>
    <w:rsid w:val="1426689B"/>
    <w:rsid w:val="1432128E"/>
    <w:rsid w:val="14353BA1"/>
    <w:rsid w:val="14391BE2"/>
    <w:rsid w:val="14402FA6"/>
    <w:rsid w:val="14561F78"/>
    <w:rsid w:val="148955BA"/>
    <w:rsid w:val="14977C8B"/>
    <w:rsid w:val="14A469A9"/>
    <w:rsid w:val="14A56CF8"/>
    <w:rsid w:val="14D3725E"/>
    <w:rsid w:val="14DB6451"/>
    <w:rsid w:val="14E146FB"/>
    <w:rsid w:val="14F51DA7"/>
    <w:rsid w:val="15064E11"/>
    <w:rsid w:val="150771D6"/>
    <w:rsid w:val="15304CD0"/>
    <w:rsid w:val="153254F8"/>
    <w:rsid w:val="15453B8B"/>
    <w:rsid w:val="15455939"/>
    <w:rsid w:val="154D47EE"/>
    <w:rsid w:val="155970B6"/>
    <w:rsid w:val="155A323E"/>
    <w:rsid w:val="155B2550"/>
    <w:rsid w:val="15661D42"/>
    <w:rsid w:val="15777AB5"/>
    <w:rsid w:val="157F17BF"/>
    <w:rsid w:val="1587449F"/>
    <w:rsid w:val="158D54AD"/>
    <w:rsid w:val="1597796C"/>
    <w:rsid w:val="15CB5D75"/>
    <w:rsid w:val="15E50F24"/>
    <w:rsid w:val="15F42F05"/>
    <w:rsid w:val="15FA0AA3"/>
    <w:rsid w:val="162A259B"/>
    <w:rsid w:val="163D757C"/>
    <w:rsid w:val="16411191"/>
    <w:rsid w:val="16414353"/>
    <w:rsid w:val="16423F29"/>
    <w:rsid w:val="1643419E"/>
    <w:rsid w:val="165658CA"/>
    <w:rsid w:val="16781424"/>
    <w:rsid w:val="16796858"/>
    <w:rsid w:val="167A729D"/>
    <w:rsid w:val="16A8110D"/>
    <w:rsid w:val="16B64EB2"/>
    <w:rsid w:val="16C72B2E"/>
    <w:rsid w:val="16CF0ED5"/>
    <w:rsid w:val="16DE4297"/>
    <w:rsid w:val="16FD6989"/>
    <w:rsid w:val="1720665E"/>
    <w:rsid w:val="172F03C4"/>
    <w:rsid w:val="17481DFD"/>
    <w:rsid w:val="17521122"/>
    <w:rsid w:val="1752357A"/>
    <w:rsid w:val="175B10DD"/>
    <w:rsid w:val="176C1042"/>
    <w:rsid w:val="177A6CDD"/>
    <w:rsid w:val="178F7B77"/>
    <w:rsid w:val="17AF353E"/>
    <w:rsid w:val="17B16644"/>
    <w:rsid w:val="17B5270A"/>
    <w:rsid w:val="17C5005A"/>
    <w:rsid w:val="17C64E87"/>
    <w:rsid w:val="17DA4A5F"/>
    <w:rsid w:val="180627F2"/>
    <w:rsid w:val="18195D03"/>
    <w:rsid w:val="182061EA"/>
    <w:rsid w:val="182F25E5"/>
    <w:rsid w:val="18314FAD"/>
    <w:rsid w:val="185A2BA1"/>
    <w:rsid w:val="187056A7"/>
    <w:rsid w:val="187574CE"/>
    <w:rsid w:val="18A77328"/>
    <w:rsid w:val="18B37D83"/>
    <w:rsid w:val="18C82649"/>
    <w:rsid w:val="18C84F64"/>
    <w:rsid w:val="18D17D21"/>
    <w:rsid w:val="18D63F24"/>
    <w:rsid w:val="18D73931"/>
    <w:rsid w:val="192B7D88"/>
    <w:rsid w:val="1943149C"/>
    <w:rsid w:val="19564BAD"/>
    <w:rsid w:val="19630FC4"/>
    <w:rsid w:val="19643EBF"/>
    <w:rsid w:val="196F1731"/>
    <w:rsid w:val="197607B7"/>
    <w:rsid w:val="197B7F2F"/>
    <w:rsid w:val="19823D29"/>
    <w:rsid w:val="19A8609A"/>
    <w:rsid w:val="19B9403D"/>
    <w:rsid w:val="19D24905"/>
    <w:rsid w:val="19D84072"/>
    <w:rsid w:val="19D9284D"/>
    <w:rsid w:val="19E778DA"/>
    <w:rsid w:val="19F7230F"/>
    <w:rsid w:val="19FC08A5"/>
    <w:rsid w:val="19FC748E"/>
    <w:rsid w:val="1A1C5FE5"/>
    <w:rsid w:val="1A1F4C75"/>
    <w:rsid w:val="1A231487"/>
    <w:rsid w:val="1A3366A8"/>
    <w:rsid w:val="1A460E6A"/>
    <w:rsid w:val="1A5F14CB"/>
    <w:rsid w:val="1A8256E8"/>
    <w:rsid w:val="1AB90528"/>
    <w:rsid w:val="1AC43058"/>
    <w:rsid w:val="1AF44089"/>
    <w:rsid w:val="1AFA298C"/>
    <w:rsid w:val="1B014D15"/>
    <w:rsid w:val="1B1A584C"/>
    <w:rsid w:val="1B1B5170"/>
    <w:rsid w:val="1B2F03F6"/>
    <w:rsid w:val="1B357422"/>
    <w:rsid w:val="1B423DEB"/>
    <w:rsid w:val="1B55590D"/>
    <w:rsid w:val="1B601752"/>
    <w:rsid w:val="1B6A434C"/>
    <w:rsid w:val="1B6D65C9"/>
    <w:rsid w:val="1B743EEC"/>
    <w:rsid w:val="1B747324"/>
    <w:rsid w:val="1B7B1CF8"/>
    <w:rsid w:val="1B942FE8"/>
    <w:rsid w:val="1BC17CE4"/>
    <w:rsid w:val="1BCF2881"/>
    <w:rsid w:val="1BCF488A"/>
    <w:rsid w:val="1BDF66AD"/>
    <w:rsid w:val="1C0802AF"/>
    <w:rsid w:val="1C0908DF"/>
    <w:rsid w:val="1C387FA6"/>
    <w:rsid w:val="1C7752F8"/>
    <w:rsid w:val="1C8839EC"/>
    <w:rsid w:val="1CA30086"/>
    <w:rsid w:val="1CA5688A"/>
    <w:rsid w:val="1CAB6DCE"/>
    <w:rsid w:val="1CBF06C7"/>
    <w:rsid w:val="1CC05FA1"/>
    <w:rsid w:val="1CC6644B"/>
    <w:rsid w:val="1CCC3B92"/>
    <w:rsid w:val="1CDB5732"/>
    <w:rsid w:val="1CFA77FC"/>
    <w:rsid w:val="1D0413F4"/>
    <w:rsid w:val="1D172487"/>
    <w:rsid w:val="1D1E4633"/>
    <w:rsid w:val="1D2F75FB"/>
    <w:rsid w:val="1D3733EC"/>
    <w:rsid w:val="1D4A622A"/>
    <w:rsid w:val="1D713326"/>
    <w:rsid w:val="1D7A51CA"/>
    <w:rsid w:val="1D853EC9"/>
    <w:rsid w:val="1D9E652E"/>
    <w:rsid w:val="1DA61C16"/>
    <w:rsid w:val="1DB35A97"/>
    <w:rsid w:val="1DBB0E8E"/>
    <w:rsid w:val="1DBF23F1"/>
    <w:rsid w:val="1DC23081"/>
    <w:rsid w:val="1DCB64F9"/>
    <w:rsid w:val="1DCD0BC2"/>
    <w:rsid w:val="1DFC5AA4"/>
    <w:rsid w:val="1E007CA1"/>
    <w:rsid w:val="1E0F751F"/>
    <w:rsid w:val="1E103C7D"/>
    <w:rsid w:val="1E3B3871"/>
    <w:rsid w:val="1E3D119E"/>
    <w:rsid w:val="1E40596D"/>
    <w:rsid w:val="1E5B65AB"/>
    <w:rsid w:val="1E634E38"/>
    <w:rsid w:val="1E674420"/>
    <w:rsid w:val="1E6D25C3"/>
    <w:rsid w:val="1E720D02"/>
    <w:rsid w:val="1E7B050B"/>
    <w:rsid w:val="1E7B0522"/>
    <w:rsid w:val="1E89408A"/>
    <w:rsid w:val="1E8C0113"/>
    <w:rsid w:val="1E967085"/>
    <w:rsid w:val="1EA7674F"/>
    <w:rsid w:val="1EA94CCC"/>
    <w:rsid w:val="1EAC4C7B"/>
    <w:rsid w:val="1ED67171"/>
    <w:rsid w:val="1EDA5B64"/>
    <w:rsid w:val="1EFC2DE0"/>
    <w:rsid w:val="1F011CED"/>
    <w:rsid w:val="1F0166AB"/>
    <w:rsid w:val="1F031D4C"/>
    <w:rsid w:val="1F0C4E08"/>
    <w:rsid w:val="1F113337"/>
    <w:rsid w:val="1F170346"/>
    <w:rsid w:val="1F424FB8"/>
    <w:rsid w:val="1F433884"/>
    <w:rsid w:val="1F4F2F21"/>
    <w:rsid w:val="1F666BD8"/>
    <w:rsid w:val="1F73232E"/>
    <w:rsid w:val="1F753218"/>
    <w:rsid w:val="1F996FAD"/>
    <w:rsid w:val="1FAD329C"/>
    <w:rsid w:val="1FCB2EDF"/>
    <w:rsid w:val="1FDE314C"/>
    <w:rsid w:val="1FF05635"/>
    <w:rsid w:val="1FFB37C4"/>
    <w:rsid w:val="1FFE1506"/>
    <w:rsid w:val="20005355"/>
    <w:rsid w:val="2003555C"/>
    <w:rsid w:val="2020322B"/>
    <w:rsid w:val="202820DF"/>
    <w:rsid w:val="203F6966"/>
    <w:rsid w:val="204C7671"/>
    <w:rsid w:val="20560956"/>
    <w:rsid w:val="206C4422"/>
    <w:rsid w:val="206F30DC"/>
    <w:rsid w:val="207C7863"/>
    <w:rsid w:val="20942211"/>
    <w:rsid w:val="20986B37"/>
    <w:rsid w:val="209F7F64"/>
    <w:rsid w:val="20A12ED1"/>
    <w:rsid w:val="20A43193"/>
    <w:rsid w:val="20C4005A"/>
    <w:rsid w:val="20FE0794"/>
    <w:rsid w:val="21032828"/>
    <w:rsid w:val="21274A8D"/>
    <w:rsid w:val="213C0274"/>
    <w:rsid w:val="21452A17"/>
    <w:rsid w:val="2159025C"/>
    <w:rsid w:val="215A28CB"/>
    <w:rsid w:val="21770A1E"/>
    <w:rsid w:val="217C7CA8"/>
    <w:rsid w:val="21B976A7"/>
    <w:rsid w:val="21BE719F"/>
    <w:rsid w:val="21E12EE9"/>
    <w:rsid w:val="21EF45EA"/>
    <w:rsid w:val="21F961F1"/>
    <w:rsid w:val="221B40FE"/>
    <w:rsid w:val="22346DE2"/>
    <w:rsid w:val="223C7B0A"/>
    <w:rsid w:val="22495504"/>
    <w:rsid w:val="22545318"/>
    <w:rsid w:val="225E6F94"/>
    <w:rsid w:val="22710F13"/>
    <w:rsid w:val="228D0DFF"/>
    <w:rsid w:val="229549FE"/>
    <w:rsid w:val="22A84076"/>
    <w:rsid w:val="22B60F40"/>
    <w:rsid w:val="22B97967"/>
    <w:rsid w:val="22C61B90"/>
    <w:rsid w:val="22E05865"/>
    <w:rsid w:val="22F4274D"/>
    <w:rsid w:val="231324B1"/>
    <w:rsid w:val="231A19DD"/>
    <w:rsid w:val="23214D27"/>
    <w:rsid w:val="232B73FF"/>
    <w:rsid w:val="233B4F53"/>
    <w:rsid w:val="234161D3"/>
    <w:rsid w:val="235A6E60"/>
    <w:rsid w:val="23693195"/>
    <w:rsid w:val="236A7F5F"/>
    <w:rsid w:val="237B054F"/>
    <w:rsid w:val="2396011B"/>
    <w:rsid w:val="23961010"/>
    <w:rsid w:val="23961768"/>
    <w:rsid w:val="23A600AF"/>
    <w:rsid w:val="23B1063E"/>
    <w:rsid w:val="23BA1BE8"/>
    <w:rsid w:val="23D44AA9"/>
    <w:rsid w:val="23DE0F84"/>
    <w:rsid w:val="23F663BA"/>
    <w:rsid w:val="23FA5EFD"/>
    <w:rsid w:val="24044A2E"/>
    <w:rsid w:val="24274752"/>
    <w:rsid w:val="243B55A1"/>
    <w:rsid w:val="243C084F"/>
    <w:rsid w:val="24466FD8"/>
    <w:rsid w:val="244E598C"/>
    <w:rsid w:val="2459649D"/>
    <w:rsid w:val="246B28E3"/>
    <w:rsid w:val="247B786F"/>
    <w:rsid w:val="247C2B2C"/>
    <w:rsid w:val="24910FBD"/>
    <w:rsid w:val="24C95F63"/>
    <w:rsid w:val="24D21F74"/>
    <w:rsid w:val="24E467C8"/>
    <w:rsid w:val="24EF6CFF"/>
    <w:rsid w:val="24F42FED"/>
    <w:rsid w:val="250A26FB"/>
    <w:rsid w:val="25282FB5"/>
    <w:rsid w:val="252A5F8A"/>
    <w:rsid w:val="25386F30"/>
    <w:rsid w:val="25463298"/>
    <w:rsid w:val="254E4396"/>
    <w:rsid w:val="255338DC"/>
    <w:rsid w:val="257A7B5E"/>
    <w:rsid w:val="258E4FFC"/>
    <w:rsid w:val="25AC62A9"/>
    <w:rsid w:val="25C203EC"/>
    <w:rsid w:val="25C4123F"/>
    <w:rsid w:val="25DB6C6B"/>
    <w:rsid w:val="25EB4DBC"/>
    <w:rsid w:val="25EE2532"/>
    <w:rsid w:val="25F120E5"/>
    <w:rsid w:val="25F2437A"/>
    <w:rsid w:val="261A6EE0"/>
    <w:rsid w:val="263578B9"/>
    <w:rsid w:val="263C55F1"/>
    <w:rsid w:val="263C7E9E"/>
    <w:rsid w:val="263F4DF8"/>
    <w:rsid w:val="264A31E8"/>
    <w:rsid w:val="26613E8D"/>
    <w:rsid w:val="26671ABE"/>
    <w:rsid w:val="2677791D"/>
    <w:rsid w:val="26797B39"/>
    <w:rsid w:val="26876646"/>
    <w:rsid w:val="26936FED"/>
    <w:rsid w:val="269E134D"/>
    <w:rsid w:val="26A428F7"/>
    <w:rsid w:val="26B207E3"/>
    <w:rsid w:val="26E33601"/>
    <w:rsid w:val="26FA0563"/>
    <w:rsid w:val="270A5BF2"/>
    <w:rsid w:val="270D330A"/>
    <w:rsid w:val="271D6716"/>
    <w:rsid w:val="273C2EDE"/>
    <w:rsid w:val="27435639"/>
    <w:rsid w:val="27487261"/>
    <w:rsid w:val="274B7A96"/>
    <w:rsid w:val="275174F8"/>
    <w:rsid w:val="275723F9"/>
    <w:rsid w:val="27695748"/>
    <w:rsid w:val="276C1C4B"/>
    <w:rsid w:val="27822C4D"/>
    <w:rsid w:val="278A1376"/>
    <w:rsid w:val="279E3272"/>
    <w:rsid w:val="27AB5E76"/>
    <w:rsid w:val="27C06CCF"/>
    <w:rsid w:val="27C33506"/>
    <w:rsid w:val="27C90452"/>
    <w:rsid w:val="27CA1F8F"/>
    <w:rsid w:val="27D9116A"/>
    <w:rsid w:val="27E452FD"/>
    <w:rsid w:val="281438CA"/>
    <w:rsid w:val="281806F1"/>
    <w:rsid w:val="284C41BC"/>
    <w:rsid w:val="284E0D5A"/>
    <w:rsid w:val="28563EF6"/>
    <w:rsid w:val="28631BE7"/>
    <w:rsid w:val="289077C3"/>
    <w:rsid w:val="28995C72"/>
    <w:rsid w:val="28BF36B1"/>
    <w:rsid w:val="28C55BFD"/>
    <w:rsid w:val="28CD0928"/>
    <w:rsid w:val="28D51B04"/>
    <w:rsid w:val="290105EB"/>
    <w:rsid w:val="290F58EC"/>
    <w:rsid w:val="291A5C30"/>
    <w:rsid w:val="292B3441"/>
    <w:rsid w:val="293412DD"/>
    <w:rsid w:val="293E5A40"/>
    <w:rsid w:val="293F69D3"/>
    <w:rsid w:val="295267AE"/>
    <w:rsid w:val="295B6788"/>
    <w:rsid w:val="29872F92"/>
    <w:rsid w:val="29874BB7"/>
    <w:rsid w:val="298C0144"/>
    <w:rsid w:val="298E09ED"/>
    <w:rsid w:val="29954C89"/>
    <w:rsid w:val="299D1E8A"/>
    <w:rsid w:val="29A958E0"/>
    <w:rsid w:val="29B87CEA"/>
    <w:rsid w:val="29C63095"/>
    <w:rsid w:val="29F34705"/>
    <w:rsid w:val="2A201691"/>
    <w:rsid w:val="2A375AFA"/>
    <w:rsid w:val="2A3B2FEE"/>
    <w:rsid w:val="2A45171A"/>
    <w:rsid w:val="2A4C1A58"/>
    <w:rsid w:val="2A4D1215"/>
    <w:rsid w:val="2A550C83"/>
    <w:rsid w:val="2A5F092F"/>
    <w:rsid w:val="2A6A7019"/>
    <w:rsid w:val="2A8B1BE9"/>
    <w:rsid w:val="2A8B395C"/>
    <w:rsid w:val="2A8C64BE"/>
    <w:rsid w:val="2A954C5D"/>
    <w:rsid w:val="2AA94753"/>
    <w:rsid w:val="2ABB0E5E"/>
    <w:rsid w:val="2ABF0332"/>
    <w:rsid w:val="2AC51278"/>
    <w:rsid w:val="2ACF51B7"/>
    <w:rsid w:val="2AD64EC6"/>
    <w:rsid w:val="2AE32CF5"/>
    <w:rsid w:val="2AEB1828"/>
    <w:rsid w:val="2AF4411B"/>
    <w:rsid w:val="2AF61F23"/>
    <w:rsid w:val="2B252A1A"/>
    <w:rsid w:val="2B30453E"/>
    <w:rsid w:val="2B414169"/>
    <w:rsid w:val="2B5027DF"/>
    <w:rsid w:val="2B533CC4"/>
    <w:rsid w:val="2B663DC4"/>
    <w:rsid w:val="2B865487"/>
    <w:rsid w:val="2B886128"/>
    <w:rsid w:val="2B9C2D92"/>
    <w:rsid w:val="2BAD08E8"/>
    <w:rsid w:val="2BE50F2A"/>
    <w:rsid w:val="2BE7180E"/>
    <w:rsid w:val="2BF83E11"/>
    <w:rsid w:val="2C041563"/>
    <w:rsid w:val="2C0E2CE6"/>
    <w:rsid w:val="2C1C3A69"/>
    <w:rsid w:val="2C1D5D06"/>
    <w:rsid w:val="2C2B7ED9"/>
    <w:rsid w:val="2C2F4A08"/>
    <w:rsid w:val="2C364FC3"/>
    <w:rsid w:val="2C4A3626"/>
    <w:rsid w:val="2C662B7B"/>
    <w:rsid w:val="2C6905F5"/>
    <w:rsid w:val="2C7A5B90"/>
    <w:rsid w:val="2C8561A9"/>
    <w:rsid w:val="2C9705E0"/>
    <w:rsid w:val="2CA56B6A"/>
    <w:rsid w:val="2CB85261"/>
    <w:rsid w:val="2CB95320"/>
    <w:rsid w:val="2CCE1DBA"/>
    <w:rsid w:val="2CD725A4"/>
    <w:rsid w:val="2CD755B9"/>
    <w:rsid w:val="2CE33F5E"/>
    <w:rsid w:val="2CF51A09"/>
    <w:rsid w:val="2D00731D"/>
    <w:rsid w:val="2D0B7011"/>
    <w:rsid w:val="2D0F6B01"/>
    <w:rsid w:val="2D2105E2"/>
    <w:rsid w:val="2D340315"/>
    <w:rsid w:val="2D3506E5"/>
    <w:rsid w:val="2D477527"/>
    <w:rsid w:val="2D5A7183"/>
    <w:rsid w:val="2D5D6B2A"/>
    <w:rsid w:val="2D5E5392"/>
    <w:rsid w:val="2D632A15"/>
    <w:rsid w:val="2D6860E3"/>
    <w:rsid w:val="2D8D072D"/>
    <w:rsid w:val="2D984D48"/>
    <w:rsid w:val="2DA15E25"/>
    <w:rsid w:val="2DBE22D5"/>
    <w:rsid w:val="2DC55A07"/>
    <w:rsid w:val="2DCA2094"/>
    <w:rsid w:val="2DEC6E42"/>
    <w:rsid w:val="2DEF7A8F"/>
    <w:rsid w:val="2DF301D1"/>
    <w:rsid w:val="2DF42B71"/>
    <w:rsid w:val="2E020200"/>
    <w:rsid w:val="2E0923E3"/>
    <w:rsid w:val="2E173221"/>
    <w:rsid w:val="2E221B1E"/>
    <w:rsid w:val="2E30066C"/>
    <w:rsid w:val="2E480478"/>
    <w:rsid w:val="2E4C16C9"/>
    <w:rsid w:val="2E562444"/>
    <w:rsid w:val="2E5D51DC"/>
    <w:rsid w:val="2E5E3E57"/>
    <w:rsid w:val="2E782484"/>
    <w:rsid w:val="2E9F70FE"/>
    <w:rsid w:val="2EB42262"/>
    <w:rsid w:val="2EC6498C"/>
    <w:rsid w:val="2F177EEF"/>
    <w:rsid w:val="2F1833D1"/>
    <w:rsid w:val="2F331A60"/>
    <w:rsid w:val="2F3B3239"/>
    <w:rsid w:val="2F624082"/>
    <w:rsid w:val="2F71478E"/>
    <w:rsid w:val="2F8A217C"/>
    <w:rsid w:val="2FA33EAE"/>
    <w:rsid w:val="2FB26B50"/>
    <w:rsid w:val="2FBF0084"/>
    <w:rsid w:val="2FC01B83"/>
    <w:rsid w:val="2FC333E5"/>
    <w:rsid w:val="2FF344D2"/>
    <w:rsid w:val="2FFB336C"/>
    <w:rsid w:val="2FFE650B"/>
    <w:rsid w:val="30004E27"/>
    <w:rsid w:val="300E30A0"/>
    <w:rsid w:val="301A52A5"/>
    <w:rsid w:val="302F4050"/>
    <w:rsid w:val="30446F0C"/>
    <w:rsid w:val="305C0CEF"/>
    <w:rsid w:val="307A6121"/>
    <w:rsid w:val="30810939"/>
    <w:rsid w:val="308836C4"/>
    <w:rsid w:val="30A94B3A"/>
    <w:rsid w:val="30B27BBD"/>
    <w:rsid w:val="30B8125D"/>
    <w:rsid w:val="30D200A1"/>
    <w:rsid w:val="30E47EC7"/>
    <w:rsid w:val="30F60B45"/>
    <w:rsid w:val="30F62378"/>
    <w:rsid w:val="30F95EE6"/>
    <w:rsid w:val="310A33A6"/>
    <w:rsid w:val="312562E1"/>
    <w:rsid w:val="3131163E"/>
    <w:rsid w:val="313363AA"/>
    <w:rsid w:val="314E1C12"/>
    <w:rsid w:val="3151601C"/>
    <w:rsid w:val="316A5197"/>
    <w:rsid w:val="316E7DF2"/>
    <w:rsid w:val="317F2EBA"/>
    <w:rsid w:val="31814D83"/>
    <w:rsid w:val="318D574D"/>
    <w:rsid w:val="31B90A0C"/>
    <w:rsid w:val="31BE0CA1"/>
    <w:rsid w:val="31BF401A"/>
    <w:rsid w:val="31C77377"/>
    <w:rsid w:val="31D77E4A"/>
    <w:rsid w:val="31D9148B"/>
    <w:rsid w:val="31DF68DA"/>
    <w:rsid w:val="31E1043F"/>
    <w:rsid w:val="31E52E0B"/>
    <w:rsid w:val="31F17830"/>
    <w:rsid w:val="31FC622E"/>
    <w:rsid w:val="320F7112"/>
    <w:rsid w:val="32160AAE"/>
    <w:rsid w:val="321E3A0A"/>
    <w:rsid w:val="32230959"/>
    <w:rsid w:val="32382656"/>
    <w:rsid w:val="32487AAB"/>
    <w:rsid w:val="32593CC2"/>
    <w:rsid w:val="328239B2"/>
    <w:rsid w:val="328A4FFE"/>
    <w:rsid w:val="32A61CB5"/>
    <w:rsid w:val="32A97AC0"/>
    <w:rsid w:val="32B36B97"/>
    <w:rsid w:val="32BC41AC"/>
    <w:rsid w:val="32E4633A"/>
    <w:rsid w:val="32E47AC9"/>
    <w:rsid w:val="33002A55"/>
    <w:rsid w:val="33105F15"/>
    <w:rsid w:val="33151B0D"/>
    <w:rsid w:val="3315234D"/>
    <w:rsid w:val="3317670F"/>
    <w:rsid w:val="33182487"/>
    <w:rsid w:val="332050FA"/>
    <w:rsid w:val="332A6CF3"/>
    <w:rsid w:val="333A5751"/>
    <w:rsid w:val="33423E83"/>
    <w:rsid w:val="334F2653"/>
    <w:rsid w:val="3359115D"/>
    <w:rsid w:val="335E6E4D"/>
    <w:rsid w:val="335E7AFD"/>
    <w:rsid w:val="338000F8"/>
    <w:rsid w:val="339B61CE"/>
    <w:rsid w:val="33B9617C"/>
    <w:rsid w:val="33BF2903"/>
    <w:rsid w:val="34276594"/>
    <w:rsid w:val="345567B8"/>
    <w:rsid w:val="345D0218"/>
    <w:rsid w:val="345D67CC"/>
    <w:rsid w:val="34617A0C"/>
    <w:rsid w:val="34764E4E"/>
    <w:rsid w:val="347C75E6"/>
    <w:rsid w:val="348002E4"/>
    <w:rsid w:val="348C7731"/>
    <w:rsid w:val="349B0662"/>
    <w:rsid w:val="34AC2E87"/>
    <w:rsid w:val="34C07E4E"/>
    <w:rsid w:val="34CB3D9D"/>
    <w:rsid w:val="34DA1EFF"/>
    <w:rsid w:val="34DC7FB2"/>
    <w:rsid w:val="34EB518F"/>
    <w:rsid w:val="34F124FA"/>
    <w:rsid w:val="350619A1"/>
    <w:rsid w:val="351B7FD0"/>
    <w:rsid w:val="35271E37"/>
    <w:rsid w:val="352C3FC8"/>
    <w:rsid w:val="352C5D76"/>
    <w:rsid w:val="354C3595"/>
    <w:rsid w:val="356E75AA"/>
    <w:rsid w:val="35AF2E7E"/>
    <w:rsid w:val="35B80F10"/>
    <w:rsid w:val="35C661CB"/>
    <w:rsid w:val="35CB558F"/>
    <w:rsid w:val="35D12111"/>
    <w:rsid w:val="35EE5F38"/>
    <w:rsid w:val="35F46CE9"/>
    <w:rsid w:val="360D5BA8"/>
    <w:rsid w:val="361A1505"/>
    <w:rsid w:val="361E4572"/>
    <w:rsid w:val="36246FC4"/>
    <w:rsid w:val="362B5608"/>
    <w:rsid w:val="3647418E"/>
    <w:rsid w:val="365D0635"/>
    <w:rsid w:val="36655E33"/>
    <w:rsid w:val="366652B8"/>
    <w:rsid w:val="36730195"/>
    <w:rsid w:val="368B1F2E"/>
    <w:rsid w:val="36A02525"/>
    <w:rsid w:val="36AB3231"/>
    <w:rsid w:val="36AF4BB8"/>
    <w:rsid w:val="36B86AB9"/>
    <w:rsid w:val="36C9695B"/>
    <w:rsid w:val="36DF5796"/>
    <w:rsid w:val="36E23E1C"/>
    <w:rsid w:val="36E36908"/>
    <w:rsid w:val="36E65199"/>
    <w:rsid w:val="36E83F1F"/>
    <w:rsid w:val="36F6488E"/>
    <w:rsid w:val="36F82ABB"/>
    <w:rsid w:val="370C1751"/>
    <w:rsid w:val="37113B6B"/>
    <w:rsid w:val="372209E3"/>
    <w:rsid w:val="37255944"/>
    <w:rsid w:val="37265A4B"/>
    <w:rsid w:val="373A1ABC"/>
    <w:rsid w:val="37550EF4"/>
    <w:rsid w:val="375A12C0"/>
    <w:rsid w:val="377331E5"/>
    <w:rsid w:val="37A7601D"/>
    <w:rsid w:val="37A9144F"/>
    <w:rsid w:val="37C46496"/>
    <w:rsid w:val="37D37B58"/>
    <w:rsid w:val="37E76254"/>
    <w:rsid w:val="37EB2791"/>
    <w:rsid w:val="381C0477"/>
    <w:rsid w:val="38205A96"/>
    <w:rsid w:val="38286981"/>
    <w:rsid w:val="382A327F"/>
    <w:rsid w:val="382E0868"/>
    <w:rsid w:val="384C469B"/>
    <w:rsid w:val="38597B1C"/>
    <w:rsid w:val="386C5026"/>
    <w:rsid w:val="38924730"/>
    <w:rsid w:val="38AE4748"/>
    <w:rsid w:val="38B64693"/>
    <w:rsid w:val="38E057F5"/>
    <w:rsid w:val="38E64027"/>
    <w:rsid w:val="38E91F2A"/>
    <w:rsid w:val="38F37913"/>
    <w:rsid w:val="391304F7"/>
    <w:rsid w:val="39200BA9"/>
    <w:rsid w:val="392456E2"/>
    <w:rsid w:val="393078DF"/>
    <w:rsid w:val="3937752F"/>
    <w:rsid w:val="39563E45"/>
    <w:rsid w:val="396106E4"/>
    <w:rsid w:val="397E6F93"/>
    <w:rsid w:val="398536FE"/>
    <w:rsid w:val="39A17139"/>
    <w:rsid w:val="39AF5EB6"/>
    <w:rsid w:val="39B014CC"/>
    <w:rsid w:val="39BC3B6C"/>
    <w:rsid w:val="39BE5B37"/>
    <w:rsid w:val="39C87927"/>
    <w:rsid w:val="39CD214B"/>
    <w:rsid w:val="39D7374C"/>
    <w:rsid w:val="39E87A0B"/>
    <w:rsid w:val="39FC6906"/>
    <w:rsid w:val="39FE5E49"/>
    <w:rsid w:val="3A084A73"/>
    <w:rsid w:val="3A1428D5"/>
    <w:rsid w:val="3A2160C5"/>
    <w:rsid w:val="3A2F07E2"/>
    <w:rsid w:val="3A375315"/>
    <w:rsid w:val="3A5F50A7"/>
    <w:rsid w:val="3A604830"/>
    <w:rsid w:val="3A612966"/>
    <w:rsid w:val="3A63048C"/>
    <w:rsid w:val="3A692ADF"/>
    <w:rsid w:val="3A6A181A"/>
    <w:rsid w:val="3A7422DA"/>
    <w:rsid w:val="3A7647FC"/>
    <w:rsid w:val="3A8658B3"/>
    <w:rsid w:val="3A983CED"/>
    <w:rsid w:val="3A9C323A"/>
    <w:rsid w:val="3AB001C0"/>
    <w:rsid w:val="3ABE63B6"/>
    <w:rsid w:val="3AC62914"/>
    <w:rsid w:val="3AD864D0"/>
    <w:rsid w:val="3AF600DE"/>
    <w:rsid w:val="3B07350D"/>
    <w:rsid w:val="3B223EA3"/>
    <w:rsid w:val="3B26276A"/>
    <w:rsid w:val="3B320868"/>
    <w:rsid w:val="3B480774"/>
    <w:rsid w:val="3B672042"/>
    <w:rsid w:val="3B6C096B"/>
    <w:rsid w:val="3B7D37CF"/>
    <w:rsid w:val="3B8F1DBA"/>
    <w:rsid w:val="3BB15227"/>
    <w:rsid w:val="3BC33BD2"/>
    <w:rsid w:val="3BC5593D"/>
    <w:rsid w:val="3BE24757"/>
    <w:rsid w:val="3BE436FE"/>
    <w:rsid w:val="3BF82E56"/>
    <w:rsid w:val="3BFB6049"/>
    <w:rsid w:val="3BFE5086"/>
    <w:rsid w:val="3C034B22"/>
    <w:rsid w:val="3C191175"/>
    <w:rsid w:val="3C223854"/>
    <w:rsid w:val="3C2C51FF"/>
    <w:rsid w:val="3C3118F6"/>
    <w:rsid w:val="3C3B3949"/>
    <w:rsid w:val="3C423F79"/>
    <w:rsid w:val="3C4F47EC"/>
    <w:rsid w:val="3C5C2FBF"/>
    <w:rsid w:val="3C5D558F"/>
    <w:rsid w:val="3C646416"/>
    <w:rsid w:val="3C6A3A8B"/>
    <w:rsid w:val="3C893813"/>
    <w:rsid w:val="3C8F0DB1"/>
    <w:rsid w:val="3C913F65"/>
    <w:rsid w:val="3C947B75"/>
    <w:rsid w:val="3CAF5C0A"/>
    <w:rsid w:val="3CB12459"/>
    <w:rsid w:val="3CBF6174"/>
    <w:rsid w:val="3CD111D1"/>
    <w:rsid w:val="3CD31075"/>
    <w:rsid w:val="3CEA1BD9"/>
    <w:rsid w:val="3D1E3252"/>
    <w:rsid w:val="3D2401D2"/>
    <w:rsid w:val="3D27082E"/>
    <w:rsid w:val="3D2D60C0"/>
    <w:rsid w:val="3D356B88"/>
    <w:rsid w:val="3D3935ED"/>
    <w:rsid w:val="3D4C16AB"/>
    <w:rsid w:val="3D5536E7"/>
    <w:rsid w:val="3D660E32"/>
    <w:rsid w:val="3D6958D3"/>
    <w:rsid w:val="3D6E33D0"/>
    <w:rsid w:val="3D800153"/>
    <w:rsid w:val="3D933B2D"/>
    <w:rsid w:val="3D9E77D9"/>
    <w:rsid w:val="3DA66321"/>
    <w:rsid w:val="3DA66BE3"/>
    <w:rsid w:val="3DAD44F2"/>
    <w:rsid w:val="3DAE22B9"/>
    <w:rsid w:val="3DC03F7C"/>
    <w:rsid w:val="3DDC5BEE"/>
    <w:rsid w:val="3DE80BD1"/>
    <w:rsid w:val="3E05361E"/>
    <w:rsid w:val="3E0A7737"/>
    <w:rsid w:val="3E121A7A"/>
    <w:rsid w:val="3E1C7C90"/>
    <w:rsid w:val="3E1D0952"/>
    <w:rsid w:val="3E2F578B"/>
    <w:rsid w:val="3E5018B8"/>
    <w:rsid w:val="3E5B704A"/>
    <w:rsid w:val="3E6447D3"/>
    <w:rsid w:val="3E6B100C"/>
    <w:rsid w:val="3E7337F3"/>
    <w:rsid w:val="3E7B72B0"/>
    <w:rsid w:val="3E8A01E6"/>
    <w:rsid w:val="3E976419"/>
    <w:rsid w:val="3E99447C"/>
    <w:rsid w:val="3E9B4876"/>
    <w:rsid w:val="3EB810FF"/>
    <w:rsid w:val="3EE86A9E"/>
    <w:rsid w:val="3F1A2E94"/>
    <w:rsid w:val="3F3826F7"/>
    <w:rsid w:val="3F841135"/>
    <w:rsid w:val="3F8D3EE1"/>
    <w:rsid w:val="3FA90C19"/>
    <w:rsid w:val="3FBE7457"/>
    <w:rsid w:val="3FC62579"/>
    <w:rsid w:val="3FDB356C"/>
    <w:rsid w:val="3FF27015"/>
    <w:rsid w:val="3FFD4EDF"/>
    <w:rsid w:val="3FFE58FF"/>
    <w:rsid w:val="40173C64"/>
    <w:rsid w:val="403F35D9"/>
    <w:rsid w:val="40425036"/>
    <w:rsid w:val="404A1CFC"/>
    <w:rsid w:val="4053653B"/>
    <w:rsid w:val="405805AB"/>
    <w:rsid w:val="40580D22"/>
    <w:rsid w:val="406D5BC1"/>
    <w:rsid w:val="407A609C"/>
    <w:rsid w:val="40813021"/>
    <w:rsid w:val="40866A85"/>
    <w:rsid w:val="40B77A8B"/>
    <w:rsid w:val="40C31767"/>
    <w:rsid w:val="40C357E1"/>
    <w:rsid w:val="40CA2A0E"/>
    <w:rsid w:val="40CB1409"/>
    <w:rsid w:val="40CF0A58"/>
    <w:rsid w:val="40D47762"/>
    <w:rsid w:val="40EB4E52"/>
    <w:rsid w:val="40F00EF8"/>
    <w:rsid w:val="40F0787C"/>
    <w:rsid w:val="40F260C6"/>
    <w:rsid w:val="40FE0F0E"/>
    <w:rsid w:val="4105229D"/>
    <w:rsid w:val="410D174E"/>
    <w:rsid w:val="4114269F"/>
    <w:rsid w:val="41167391"/>
    <w:rsid w:val="411F5B7D"/>
    <w:rsid w:val="413D4F2F"/>
    <w:rsid w:val="41542F49"/>
    <w:rsid w:val="415939F9"/>
    <w:rsid w:val="415D5C35"/>
    <w:rsid w:val="418D5043"/>
    <w:rsid w:val="4192398C"/>
    <w:rsid w:val="41970A1B"/>
    <w:rsid w:val="41B676E4"/>
    <w:rsid w:val="41D65AB8"/>
    <w:rsid w:val="41E5203A"/>
    <w:rsid w:val="41F94056"/>
    <w:rsid w:val="420B3E14"/>
    <w:rsid w:val="42106451"/>
    <w:rsid w:val="42165DE4"/>
    <w:rsid w:val="421D7172"/>
    <w:rsid w:val="42520476"/>
    <w:rsid w:val="427A61EB"/>
    <w:rsid w:val="42976F25"/>
    <w:rsid w:val="42A35CAF"/>
    <w:rsid w:val="42AA3C56"/>
    <w:rsid w:val="42B5384F"/>
    <w:rsid w:val="42B9463D"/>
    <w:rsid w:val="42E013AB"/>
    <w:rsid w:val="42EE0B0F"/>
    <w:rsid w:val="4306692E"/>
    <w:rsid w:val="430A343B"/>
    <w:rsid w:val="430D5439"/>
    <w:rsid w:val="431945DD"/>
    <w:rsid w:val="4326241E"/>
    <w:rsid w:val="434509C4"/>
    <w:rsid w:val="434B4463"/>
    <w:rsid w:val="436D27D1"/>
    <w:rsid w:val="43713C1A"/>
    <w:rsid w:val="43775619"/>
    <w:rsid w:val="43801982"/>
    <w:rsid w:val="43850332"/>
    <w:rsid w:val="438E3D27"/>
    <w:rsid w:val="439463EF"/>
    <w:rsid w:val="43C3345C"/>
    <w:rsid w:val="43CE5BB0"/>
    <w:rsid w:val="43D35964"/>
    <w:rsid w:val="43E160DA"/>
    <w:rsid w:val="440A7783"/>
    <w:rsid w:val="440F6F8F"/>
    <w:rsid w:val="44220164"/>
    <w:rsid w:val="443269B5"/>
    <w:rsid w:val="4440186C"/>
    <w:rsid w:val="44521EDC"/>
    <w:rsid w:val="445F4CFF"/>
    <w:rsid w:val="44623569"/>
    <w:rsid w:val="446F0E25"/>
    <w:rsid w:val="448F4563"/>
    <w:rsid w:val="449F793D"/>
    <w:rsid w:val="44A96763"/>
    <w:rsid w:val="44BE13FE"/>
    <w:rsid w:val="44C07619"/>
    <w:rsid w:val="44E60856"/>
    <w:rsid w:val="44EA30F8"/>
    <w:rsid w:val="44EB1A80"/>
    <w:rsid w:val="44F351A8"/>
    <w:rsid w:val="44FA5EB5"/>
    <w:rsid w:val="45020C1B"/>
    <w:rsid w:val="451468F8"/>
    <w:rsid w:val="45150452"/>
    <w:rsid w:val="451F3493"/>
    <w:rsid w:val="453029C6"/>
    <w:rsid w:val="453C3DB3"/>
    <w:rsid w:val="45416D5C"/>
    <w:rsid w:val="45514C5E"/>
    <w:rsid w:val="455E7316"/>
    <w:rsid w:val="45A66251"/>
    <w:rsid w:val="45B36A39"/>
    <w:rsid w:val="45BF2B70"/>
    <w:rsid w:val="45F63FBB"/>
    <w:rsid w:val="46005BFC"/>
    <w:rsid w:val="46075EFF"/>
    <w:rsid w:val="462D521D"/>
    <w:rsid w:val="46326BFE"/>
    <w:rsid w:val="46396545"/>
    <w:rsid w:val="463C3933"/>
    <w:rsid w:val="465A4338"/>
    <w:rsid w:val="467141B2"/>
    <w:rsid w:val="4686217F"/>
    <w:rsid w:val="46A54E24"/>
    <w:rsid w:val="46D144C9"/>
    <w:rsid w:val="46D70238"/>
    <w:rsid w:val="46E93A08"/>
    <w:rsid w:val="46F53678"/>
    <w:rsid w:val="470A3F89"/>
    <w:rsid w:val="471B203A"/>
    <w:rsid w:val="4721740D"/>
    <w:rsid w:val="473B015C"/>
    <w:rsid w:val="473F2E26"/>
    <w:rsid w:val="476F0116"/>
    <w:rsid w:val="47745A86"/>
    <w:rsid w:val="47891858"/>
    <w:rsid w:val="478A2EFF"/>
    <w:rsid w:val="47957DD9"/>
    <w:rsid w:val="479B1D53"/>
    <w:rsid w:val="47AF048E"/>
    <w:rsid w:val="47BE7712"/>
    <w:rsid w:val="47C43A1A"/>
    <w:rsid w:val="47E36768"/>
    <w:rsid w:val="480C3295"/>
    <w:rsid w:val="480E7D5A"/>
    <w:rsid w:val="481666DD"/>
    <w:rsid w:val="4825245C"/>
    <w:rsid w:val="48260B0A"/>
    <w:rsid w:val="483B5A3D"/>
    <w:rsid w:val="48710218"/>
    <w:rsid w:val="48985AEA"/>
    <w:rsid w:val="48A64365"/>
    <w:rsid w:val="48D479E5"/>
    <w:rsid w:val="48EC3E85"/>
    <w:rsid w:val="48F702FD"/>
    <w:rsid w:val="4938482A"/>
    <w:rsid w:val="493908A7"/>
    <w:rsid w:val="493E3446"/>
    <w:rsid w:val="494D2A33"/>
    <w:rsid w:val="49696132"/>
    <w:rsid w:val="49C820BA"/>
    <w:rsid w:val="49D552D7"/>
    <w:rsid w:val="49D74960"/>
    <w:rsid w:val="49D97612"/>
    <w:rsid w:val="49DB5ADD"/>
    <w:rsid w:val="49FC495E"/>
    <w:rsid w:val="4A001853"/>
    <w:rsid w:val="4A0261FD"/>
    <w:rsid w:val="4A174DEF"/>
    <w:rsid w:val="4A22249E"/>
    <w:rsid w:val="4A2B2BC5"/>
    <w:rsid w:val="4A325785"/>
    <w:rsid w:val="4A39581F"/>
    <w:rsid w:val="4A477482"/>
    <w:rsid w:val="4A513F70"/>
    <w:rsid w:val="4A601BA4"/>
    <w:rsid w:val="4A6159F9"/>
    <w:rsid w:val="4A8D0845"/>
    <w:rsid w:val="4A9D30CC"/>
    <w:rsid w:val="4AB17B8A"/>
    <w:rsid w:val="4ABC4324"/>
    <w:rsid w:val="4ACA46B4"/>
    <w:rsid w:val="4ADA77F9"/>
    <w:rsid w:val="4AE01B09"/>
    <w:rsid w:val="4AF36AD6"/>
    <w:rsid w:val="4AF747EE"/>
    <w:rsid w:val="4B0A1EDB"/>
    <w:rsid w:val="4B0E61F2"/>
    <w:rsid w:val="4B113344"/>
    <w:rsid w:val="4B3814C1"/>
    <w:rsid w:val="4B551F7E"/>
    <w:rsid w:val="4B9A26DF"/>
    <w:rsid w:val="4B9D0613"/>
    <w:rsid w:val="4BBF17C7"/>
    <w:rsid w:val="4BC62629"/>
    <w:rsid w:val="4BD923D5"/>
    <w:rsid w:val="4C125EF0"/>
    <w:rsid w:val="4C1C3E21"/>
    <w:rsid w:val="4C2D3657"/>
    <w:rsid w:val="4C383A41"/>
    <w:rsid w:val="4C4170C0"/>
    <w:rsid w:val="4C4C76F4"/>
    <w:rsid w:val="4C5468CB"/>
    <w:rsid w:val="4C567E51"/>
    <w:rsid w:val="4C5D7CDB"/>
    <w:rsid w:val="4C87000A"/>
    <w:rsid w:val="4C8F63FF"/>
    <w:rsid w:val="4C9306CE"/>
    <w:rsid w:val="4C9C0080"/>
    <w:rsid w:val="4CAF3F46"/>
    <w:rsid w:val="4CBD0A99"/>
    <w:rsid w:val="4CCD342A"/>
    <w:rsid w:val="4CD3591E"/>
    <w:rsid w:val="4CE53E08"/>
    <w:rsid w:val="4CEE0CE9"/>
    <w:rsid w:val="4CF51418"/>
    <w:rsid w:val="4D000CB2"/>
    <w:rsid w:val="4D001D7B"/>
    <w:rsid w:val="4D0A29E9"/>
    <w:rsid w:val="4D0A3F8D"/>
    <w:rsid w:val="4D1A70D0"/>
    <w:rsid w:val="4D1B1FE9"/>
    <w:rsid w:val="4D1D096E"/>
    <w:rsid w:val="4D27582B"/>
    <w:rsid w:val="4D292FE6"/>
    <w:rsid w:val="4D2D3240"/>
    <w:rsid w:val="4D3B76A9"/>
    <w:rsid w:val="4D444572"/>
    <w:rsid w:val="4D461B45"/>
    <w:rsid w:val="4D616E5C"/>
    <w:rsid w:val="4D973D38"/>
    <w:rsid w:val="4DA37FA4"/>
    <w:rsid w:val="4DB36BDD"/>
    <w:rsid w:val="4DBA0444"/>
    <w:rsid w:val="4DCB6949"/>
    <w:rsid w:val="4DD3727F"/>
    <w:rsid w:val="4DD6252E"/>
    <w:rsid w:val="4DF621ED"/>
    <w:rsid w:val="4E200716"/>
    <w:rsid w:val="4E211FEB"/>
    <w:rsid w:val="4E2F1CBF"/>
    <w:rsid w:val="4E347D1E"/>
    <w:rsid w:val="4E433CEC"/>
    <w:rsid w:val="4E5557F5"/>
    <w:rsid w:val="4E6E4DF8"/>
    <w:rsid w:val="4E740939"/>
    <w:rsid w:val="4E761A7B"/>
    <w:rsid w:val="4E8A2033"/>
    <w:rsid w:val="4E9C50B5"/>
    <w:rsid w:val="4EA22B89"/>
    <w:rsid w:val="4EB65DC8"/>
    <w:rsid w:val="4ECE4122"/>
    <w:rsid w:val="4EDB463D"/>
    <w:rsid w:val="4EE334F2"/>
    <w:rsid w:val="4EF23B2F"/>
    <w:rsid w:val="4EF54D70"/>
    <w:rsid w:val="4F492C94"/>
    <w:rsid w:val="4F4E6813"/>
    <w:rsid w:val="4F5C39D0"/>
    <w:rsid w:val="4F610FE6"/>
    <w:rsid w:val="4F617429"/>
    <w:rsid w:val="4F80122B"/>
    <w:rsid w:val="4F8612AD"/>
    <w:rsid w:val="4FB22EEC"/>
    <w:rsid w:val="4FD22EE2"/>
    <w:rsid w:val="4FD328D6"/>
    <w:rsid w:val="4FD76B42"/>
    <w:rsid w:val="4FDA4E5B"/>
    <w:rsid w:val="4FDC241B"/>
    <w:rsid w:val="4FE6773D"/>
    <w:rsid w:val="4FF81FBC"/>
    <w:rsid w:val="4FF93BCD"/>
    <w:rsid w:val="4FFC2ABD"/>
    <w:rsid w:val="500D34A4"/>
    <w:rsid w:val="50323872"/>
    <w:rsid w:val="50435A06"/>
    <w:rsid w:val="50436496"/>
    <w:rsid w:val="50555F82"/>
    <w:rsid w:val="506114C8"/>
    <w:rsid w:val="506D3836"/>
    <w:rsid w:val="50714817"/>
    <w:rsid w:val="50A867A1"/>
    <w:rsid w:val="50C3324B"/>
    <w:rsid w:val="50DE6667"/>
    <w:rsid w:val="50FA203A"/>
    <w:rsid w:val="50FD5567"/>
    <w:rsid w:val="510034AC"/>
    <w:rsid w:val="514821E7"/>
    <w:rsid w:val="514F30C0"/>
    <w:rsid w:val="51517533"/>
    <w:rsid w:val="515E71A4"/>
    <w:rsid w:val="51704526"/>
    <w:rsid w:val="519D1948"/>
    <w:rsid w:val="51AD2EE9"/>
    <w:rsid w:val="51B2225A"/>
    <w:rsid w:val="51B31C3E"/>
    <w:rsid w:val="51B62630"/>
    <w:rsid w:val="51B83FD2"/>
    <w:rsid w:val="51BD75E0"/>
    <w:rsid w:val="51C65566"/>
    <w:rsid w:val="51CA206A"/>
    <w:rsid w:val="51D1395C"/>
    <w:rsid w:val="51D26878"/>
    <w:rsid w:val="51DB32B0"/>
    <w:rsid w:val="51E64F76"/>
    <w:rsid w:val="51EA1176"/>
    <w:rsid w:val="51EB0668"/>
    <w:rsid w:val="51F223CA"/>
    <w:rsid w:val="51F43334"/>
    <w:rsid w:val="52167479"/>
    <w:rsid w:val="521E486C"/>
    <w:rsid w:val="522079DD"/>
    <w:rsid w:val="52221338"/>
    <w:rsid w:val="52267FED"/>
    <w:rsid w:val="52395BA3"/>
    <w:rsid w:val="524D5F5A"/>
    <w:rsid w:val="525D4AB3"/>
    <w:rsid w:val="52630BD1"/>
    <w:rsid w:val="52987595"/>
    <w:rsid w:val="52AD0C84"/>
    <w:rsid w:val="52C5188C"/>
    <w:rsid w:val="52DA487A"/>
    <w:rsid w:val="52DA5F9A"/>
    <w:rsid w:val="52DE5161"/>
    <w:rsid w:val="52F85135"/>
    <w:rsid w:val="52F908A2"/>
    <w:rsid w:val="53287817"/>
    <w:rsid w:val="532A1CD9"/>
    <w:rsid w:val="532F79DD"/>
    <w:rsid w:val="535A2C04"/>
    <w:rsid w:val="5362532D"/>
    <w:rsid w:val="536577F1"/>
    <w:rsid w:val="5395636F"/>
    <w:rsid w:val="53AA780A"/>
    <w:rsid w:val="53B10408"/>
    <w:rsid w:val="53B813F1"/>
    <w:rsid w:val="53C44AF8"/>
    <w:rsid w:val="53DA21AF"/>
    <w:rsid w:val="53DA2F82"/>
    <w:rsid w:val="53DF24DA"/>
    <w:rsid w:val="53F46B1D"/>
    <w:rsid w:val="54062DDB"/>
    <w:rsid w:val="54256DF6"/>
    <w:rsid w:val="543157E8"/>
    <w:rsid w:val="543F741C"/>
    <w:rsid w:val="544753D0"/>
    <w:rsid w:val="544A7FF5"/>
    <w:rsid w:val="54621EE3"/>
    <w:rsid w:val="54695FEA"/>
    <w:rsid w:val="54781DD8"/>
    <w:rsid w:val="547B1766"/>
    <w:rsid w:val="54911CC6"/>
    <w:rsid w:val="54A94D04"/>
    <w:rsid w:val="54AD4386"/>
    <w:rsid w:val="54C562D7"/>
    <w:rsid w:val="54E1224C"/>
    <w:rsid w:val="54E12281"/>
    <w:rsid w:val="550079BC"/>
    <w:rsid w:val="55151D6D"/>
    <w:rsid w:val="5516093D"/>
    <w:rsid w:val="551974E9"/>
    <w:rsid w:val="55201B9E"/>
    <w:rsid w:val="5540169E"/>
    <w:rsid w:val="554A2AAF"/>
    <w:rsid w:val="554E6684"/>
    <w:rsid w:val="555549D7"/>
    <w:rsid w:val="555D70DE"/>
    <w:rsid w:val="556801BD"/>
    <w:rsid w:val="558C3F8F"/>
    <w:rsid w:val="55903919"/>
    <w:rsid w:val="55911EF9"/>
    <w:rsid w:val="55927F41"/>
    <w:rsid w:val="559B0682"/>
    <w:rsid w:val="55A0406F"/>
    <w:rsid w:val="55B00D21"/>
    <w:rsid w:val="55B16CF7"/>
    <w:rsid w:val="55B2180A"/>
    <w:rsid w:val="55B40B35"/>
    <w:rsid w:val="55DD0C9B"/>
    <w:rsid w:val="55E47395"/>
    <w:rsid w:val="55E53FF3"/>
    <w:rsid w:val="55F30232"/>
    <w:rsid w:val="55F5627B"/>
    <w:rsid w:val="55FD24BD"/>
    <w:rsid w:val="561F2748"/>
    <w:rsid w:val="56343CD6"/>
    <w:rsid w:val="564601D7"/>
    <w:rsid w:val="565704F6"/>
    <w:rsid w:val="56630484"/>
    <w:rsid w:val="56666EE2"/>
    <w:rsid w:val="5673321D"/>
    <w:rsid w:val="568B69B5"/>
    <w:rsid w:val="56911EA5"/>
    <w:rsid w:val="56976C73"/>
    <w:rsid w:val="56B2428D"/>
    <w:rsid w:val="56CF3AF0"/>
    <w:rsid w:val="56D12B1A"/>
    <w:rsid w:val="56D222D6"/>
    <w:rsid w:val="56D563F6"/>
    <w:rsid w:val="56E30CD0"/>
    <w:rsid w:val="56FC7FBB"/>
    <w:rsid w:val="570D2E66"/>
    <w:rsid w:val="573E4509"/>
    <w:rsid w:val="574B60D8"/>
    <w:rsid w:val="574E0774"/>
    <w:rsid w:val="57560D05"/>
    <w:rsid w:val="575665E9"/>
    <w:rsid w:val="57622B51"/>
    <w:rsid w:val="576C6771"/>
    <w:rsid w:val="576E2F07"/>
    <w:rsid w:val="578828A5"/>
    <w:rsid w:val="578E2E1F"/>
    <w:rsid w:val="5795259B"/>
    <w:rsid w:val="57EB6DC4"/>
    <w:rsid w:val="57F14ED1"/>
    <w:rsid w:val="57F90182"/>
    <w:rsid w:val="57FE0B44"/>
    <w:rsid w:val="58207ACA"/>
    <w:rsid w:val="58240EEB"/>
    <w:rsid w:val="58466C56"/>
    <w:rsid w:val="58513F4A"/>
    <w:rsid w:val="58694A68"/>
    <w:rsid w:val="586F464C"/>
    <w:rsid w:val="587E2941"/>
    <w:rsid w:val="588413B3"/>
    <w:rsid w:val="589F1896"/>
    <w:rsid w:val="58B3387C"/>
    <w:rsid w:val="58BD1C39"/>
    <w:rsid w:val="58C53C73"/>
    <w:rsid w:val="58CE76DC"/>
    <w:rsid w:val="58DA27A4"/>
    <w:rsid w:val="58E34D30"/>
    <w:rsid w:val="59301A29"/>
    <w:rsid w:val="59370FDC"/>
    <w:rsid w:val="593A0E1B"/>
    <w:rsid w:val="593C119F"/>
    <w:rsid w:val="594352B9"/>
    <w:rsid w:val="5944652B"/>
    <w:rsid w:val="59463010"/>
    <w:rsid w:val="594856C0"/>
    <w:rsid w:val="59594ADC"/>
    <w:rsid w:val="595E3881"/>
    <w:rsid w:val="5965515B"/>
    <w:rsid w:val="59787380"/>
    <w:rsid w:val="597A6C26"/>
    <w:rsid w:val="5994627A"/>
    <w:rsid w:val="59992E2B"/>
    <w:rsid w:val="599B63F5"/>
    <w:rsid w:val="599D4158"/>
    <w:rsid w:val="59B67D5F"/>
    <w:rsid w:val="59C77C98"/>
    <w:rsid w:val="59DF21A4"/>
    <w:rsid w:val="59E802ED"/>
    <w:rsid w:val="59EF4925"/>
    <w:rsid w:val="5A1804F3"/>
    <w:rsid w:val="5A190D9A"/>
    <w:rsid w:val="5A5F0948"/>
    <w:rsid w:val="5A663955"/>
    <w:rsid w:val="5A7A2BDC"/>
    <w:rsid w:val="5A823FEF"/>
    <w:rsid w:val="5AAE70AA"/>
    <w:rsid w:val="5AB177D8"/>
    <w:rsid w:val="5AC17227"/>
    <w:rsid w:val="5AC2627C"/>
    <w:rsid w:val="5ACD1C5B"/>
    <w:rsid w:val="5ACE1688"/>
    <w:rsid w:val="5AD2542A"/>
    <w:rsid w:val="5AE11021"/>
    <w:rsid w:val="5AE55A19"/>
    <w:rsid w:val="5AFF3461"/>
    <w:rsid w:val="5B20434C"/>
    <w:rsid w:val="5B256B92"/>
    <w:rsid w:val="5B3E25B5"/>
    <w:rsid w:val="5B593F71"/>
    <w:rsid w:val="5B6E79B3"/>
    <w:rsid w:val="5B9A374A"/>
    <w:rsid w:val="5BA85F3D"/>
    <w:rsid w:val="5BA94E73"/>
    <w:rsid w:val="5BAF711D"/>
    <w:rsid w:val="5BB45C5B"/>
    <w:rsid w:val="5BE52D4F"/>
    <w:rsid w:val="5BE61458"/>
    <w:rsid w:val="5C082E03"/>
    <w:rsid w:val="5C273E16"/>
    <w:rsid w:val="5C2E6120"/>
    <w:rsid w:val="5C524ED5"/>
    <w:rsid w:val="5C5B4AA2"/>
    <w:rsid w:val="5C5B500F"/>
    <w:rsid w:val="5C747EBC"/>
    <w:rsid w:val="5C9234D5"/>
    <w:rsid w:val="5CA146A4"/>
    <w:rsid w:val="5CA238CD"/>
    <w:rsid w:val="5CB236D2"/>
    <w:rsid w:val="5CB80231"/>
    <w:rsid w:val="5CC900AC"/>
    <w:rsid w:val="5CD05C63"/>
    <w:rsid w:val="5CDF4459"/>
    <w:rsid w:val="5CE10896"/>
    <w:rsid w:val="5CF36FF6"/>
    <w:rsid w:val="5D1076B3"/>
    <w:rsid w:val="5D40331D"/>
    <w:rsid w:val="5D543950"/>
    <w:rsid w:val="5D5E4705"/>
    <w:rsid w:val="5D5F6439"/>
    <w:rsid w:val="5D677EDD"/>
    <w:rsid w:val="5D6D7F4F"/>
    <w:rsid w:val="5D8365CC"/>
    <w:rsid w:val="5D927CFA"/>
    <w:rsid w:val="5D964EA8"/>
    <w:rsid w:val="5DB03139"/>
    <w:rsid w:val="5DDC0F8E"/>
    <w:rsid w:val="5DEB5F1F"/>
    <w:rsid w:val="5DF963DD"/>
    <w:rsid w:val="5E2859F2"/>
    <w:rsid w:val="5E501696"/>
    <w:rsid w:val="5E5E2B95"/>
    <w:rsid w:val="5E803314"/>
    <w:rsid w:val="5E850121"/>
    <w:rsid w:val="5E860906"/>
    <w:rsid w:val="5E8A696D"/>
    <w:rsid w:val="5E8C7FBD"/>
    <w:rsid w:val="5EC97041"/>
    <w:rsid w:val="5ED659F1"/>
    <w:rsid w:val="5ED97054"/>
    <w:rsid w:val="5EDF3961"/>
    <w:rsid w:val="5EDF778D"/>
    <w:rsid w:val="5EE02758"/>
    <w:rsid w:val="5EE10935"/>
    <w:rsid w:val="5EEA5E57"/>
    <w:rsid w:val="5EFD23AE"/>
    <w:rsid w:val="5EFF24BD"/>
    <w:rsid w:val="5F313E05"/>
    <w:rsid w:val="5F37082D"/>
    <w:rsid w:val="5F61293D"/>
    <w:rsid w:val="5F626083"/>
    <w:rsid w:val="5F82544F"/>
    <w:rsid w:val="5F895ABF"/>
    <w:rsid w:val="5F8C2661"/>
    <w:rsid w:val="5F975655"/>
    <w:rsid w:val="5FA9794D"/>
    <w:rsid w:val="5FBB6617"/>
    <w:rsid w:val="5FDA64DB"/>
    <w:rsid w:val="5FDE5B98"/>
    <w:rsid w:val="5FDF1285"/>
    <w:rsid w:val="5FEA79E6"/>
    <w:rsid w:val="5FFF6CD3"/>
    <w:rsid w:val="60015B88"/>
    <w:rsid w:val="60375845"/>
    <w:rsid w:val="60483AFC"/>
    <w:rsid w:val="60566219"/>
    <w:rsid w:val="605E50CE"/>
    <w:rsid w:val="60643DD0"/>
    <w:rsid w:val="60673F83"/>
    <w:rsid w:val="608A7FF1"/>
    <w:rsid w:val="608E5F58"/>
    <w:rsid w:val="609D1752"/>
    <w:rsid w:val="60B55B4D"/>
    <w:rsid w:val="60BD5588"/>
    <w:rsid w:val="60D84E80"/>
    <w:rsid w:val="60FB3B5D"/>
    <w:rsid w:val="610F1BE4"/>
    <w:rsid w:val="611A1EA0"/>
    <w:rsid w:val="61243C22"/>
    <w:rsid w:val="612970A2"/>
    <w:rsid w:val="612B1A79"/>
    <w:rsid w:val="613D4CE3"/>
    <w:rsid w:val="61464CBE"/>
    <w:rsid w:val="61522E16"/>
    <w:rsid w:val="61577D54"/>
    <w:rsid w:val="61653B7C"/>
    <w:rsid w:val="616D6292"/>
    <w:rsid w:val="61711DFF"/>
    <w:rsid w:val="61821900"/>
    <w:rsid w:val="61851633"/>
    <w:rsid w:val="61986A56"/>
    <w:rsid w:val="61B349A3"/>
    <w:rsid w:val="61BB1A0E"/>
    <w:rsid w:val="61D07906"/>
    <w:rsid w:val="61DE64C6"/>
    <w:rsid w:val="61F5736C"/>
    <w:rsid w:val="61F90082"/>
    <w:rsid w:val="620A7C66"/>
    <w:rsid w:val="621041A6"/>
    <w:rsid w:val="621416E1"/>
    <w:rsid w:val="621A0B29"/>
    <w:rsid w:val="622A5268"/>
    <w:rsid w:val="6251766F"/>
    <w:rsid w:val="625A4D1C"/>
    <w:rsid w:val="626F711E"/>
    <w:rsid w:val="62745075"/>
    <w:rsid w:val="627F7448"/>
    <w:rsid w:val="629024BB"/>
    <w:rsid w:val="629E464E"/>
    <w:rsid w:val="62AF7FCA"/>
    <w:rsid w:val="62BF3556"/>
    <w:rsid w:val="62C463AD"/>
    <w:rsid w:val="62CC6C25"/>
    <w:rsid w:val="62CC7F75"/>
    <w:rsid w:val="62F221B8"/>
    <w:rsid w:val="62F37D50"/>
    <w:rsid w:val="62F86556"/>
    <w:rsid w:val="62FF27F2"/>
    <w:rsid w:val="63092916"/>
    <w:rsid w:val="63127D4D"/>
    <w:rsid w:val="63215B86"/>
    <w:rsid w:val="63253C81"/>
    <w:rsid w:val="63295870"/>
    <w:rsid w:val="632F3905"/>
    <w:rsid w:val="633152E6"/>
    <w:rsid w:val="633A3BD0"/>
    <w:rsid w:val="633A7559"/>
    <w:rsid w:val="63586FFC"/>
    <w:rsid w:val="63800931"/>
    <w:rsid w:val="63837E6B"/>
    <w:rsid w:val="63917606"/>
    <w:rsid w:val="63A365BE"/>
    <w:rsid w:val="63AA666D"/>
    <w:rsid w:val="63F21EFA"/>
    <w:rsid w:val="63F96582"/>
    <w:rsid w:val="63FC2C34"/>
    <w:rsid w:val="640A6D6E"/>
    <w:rsid w:val="640D4AC6"/>
    <w:rsid w:val="64103296"/>
    <w:rsid w:val="641572BA"/>
    <w:rsid w:val="641C738E"/>
    <w:rsid w:val="643370C1"/>
    <w:rsid w:val="643452BF"/>
    <w:rsid w:val="643C74D4"/>
    <w:rsid w:val="643D27DE"/>
    <w:rsid w:val="644173BC"/>
    <w:rsid w:val="644A7898"/>
    <w:rsid w:val="646B445D"/>
    <w:rsid w:val="646B590B"/>
    <w:rsid w:val="646D58E0"/>
    <w:rsid w:val="64744EC0"/>
    <w:rsid w:val="647C76F1"/>
    <w:rsid w:val="647D05E2"/>
    <w:rsid w:val="648637E9"/>
    <w:rsid w:val="64955EAD"/>
    <w:rsid w:val="64AC7A1A"/>
    <w:rsid w:val="64BC19A2"/>
    <w:rsid w:val="64DD5BC2"/>
    <w:rsid w:val="64E36E7E"/>
    <w:rsid w:val="64FD4EB5"/>
    <w:rsid w:val="65000690"/>
    <w:rsid w:val="65074CE3"/>
    <w:rsid w:val="65101C52"/>
    <w:rsid w:val="65253B12"/>
    <w:rsid w:val="65440784"/>
    <w:rsid w:val="654605BB"/>
    <w:rsid w:val="655B5515"/>
    <w:rsid w:val="657A593A"/>
    <w:rsid w:val="65AE21C9"/>
    <w:rsid w:val="65D26241"/>
    <w:rsid w:val="65DF0F7A"/>
    <w:rsid w:val="65DF280D"/>
    <w:rsid w:val="65EB1570"/>
    <w:rsid w:val="65F82A30"/>
    <w:rsid w:val="66005893"/>
    <w:rsid w:val="660D01E2"/>
    <w:rsid w:val="660E4A25"/>
    <w:rsid w:val="66274EB9"/>
    <w:rsid w:val="662B15AE"/>
    <w:rsid w:val="66391957"/>
    <w:rsid w:val="66495805"/>
    <w:rsid w:val="664F2AA1"/>
    <w:rsid w:val="6687063E"/>
    <w:rsid w:val="66A4151F"/>
    <w:rsid w:val="66B3324C"/>
    <w:rsid w:val="66B75907"/>
    <w:rsid w:val="66C43BB0"/>
    <w:rsid w:val="66CD6B09"/>
    <w:rsid w:val="66DD607B"/>
    <w:rsid w:val="66E05939"/>
    <w:rsid w:val="66E16111"/>
    <w:rsid w:val="66E3129B"/>
    <w:rsid w:val="66F00642"/>
    <w:rsid w:val="66FB36AC"/>
    <w:rsid w:val="67073DC9"/>
    <w:rsid w:val="6711730E"/>
    <w:rsid w:val="6727431D"/>
    <w:rsid w:val="673B1CC5"/>
    <w:rsid w:val="67490A23"/>
    <w:rsid w:val="674B3476"/>
    <w:rsid w:val="674E70D9"/>
    <w:rsid w:val="675C18D7"/>
    <w:rsid w:val="677026C6"/>
    <w:rsid w:val="67955FD8"/>
    <w:rsid w:val="67AE225D"/>
    <w:rsid w:val="67B46111"/>
    <w:rsid w:val="67BF28F6"/>
    <w:rsid w:val="67D63B49"/>
    <w:rsid w:val="67E87494"/>
    <w:rsid w:val="67EE4E8C"/>
    <w:rsid w:val="67F544F0"/>
    <w:rsid w:val="681045B5"/>
    <w:rsid w:val="68130D62"/>
    <w:rsid w:val="68257464"/>
    <w:rsid w:val="68417D30"/>
    <w:rsid w:val="684846FA"/>
    <w:rsid w:val="6884190C"/>
    <w:rsid w:val="689961E4"/>
    <w:rsid w:val="68C370CA"/>
    <w:rsid w:val="68C53697"/>
    <w:rsid w:val="68D06FB9"/>
    <w:rsid w:val="68D24D3B"/>
    <w:rsid w:val="68F53A10"/>
    <w:rsid w:val="690D47B6"/>
    <w:rsid w:val="690E650E"/>
    <w:rsid w:val="691251C6"/>
    <w:rsid w:val="692A559C"/>
    <w:rsid w:val="692C4F0D"/>
    <w:rsid w:val="693E3832"/>
    <w:rsid w:val="69477E63"/>
    <w:rsid w:val="69497286"/>
    <w:rsid w:val="694D588F"/>
    <w:rsid w:val="69725310"/>
    <w:rsid w:val="69882D14"/>
    <w:rsid w:val="69894F6A"/>
    <w:rsid w:val="699755C1"/>
    <w:rsid w:val="699B69ED"/>
    <w:rsid w:val="69A35C90"/>
    <w:rsid w:val="69A67783"/>
    <w:rsid w:val="69B07386"/>
    <w:rsid w:val="69BD10B7"/>
    <w:rsid w:val="69C64B4F"/>
    <w:rsid w:val="69D375A4"/>
    <w:rsid w:val="69E2762A"/>
    <w:rsid w:val="69F267A5"/>
    <w:rsid w:val="6A085FA4"/>
    <w:rsid w:val="6A1C03D0"/>
    <w:rsid w:val="6A245CAB"/>
    <w:rsid w:val="6A290256"/>
    <w:rsid w:val="6A350C4E"/>
    <w:rsid w:val="6A3E5C6C"/>
    <w:rsid w:val="6A556B9C"/>
    <w:rsid w:val="6A5608FE"/>
    <w:rsid w:val="6A5F2243"/>
    <w:rsid w:val="6A675B98"/>
    <w:rsid w:val="6AA11A85"/>
    <w:rsid w:val="6AAC52AD"/>
    <w:rsid w:val="6ABB2FC1"/>
    <w:rsid w:val="6ABF3049"/>
    <w:rsid w:val="6AC44318"/>
    <w:rsid w:val="6AD67828"/>
    <w:rsid w:val="6AD95A7D"/>
    <w:rsid w:val="6AD966A9"/>
    <w:rsid w:val="6ADA35A3"/>
    <w:rsid w:val="6ADA5AE3"/>
    <w:rsid w:val="6AE83914"/>
    <w:rsid w:val="6AF33DA9"/>
    <w:rsid w:val="6B0C0DB6"/>
    <w:rsid w:val="6B1E16E2"/>
    <w:rsid w:val="6B29228A"/>
    <w:rsid w:val="6B397625"/>
    <w:rsid w:val="6B3C0466"/>
    <w:rsid w:val="6B3E3EAC"/>
    <w:rsid w:val="6B4355EC"/>
    <w:rsid w:val="6B43739A"/>
    <w:rsid w:val="6B4B2761"/>
    <w:rsid w:val="6B635CED"/>
    <w:rsid w:val="6B64739C"/>
    <w:rsid w:val="6B783C42"/>
    <w:rsid w:val="6B7A014E"/>
    <w:rsid w:val="6B7F7A0A"/>
    <w:rsid w:val="6B967746"/>
    <w:rsid w:val="6B9F7E0A"/>
    <w:rsid w:val="6BAD77DE"/>
    <w:rsid w:val="6BB87D88"/>
    <w:rsid w:val="6BD27425"/>
    <w:rsid w:val="6BE41E2D"/>
    <w:rsid w:val="6BE874F5"/>
    <w:rsid w:val="6BF75518"/>
    <w:rsid w:val="6BF8298E"/>
    <w:rsid w:val="6C0950E7"/>
    <w:rsid w:val="6C0D0F3A"/>
    <w:rsid w:val="6C171E92"/>
    <w:rsid w:val="6C2C0971"/>
    <w:rsid w:val="6C2C13C1"/>
    <w:rsid w:val="6C3D13D3"/>
    <w:rsid w:val="6C443F76"/>
    <w:rsid w:val="6C4A7F9D"/>
    <w:rsid w:val="6C501117"/>
    <w:rsid w:val="6C50561F"/>
    <w:rsid w:val="6C5E6FD9"/>
    <w:rsid w:val="6C7B0F0B"/>
    <w:rsid w:val="6C863F32"/>
    <w:rsid w:val="6C884159"/>
    <w:rsid w:val="6C8D2FC3"/>
    <w:rsid w:val="6C9353FC"/>
    <w:rsid w:val="6CA67424"/>
    <w:rsid w:val="6CBD4B15"/>
    <w:rsid w:val="6CC06B0B"/>
    <w:rsid w:val="6CCB317B"/>
    <w:rsid w:val="6CD059A5"/>
    <w:rsid w:val="6CDC7139"/>
    <w:rsid w:val="6D1B3A28"/>
    <w:rsid w:val="6D232BBF"/>
    <w:rsid w:val="6D2A437C"/>
    <w:rsid w:val="6D2F4EBF"/>
    <w:rsid w:val="6D352A4A"/>
    <w:rsid w:val="6D527914"/>
    <w:rsid w:val="6D537884"/>
    <w:rsid w:val="6D7A0D4E"/>
    <w:rsid w:val="6DDD3A7A"/>
    <w:rsid w:val="6DE439B6"/>
    <w:rsid w:val="6DF15E24"/>
    <w:rsid w:val="6DFE2BB7"/>
    <w:rsid w:val="6E01093E"/>
    <w:rsid w:val="6E036999"/>
    <w:rsid w:val="6E0A3E2F"/>
    <w:rsid w:val="6E107333"/>
    <w:rsid w:val="6E336EAD"/>
    <w:rsid w:val="6E3968D2"/>
    <w:rsid w:val="6E3E250E"/>
    <w:rsid w:val="6E5C3FFE"/>
    <w:rsid w:val="6E7D21F1"/>
    <w:rsid w:val="6EBC36EB"/>
    <w:rsid w:val="6EBE2492"/>
    <w:rsid w:val="6EC4138F"/>
    <w:rsid w:val="6ED12D9E"/>
    <w:rsid w:val="6F03756C"/>
    <w:rsid w:val="6F081499"/>
    <w:rsid w:val="6F1217FA"/>
    <w:rsid w:val="6F231BE5"/>
    <w:rsid w:val="6F2E3EBD"/>
    <w:rsid w:val="6F346091"/>
    <w:rsid w:val="6F4758BD"/>
    <w:rsid w:val="6F6F580C"/>
    <w:rsid w:val="6F865AA7"/>
    <w:rsid w:val="6FAD196A"/>
    <w:rsid w:val="6FC860C0"/>
    <w:rsid w:val="6FE52AE7"/>
    <w:rsid w:val="6FE52F27"/>
    <w:rsid w:val="6FED5C33"/>
    <w:rsid w:val="70053A25"/>
    <w:rsid w:val="700965F0"/>
    <w:rsid w:val="701E2184"/>
    <w:rsid w:val="702449A8"/>
    <w:rsid w:val="70274BBF"/>
    <w:rsid w:val="703025E3"/>
    <w:rsid w:val="70315436"/>
    <w:rsid w:val="70483752"/>
    <w:rsid w:val="70784769"/>
    <w:rsid w:val="70834A21"/>
    <w:rsid w:val="70846457"/>
    <w:rsid w:val="70A6100B"/>
    <w:rsid w:val="70AB1C6A"/>
    <w:rsid w:val="70AB78EB"/>
    <w:rsid w:val="70AE6872"/>
    <w:rsid w:val="70B36D70"/>
    <w:rsid w:val="70BA1EAD"/>
    <w:rsid w:val="70C66AA3"/>
    <w:rsid w:val="70C87ECB"/>
    <w:rsid w:val="70DF2152"/>
    <w:rsid w:val="70E17439"/>
    <w:rsid w:val="70FD4746"/>
    <w:rsid w:val="7100587F"/>
    <w:rsid w:val="710941EB"/>
    <w:rsid w:val="710E2C72"/>
    <w:rsid w:val="71137275"/>
    <w:rsid w:val="71143245"/>
    <w:rsid w:val="71294CB5"/>
    <w:rsid w:val="713559D7"/>
    <w:rsid w:val="71397275"/>
    <w:rsid w:val="713E301F"/>
    <w:rsid w:val="715220E5"/>
    <w:rsid w:val="715D413D"/>
    <w:rsid w:val="71630796"/>
    <w:rsid w:val="716562BC"/>
    <w:rsid w:val="7177256F"/>
    <w:rsid w:val="717E3F66"/>
    <w:rsid w:val="719646C8"/>
    <w:rsid w:val="71AD2D9C"/>
    <w:rsid w:val="71B1347E"/>
    <w:rsid w:val="71B40AA5"/>
    <w:rsid w:val="71BD3B27"/>
    <w:rsid w:val="71C71CDF"/>
    <w:rsid w:val="71C8576C"/>
    <w:rsid w:val="71CE03F6"/>
    <w:rsid w:val="71F47640"/>
    <w:rsid w:val="71F92694"/>
    <w:rsid w:val="72004F62"/>
    <w:rsid w:val="720E060A"/>
    <w:rsid w:val="72191F37"/>
    <w:rsid w:val="72227D09"/>
    <w:rsid w:val="722812AB"/>
    <w:rsid w:val="723043FC"/>
    <w:rsid w:val="72332CF4"/>
    <w:rsid w:val="7242092C"/>
    <w:rsid w:val="724B2D4D"/>
    <w:rsid w:val="725606B7"/>
    <w:rsid w:val="72582825"/>
    <w:rsid w:val="72785B8D"/>
    <w:rsid w:val="727C73EB"/>
    <w:rsid w:val="72871AEF"/>
    <w:rsid w:val="72873995"/>
    <w:rsid w:val="72913FEE"/>
    <w:rsid w:val="72BF1EB4"/>
    <w:rsid w:val="72C246EA"/>
    <w:rsid w:val="72D07419"/>
    <w:rsid w:val="72DC5A16"/>
    <w:rsid w:val="72E11E39"/>
    <w:rsid w:val="72E158F4"/>
    <w:rsid w:val="72E31C51"/>
    <w:rsid w:val="72E43211"/>
    <w:rsid w:val="73117D7E"/>
    <w:rsid w:val="73131D48"/>
    <w:rsid w:val="73185EFE"/>
    <w:rsid w:val="73AD3F4B"/>
    <w:rsid w:val="73B1673D"/>
    <w:rsid w:val="73D422B1"/>
    <w:rsid w:val="73D63ED9"/>
    <w:rsid w:val="73E700CA"/>
    <w:rsid w:val="74100739"/>
    <w:rsid w:val="744E128A"/>
    <w:rsid w:val="7455500F"/>
    <w:rsid w:val="746B5FCB"/>
    <w:rsid w:val="746D0CF1"/>
    <w:rsid w:val="748D25F9"/>
    <w:rsid w:val="74B85DC3"/>
    <w:rsid w:val="74BA6F33"/>
    <w:rsid w:val="74BD7649"/>
    <w:rsid w:val="74C51107"/>
    <w:rsid w:val="74FC0CE6"/>
    <w:rsid w:val="75165FD0"/>
    <w:rsid w:val="75213741"/>
    <w:rsid w:val="752E5081"/>
    <w:rsid w:val="75377F70"/>
    <w:rsid w:val="753B6826"/>
    <w:rsid w:val="753C38AA"/>
    <w:rsid w:val="75411D31"/>
    <w:rsid w:val="754E1A17"/>
    <w:rsid w:val="755A3C5E"/>
    <w:rsid w:val="755F1275"/>
    <w:rsid w:val="75662C93"/>
    <w:rsid w:val="75865EA6"/>
    <w:rsid w:val="758C3E89"/>
    <w:rsid w:val="759D4410"/>
    <w:rsid w:val="75AD4288"/>
    <w:rsid w:val="75D001D9"/>
    <w:rsid w:val="75D471F8"/>
    <w:rsid w:val="75DF7002"/>
    <w:rsid w:val="75E23AF9"/>
    <w:rsid w:val="75E66265"/>
    <w:rsid w:val="75FB3704"/>
    <w:rsid w:val="760903BE"/>
    <w:rsid w:val="76250029"/>
    <w:rsid w:val="76264F7E"/>
    <w:rsid w:val="763826C6"/>
    <w:rsid w:val="764F1DE3"/>
    <w:rsid w:val="76525D13"/>
    <w:rsid w:val="765C56FE"/>
    <w:rsid w:val="76623A4C"/>
    <w:rsid w:val="7665313D"/>
    <w:rsid w:val="766D7400"/>
    <w:rsid w:val="766F5DFE"/>
    <w:rsid w:val="767057F7"/>
    <w:rsid w:val="76724FD8"/>
    <w:rsid w:val="767E397C"/>
    <w:rsid w:val="76823507"/>
    <w:rsid w:val="768716E2"/>
    <w:rsid w:val="76976821"/>
    <w:rsid w:val="769A4B0C"/>
    <w:rsid w:val="769A51C7"/>
    <w:rsid w:val="76AB5DF7"/>
    <w:rsid w:val="76CB1FA3"/>
    <w:rsid w:val="76CF6212"/>
    <w:rsid w:val="76D61FCF"/>
    <w:rsid w:val="76DC6A7E"/>
    <w:rsid w:val="76E95042"/>
    <w:rsid w:val="76EE20E1"/>
    <w:rsid w:val="76F105F2"/>
    <w:rsid w:val="76F61765"/>
    <w:rsid w:val="77061834"/>
    <w:rsid w:val="77062009"/>
    <w:rsid w:val="771F5AF7"/>
    <w:rsid w:val="77292A80"/>
    <w:rsid w:val="77385B4A"/>
    <w:rsid w:val="773F3EF6"/>
    <w:rsid w:val="77405EDE"/>
    <w:rsid w:val="774453C2"/>
    <w:rsid w:val="77510F3B"/>
    <w:rsid w:val="775B41AC"/>
    <w:rsid w:val="777E4848"/>
    <w:rsid w:val="77930AFC"/>
    <w:rsid w:val="779944CC"/>
    <w:rsid w:val="77B67F2E"/>
    <w:rsid w:val="77F27C02"/>
    <w:rsid w:val="78043965"/>
    <w:rsid w:val="780C0BCA"/>
    <w:rsid w:val="78213777"/>
    <w:rsid w:val="785901FD"/>
    <w:rsid w:val="785B69B4"/>
    <w:rsid w:val="78617C31"/>
    <w:rsid w:val="7862489F"/>
    <w:rsid w:val="786372CE"/>
    <w:rsid w:val="787450FE"/>
    <w:rsid w:val="788320BF"/>
    <w:rsid w:val="78982B22"/>
    <w:rsid w:val="78AC4109"/>
    <w:rsid w:val="78DD21D0"/>
    <w:rsid w:val="78E20126"/>
    <w:rsid w:val="78E41660"/>
    <w:rsid w:val="78ED18DE"/>
    <w:rsid w:val="78F64993"/>
    <w:rsid w:val="791C1131"/>
    <w:rsid w:val="793B0A75"/>
    <w:rsid w:val="793F3A8F"/>
    <w:rsid w:val="7949698A"/>
    <w:rsid w:val="79533BB7"/>
    <w:rsid w:val="796F28D1"/>
    <w:rsid w:val="797A2D21"/>
    <w:rsid w:val="79816959"/>
    <w:rsid w:val="79A8326A"/>
    <w:rsid w:val="79AC0800"/>
    <w:rsid w:val="79B176F1"/>
    <w:rsid w:val="79B962FE"/>
    <w:rsid w:val="79C16653"/>
    <w:rsid w:val="79DE4C4A"/>
    <w:rsid w:val="79E9683F"/>
    <w:rsid w:val="79EF1D05"/>
    <w:rsid w:val="79F9095B"/>
    <w:rsid w:val="79FD0551"/>
    <w:rsid w:val="7A017F23"/>
    <w:rsid w:val="7A0D5B4F"/>
    <w:rsid w:val="7A1A7C1A"/>
    <w:rsid w:val="7A48230B"/>
    <w:rsid w:val="7A490F74"/>
    <w:rsid w:val="7A502DB8"/>
    <w:rsid w:val="7A605072"/>
    <w:rsid w:val="7A6A0340"/>
    <w:rsid w:val="7A6E7F80"/>
    <w:rsid w:val="7A7C62A5"/>
    <w:rsid w:val="7A950A6D"/>
    <w:rsid w:val="7A9E632B"/>
    <w:rsid w:val="7AB30021"/>
    <w:rsid w:val="7ABB5191"/>
    <w:rsid w:val="7ACA775B"/>
    <w:rsid w:val="7ACE3885"/>
    <w:rsid w:val="7ACF3B84"/>
    <w:rsid w:val="7AD23F1D"/>
    <w:rsid w:val="7B137F91"/>
    <w:rsid w:val="7B220D7A"/>
    <w:rsid w:val="7B226FCC"/>
    <w:rsid w:val="7B2A38D7"/>
    <w:rsid w:val="7B2B201D"/>
    <w:rsid w:val="7B3024BB"/>
    <w:rsid w:val="7B443E31"/>
    <w:rsid w:val="7B495848"/>
    <w:rsid w:val="7B4A7027"/>
    <w:rsid w:val="7B4C1D99"/>
    <w:rsid w:val="7B795311"/>
    <w:rsid w:val="7B7A6259"/>
    <w:rsid w:val="7B811CC8"/>
    <w:rsid w:val="7BB22676"/>
    <w:rsid w:val="7BC4738E"/>
    <w:rsid w:val="7BDB20E0"/>
    <w:rsid w:val="7BDC192B"/>
    <w:rsid w:val="7BE7064E"/>
    <w:rsid w:val="7BEF39AC"/>
    <w:rsid w:val="7BF9496C"/>
    <w:rsid w:val="7BFF64CE"/>
    <w:rsid w:val="7C1250B6"/>
    <w:rsid w:val="7C24522C"/>
    <w:rsid w:val="7C2F06D7"/>
    <w:rsid w:val="7C3561D5"/>
    <w:rsid w:val="7C6E025E"/>
    <w:rsid w:val="7C7B1D04"/>
    <w:rsid w:val="7C8463D9"/>
    <w:rsid w:val="7C943EFA"/>
    <w:rsid w:val="7C9E2412"/>
    <w:rsid w:val="7CA41740"/>
    <w:rsid w:val="7CC04CEF"/>
    <w:rsid w:val="7CE468D3"/>
    <w:rsid w:val="7D081AA7"/>
    <w:rsid w:val="7D164A6B"/>
    <w:rsid w:val="7D1E1AF4"/>
    <w:rsid w:val="7D420CDA"/>
    <w:rsid w:val="7D72621E"/>
    <w:rsid w:val="7D7A0A07"/>
    <w:rsid w:val="7D7E4D96"/>
    <w:rsid w:val="7DA4016C"/>
    <w:rsid w:val="7DA97094"/>
    <w:rsid w:val="7DBC66A2"/>
    <w:rsid w:val="7DC720AD"/>
    <w:rsid w:val="7DC74F0C"/>
    <w:rsid w:val="7DE865D1"/>
    <w:rsid w:val="7DFB58B2"/>
    <w:rsid w:val="7E040520"/>
    <w:rsid w:val="7E0C3DCA"/>
    <w:rsid w:val="7E135E9C"/>
    <w:rsid w:val="7E745D91"/>
    <w:rsid w:val="7E751537"/>
    <w:rsid w:val="7E907215"/>
    <w:rsid w:val="7E9332AF"/>
    <w:rsid w:val="7EA40F9C"/>
    <w:rsid w:val="7EDD0E47"/>
    <w:rsid w:val="7EDF752A"/>
    <w:rsid w:val="7EE359CD"/>
    <w:rsid w:val="7EE759B1"/>
    <w:rsid w:val="7EF933BA"/>
    <w:rsid w:val="7F016EF9"/>
    <w:rsid w:val="7F066491"/>
    <w:rsid w:val="7F1A1752"/>
    <w:rsid w:val="7F372AF1"/>
    <w:rsid w:val="7F4778C6"/>
    <w:rsid w:val="7F4D30F0"/>
    <w:rsid w:val="7F6D7738"/>
    <w:rsid w:val="7F960FD3"/>
    <w:rsid w:val="7FA04B51"/>
    <w:rsid w:val="7FAA0595"/>
    <w:rsid w:val="7FB07498"/>
    <w:rsid w:val="7FD25377"/>
    <w:rsid w:val="7FDB44F6"/>
    <w:rsid w:val="7FE24086"/>
    <w:rsid w:val="7FE40CF4"/>
    <w:rsid w:val="7FF32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F300E92"/>
  <w15:chartTrackingRefBased/>
  <w15:docId w15:val="{FDDD7633-2DC1-46F0-AD4E-37901BA71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unhideWhenUsed="1" w:qFormat="1"/>
    <w:lsdException w:name="toc 5" w:uiPriority="39"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iPriority="35" w:qFormat="1"/>
    <w:lsdException w:name="table of figures" w:uiPriority="99" w:qFormat="1"/>
    <w:lsdException w:name="annotation reference" w:qFormat="1"/>
    <w:lsdException w:name="page number" w:qFormat="1"/>
    <w:lsdException w:name="endnote reference" w:semiHidden="1" w:unhideWhenUsed="1"/>
    <w:lsdException w:name="table of authorities" w:qFormat="1"/>
    <w:lsdException w:name="toa heading" w:qFormat="1"/>
    <w:lsdException w:name="List" w:qFormat="1"/>
    <w:lsdException w:name="List Bullet" w:qFormat="1"/>
    <w:lsdException w:name="List Number" w:uiPriority="99" w:qFormat="1"/>
    <w:lsdException w:name="List 2" w:unhideWhenUsed="1" w:qFormat="1"/>
    <w:lsdException w:name="List 3" w:qFormat="1"/>
    <w:lsdException w:name="List 4" w:qFormat="1"/>
    <w:lsdException w:name="List Bullet 2" w:qFormat="1"/>
    <w:lsdException w:name="List Bullet 3" w:qFormat="1"/>
    <w:lsdException w:name="List Bullet 5" w:qFormat="1"/>
    <w:lsdException w:name="List Number 3" w:qFormat="1"/>
    <w:lsdException w:name="Title" w:uiPriority="10" w:qFormat="1"/>
    <w:lsdException w:name="Closing" w:qFormat="1"/>
    <w:lsdException w:name="Default Paragraph Font" w:uiPriority="1" w:unhideWhenUsed="1"/>
    <w:lsdException w:name="Body Text" w:qFormat="1"/>
    <w:lsdException w:name="Body Text Indent" w:qFormat="1"/>
    <w:lsdException w:name="List Continue" w:qFormat="1"/>
    <w:lsdException w:name="List Continue 2" w:qFormat="1"/>
    <w:lsdException w:name="List Continue 3" w:qFormat="1"/>
    <w:lsdException w:name="Message Header" w:qFormat="1"/>
    <w:lsdException w:name="Subtitle" w:uiPriority="11" w:qFormat="1"/>
    <w:lsdException w:name="Salutation" w:qFormat="1"/>
    <w:lsdException w:name="Date" w:qFormat="1"/>
    <w:lsdException w:name="Body Text First Indent" w:uiPriority="99" w:unhideWhenUsed="1" w:qFormat="1"/>
    <w:lsdException w:name="Body Text First Indent 2" w:uiPriority="99" w:unhideWhenUsed="1" w:qFormat="1"/>
    <w:lsdException w:name="Note Heading" w:qFormat="1"/>
    <w:lsdException w:name="Body Text 2"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uiPriority="99" w:qFormat="1"/>
    <w:lsdException w:name="Plain Text" w:uiPriority="99" w:qFormat="1"/>
    <w:lsdException w:name="Normal (Web)" w:qFormat="1"/>
    <w:lsdException w:name="HTML Address" w:qFormat="1"/>
    <w:lsdException w:name="HTML Cite" w:unhideWhenUsed="1"/>
    <w:lsdException w:name="HTML Code" w:qFormat="1"/>
    <w:lsdException w:name="HTML Preformatted" w:qFormat="1"/>
    <w:lsdException w:name="HTML Typewriter"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qFormat="1"/>
    <w:lsdException w:name="Table Grid 1" w:qFormat="1"/>
    <w:lsdException w:name="Table Grid 4" w:qFormat="1"/>
    <w:lsdException w:name="Table 3D effects 1" w:uiPriority="99"/>
    <w:lsdException w:name="Table 3D effects 2" w:uiPriority="99"/>
    <w:lsdException w:name="Table 3D effects 3" w:uiPriority="99"/>
    <w:lsdException w:name="Balloon Text" w:qFormat="1"/>
    <w:lsdException w:name="Table Grid" w:uiPriority="39" w:qFormat="1"/>
    <w:lsdException w:name="Table Theme"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006F5"/>
    <w:pPr>
      <w:widowControl w:val="0"/>
      <w:jc w:val="both"/>
    </w:pPr>
    <w:rPr>
      <w:kern w:val="2"/>
      <w:sz w:val="21"/>
      <w:szCs w:val="24"/>
    </w:rPr>
  </w:style>
  <w:style w:type="paragraph" w:styleId="1">
    <w:name w:val="heading 1"/>
    <w:basedOn w:val="a0"/>
    <w:next w:val="a0"/>
    <w:link w:val="1Char"/>
    <w:qFormat/>
    <w:pPr>
      <w:keepNext/>
      <w:spacing w:beforeLines="100" w:before="240" w:afterLines="100" w:after="240" w:line="360" w:lineRule="auto"/>
      <w:jc w:val="center"/>
      <w:outlineLvl w:val="0"/>
    </w:pPr>
    <w:rPr>
      <w:rFonts w:ascii="黑体" w:eastAsia="黑体" w:hAnsi="宋体"/>
      <w:b/>
      <w:sz w:val="32"/>
    </w:rPr>
  </w:style>
  <w:style w:type="paragraph" w:styleId="2">
    <w:name w:val="heading 2"/>
    <w:basedOn w:val="a0"/>
    <w:next w:val="a0"/>
    <w:link w:val="2Char2"/>
    <w:qFormat/>
    <w:pPr>
      <w:keepNext/>
      <w:spacing w:line="360" w:lineRule="auto"/>
      <w:jc w:val="left"/>
      <w:outlineLvl w:val="1"/>
    </w:pPr>
    <w:rPr>
      <w:rFonts w:ascii="Arial" w:eastAsia="黑体" w:hAnsi="Arial"/>
      <w:b/>
      <w:bCs/>
      <w:sz w:val="32"/>
      <w:szCs w:val="32"/>
    </w:rPr>
  </w:style>
  <w:style w:type="paragraph" w:styleId="3">
    <w:name w:val="heading 3"/>
    <w:basedOn w:val="a0"/>
    <w:next w:val="a0"/>
    <w:link w:val="3Char"/>
    <w:qFormat/>
    <w:pPr>
      <w:keepNext/>
      <w:keepLines/>
      <w:spacing w:line="360" w:lineRule="auto"/>
      <w:jc w:val="left"/>
      <w:outlineLvl w:val="2"/>
    </w:pPr>
    <w:rPr>
      <w:rFonts w:ascii="黑体" w:eastAsia="黑体"/>
      <w:b/>
      <w:bCs/>
      <w:sz w:val="24"/>
      <w:szCs w:val="32"/>
    </w:rPr>
  </w:style>
  <w:style w:type="paragraph" w:styleId="4">
    <w:name w:val="heading 4"/>
    <w:basedOn w:val="a0"/>
    <w:next w:val="a0"/>
    <w:link w:val="4Char"/>
    <w:qFormat/>
    <w:pPr>
      <w:keepNext/>
      <w:keepLines/>
      <w:jc w:val="left"/>
      <w:outlineLvl w:val="3"/>
    </w:pPr>
    <w:rPr>
      <w:rFonts w:ascii="黑体" w:eastAsia="黑体" w:hAnsi="Arial"/>
      <w:b/>
      <w:bCs/>
      <w:sz w:val="24"/>
      <w:szCs w:val="28"/>
    </w:rPr>
  </w:style>
  <w:style w:type="paragraph" w:styleId="5">
    <w:name w:val="heading 5"/>
    <w:basedOn w:val="a0"/>
    <w:next w:val="a0"/>
    <w:link w:val="5Char2"/>
    <w:uiPriority w:val="9"/>
    <w:qFormat/>
    <w:pPr>
      <w:keepNext/>
      <w:keepLines/>
      <w:jc w:val="center"/>
      <w:outlineLvl w:val="4"/>
    </w:pPr>
    <w:rPr>
      <w:b/>
      <w:bCs/>
      <w:sz w:val="28"/>
      <w:szCs w:val="28"/>
      <w:lang w:val="x-none" w:eastAsia="x-none"/>
    </w:rPr>
  </w:style>
  <w:style w:type="paragraph" w:styleId="6">
    <w:name w:val="heading 6"/>
    <w:basedOn w:val="a0"/>
    <w:next w:val="a0"/>
    <w:link w:val="6Char1"/>
    <w:qFormat/>
    <w:pPr>
      <w:keepNext/>
      <w:spacing w:line="360" w:lineRule="auto"/>
      <w:jc w:val="right"/>
      <w:outlineLvl w:val="5"/>
    </w:pPr>
    <w:rPr>
      <w:rFonts w:ascii="楷体_GB2312"/>
      <w:b/>
      <w:bCs/>
      <w:sz w:val="32"/>
    </w:rPr>
  </w:style>
  <w:style w:type="paragraph" w:styleId="7">
    <w:name w:val="heading 7"/>
    <w:basedOn w:val="a0"/>
    <w:next w:val="a0"/>
    <w:link w:val="7Char1"/>
    <w:qFormat/>
    <w:pPr>
      <w:keepNext/>
      <w:keepLines/>
      <w:spacing w:before="240" w:after="64" w:line="320" w:lineRule="auto"/>
      <w:outlineLvl w:val="6"/>
    </w:pPr>
    <w:rPr>
      <w:b/>
      <w:bCs/>
      <w:sz w:val="24"/>
    </w:rPr>
  </w:style>
  <w:style w:type="paragraph" w:styleId="8">
    <w:name w:val="heading 8"/>
    <w:basedOn w:val="a0"/>
    <w:next w:val="a0"/>
    <w:link w:val="8Char1"/>
    <w:qFormat/>
    <w:pPr>
      <w:keepNext/>
      <w:keepLines/>
      <w:spacing w:before="240" w:after="64" w:line="320" w:lineRule="auto"/>
      <w:outlineLvl w:val="7"/>
    </w:pPr>
    <w:rPr>
      <w:rFonts w:ascii="Arial" w:eastAsia="黑体" w:hAnsi="Arial"/>
      <w:sz w:val="24"/>
      <w:lang w:val="x-none" w:eastAsia="x-none"/>
    </w:rPr>
  </w:style>
  <w:style w:type="paragraph" w:styleId="9">
    <w:name w:val="heading 9"/>
    <w:basedOn w:val="a0"/>
    <w:next w:val="a0"/>
    <w:link w:val="9Char1"/>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unhideWhenUsed/>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qFormat/>
    <w:rPr>
      <w:rFonts w:ascii="黑体" w:eastAsia="黑体" w:hAnsi="宋体"/>
      <w:b/>
      <w:kern w:val="2"/>
      <w:sz w:val="32"/>
      <w:szCs w:val="24"/>
      <w:lang w:val="en-US" w:eastAsia="zh-CN" w:bidi="ar-SA"/>
    </w:rPr>
  </w:style>
  <w:style w:type="character" w:customStyle="1" w:styleId="2Char2">
    <w:name w:val="标题 2 Char2"/>
    <w:link w:val="2"/>
    <w:qFormat/>
    <w:rPr>
      <w:rFonts w:ascii="Arial" w:eastAsia="黑体" w:hAnsi="Arial"/>
      <w:b/>
      <w:bCs/>
      <w:kern w:val="2"/>
      <w:sz w:val="32"/>
      <w:szCs w:val="32"/>
      <w:lang w:val="en-US" w:eastAsia="zh-CN" w:bidi="ar-SA"/>
    </w:rPr>
  </w:style>
  <w:style w:type="character" w:customStyle="1" w:styleId="3Char">
    <w:name w:val="标题 3 Char"/>
    <w:link w:val="3"/>
    <w:qFormat/>
    <w:rPr>
      <w:rFonts w:ascii="黑体" w:eastAsia="黑体"/>
      <w:b/>
      <w:bCs/>
      <w:kern w:val="2"/>
      <w:sz w:val="24"/>
      <w:szCs w:val="32"/>
      <w:lang w:val="en-US" w:eastAsia="zh-CN" w:bidi="ar-SA"/>
    </w:rPr>
  </w:style>
  <w:style w:type="character" w:customStyle="1" w:styleId="4Char">
    <w:name w:val="标题 4 Char"/>
    <w:link w:val="4"/>
    <w:qFormat/>
    <w:rPr>
      <w:rFonts w:ascii="黑体" w:eastAsia="黑体" w:hAnsi="Arial"/>
      <w:b/>
      <w:bCs/>
      <w:kern w:val="2"/>
      <w:sz w:val="24"/>
      <w:szCs w:val="28"/>
      <w:lang w:val="en-US" w:eastAsia="zh-CN" w:bidi="ar-SA"/>
    </w:rPr>
  </w:style>
  <w:style w:type="character" w:customStyle="1" w:styleId="5Char2">
    <w:name w:val="标题 5 Char2"/>
    <w:link w:val="5"/>
    <w:uiPriority w:val="9"/>
    <w:rPr>
      <w:rFonts w:ascii="Times New Roman" w:hAnsi="Times New Roman" w:cs="Times New Roman"/>
      <w:b/>
      <w:bCs/>
      <w:kern w:val="2"/>
      <w:sz w:val="28"/>
      <w:szCs w:val="28"/>
    </w:rPr>
  </w:style>
  <w:style w:type="character" w:customStyle="1" w:styleId="6Char1">
    <w:name w:val="标题 6 Char1"/>
    <w:link w:val="6"/>
    <w:qFormat/>
    <w:rPr>
      <w:rFonts w:ascii="楷体_GB2312" w:eastAsia="宋体"/>
      <w:b/>
      <w:bCs/>
      <w:kern w:val="2"/>
      <w:sz w:val="32"/>
      <w:szCs w:val="24"/>
      <w:lang w:val="en-US" w:eastAsia="zh-CN" w:bidi="ar-SA"/>
    </w:rPr>
  </w:style>
  <w:style w:type="character" w:customStyle="1" w:styleId="7Char1">
    <w:name w:val="标题 7 Char1"/>
    <w:link w:val="7"/>
    <w:qFormat/>
    <w:rPr>
      <w:rFonts w:eastAsia="宋体"/>
      <w:b/>
      <w:bCs/>
      <w:kern w:val="2"/>
      <w:sz w:val="24"/>
      <w:szCs w:val="24"/>
      <w:lang w:val="en-US" w:eastAsia="zh-CN" w:bidi="ar-SA"/>
    </w:rPr>
  </w:style>
  <w:style w:type="character" w:customStyle="1" w:styleId="8Char1">
    <w:name w:val="标题 8 Char1"/>
    <w:link w:val="8"/>
    <w:qFormat/>
    <w:rPr>
      <w:rFonts w:ascii="Arial" w:eastAsia="黑体" w:hAnsi="Arial"/>
      <w:kern w:val="2"/>
      <w:sz w:val="24"/>
      <w:szCs w:val="24"/>
    </w:rPr>
  </w:style>
  <w:style w:type="character" w:customStyle="1" w:styleId="9Char1">
    <w:name w:val="标题 9 Char1"/>
    <w:link w:val="9"/>
    <w:qFormat/>
    <w:rPr>
      <w:rFonts w:ascii="Arial" w:eastAsia="黑体" w:hAnsi="Arial"/>
      <w:kern w:val="2"/>
      <w:sz w:val="21"/>
      <w:szCs w:val="21"/>
      <w:lang w:val="en-US" w:eastAsia="zh-CN" w:bidi="ar-SA"/>
    </w:rPr>
  </w:style>
  <w:style w:type="paragraph" w:styleId="a4">
    <w:name w:val="macro"/>
    <w:link w:val="Char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Char1">
    <w:name w:val="宏文本 Char1"/>
    <w:link w:val="a4"/>
    <w:rPr>
      <w:rFonts w:ascii="Courier New" w:hAnsi="Courier New" w:cs="Courier New"/>
      <w:sz w:val="24"/>
      <w:szCs w:val="24"/>
      <w:lang w:val="en-US" w:eastAsia="zh-CN" w:bidi="ar-SA"/>
    </w:rPr>
  </w:style>
  <w:style w:type="paragraph" w:styleId="30">
    <w:name w:val="List 3"/>
    <w:basedOn w:val="a0"/>
    <w:qFormat/>
    <w:pPr>
      <w:widowControl/>
      <w:ind w:left="1260" w:hanging="420"/>
      <w:jc w:val="left"/>
    </w:pPr>
    <w:rPr>
      <w:kern w:val="0"/>
      <w:sz w:val="24"/>
    </w:rPr>
  </w:style>
  <w:style w:type="paragraph" w:styleId="70">
    <w:name w:val="目录 7"/>
    <w:basedOn w:val="a0"/>
    <w:next w:val="a0"/>
    <w:uiPriority w:val="39"/>
    <w:unhideWhenUsed/>
    <w:qFormat/>
    <w:pPr>
      <w:ind w:leftChars="1200" w:left="2520"/>
    </w:pPr>
    <w:rPr>
      <w:rFonts w:ascii="等线" w:eastAsia="等线" w:hAnsi="等线"/>
      <w:szCs w:val="22"/>
    </w:rPr>
  </w:style>
  <w:style w:type="paragraph" w:styleId="20">
    <w:name w:val="List Number 2"/>
    <w:basedOn w:val="a0"/>
    <w:pPr>
      <w:numPr>
        <w:numId w:val="1"/>
      </w:numPr>
      <w:tabs>
        <w:tab w:val="left" w:pos="360"/>
        <w:tab w:val="left" w:pos="780"/>
      </w:tabs>
      <w:ind w:leftChars="200" w:left="780" w:hangingChars="200"/>
    </w:pPr>
  </w:style>
  <w:style w:type="paragraph" w:styleId="a5">
    <w:name w:val="table of authorities"/>
    <w:basedOn w:val="a0"/>
    <w:next w:val="a0"/>
    <w:qFormat/>
    <w:pPr>
      <w:ind w:leftChars="200" w:left="420"/>
    </w:pPr>
  </w:style>
  <w:style w:type="paragraph" w:styleId="a6">
    <w:name w:val="Note Heading"/>
    <w:basedOn w:val="a0"/>
    <w:next w:val="a0"/>
    <w:link w:val="Char10"/>
    <w:qFormat/>
    <w:pPr>
      <w:jc w:val="center"/>
    </w:pPr>
    <w:rPr>
      <w:rFonts w:ascii="宋体"/>
      <w:szCs w:val="20"/>
    </w:rPr>
  </w:style>
  <w:style w:type="character" w:customStyle="1" w:styleId="Char10">
    <w:name w:val="注释标题 Char1"/>
    <w:link w:val="a6"/>
    <w:qFormat/>
    <w:rPr>
      <w:rFonts w:ascii="宋体" w:eastAsia="宋体"/>
      <w:kern w:val="2"/>
      <w:sz w:val="21"/>
      <w:lang w:val="en-US" w:eastAsia="zh-CN" w:bidi="ar-SA"/>
    </w:rPr>
  </w:style>
  <w:style w:type="paragraph" w:styleId="40">
    <w:name w:val="List Bullet 4"/>
    <w:basedOn w:val="a0"/>
    <w:pPr>
      <w:tabs>
        <w:tab w:val="left" w:pos="1620"/>
      </w:tabs>
      <w:ind w:leftChars="600" w:left="1620" w:hangingChars="200" w:hanging="360"/>
    </w:pPr>
  </w:style>
  <w:style w:type="paragraph" w:styleId="80">
    <w:name w:val="index 8"/>
    <w:basedOn w:val="a0"/>
    <w:next w:val="a0"/>
    <w:qFormat/>
    <w:pPr>
      <w:ind w:leftChars="1400" w:left="1400"/>
    </w:pPr>
  </w:style>
  <w:style w:type="paragraph" w:styleId="a7">
    <w:name w:val="E-mail Signature"/>
    <w:basedOn w:val="a0"/>
    <w:link w:val="Char"/>
    <w:rPr>
      <w:lang w:val="x-none" w:eastAsia="x-none"/>
    </w:rPr>
  </w:style>
  <w:style w:type="character" w:customStyle="1" w:styleId="Char">
    <w:name w:val="电子邮件签名 Char"/>
    <w:link w:val="a7"/>
    <w:rPr>
      <w:kern w:val="2"/>
      <w:sz w:val="21"/>
      <w:szCs w:val="24"/>
    </w:rPr>
  </w:style>
  <w:style w:type="paragraph" w:styleId="a8">
    <w:name w:val="List Number"/>
    <w:basedOn w:val="a0"/>
    <w:uiPriority w:val="99"/>
    <w:qFormat/>
    <w:pPr>
      <w:tabs>
        <w:tab w:val="left" w:pos="360"/>
      </w:tabs>
      <w:ind w:left="844" w:hanging="432"/>
    </w:pPr>
    <w:rPr>
      <w:rFonts w:ascii="Calibri" w:hAnsi="Calibri"/>
      <w:szCs w:val="22"/>
    </w:rPr>
  </w:style>
  <w:style w:type="paragraph" w:styleId="a9">
    <w:name w:val="Normal Indent"/>
    <w:basedOn w:val="a0"/>
    <w:link w:val="Char0"/>
    <w:qFormat/>
    <w:pPr>
      <w:ind w:firstLine="420"/>
    </w:pPr>
    <w:rPr>
      <w:rFonts w:ascii="宋体"/>
      <w:kern w:val="0"/>
      <w:sz w:val="24"/>
      <w:szCs w:val="20"/>
    </w:rPr>
  </w:style>
  <w:style w:type="character" w:customStyle="1" w:styleId="Char0">
    <w:name w:val="正文缩进 Char"/>
    <w:link w:val="a9"/>
    <w:qFormat/>
    <w:rPr>
      <w:rFonts w:ascii="宋体" w:eastAsia="宋体"/>
      <w:sz w:val="24"/>
      <w:lang w:val="en-US" w:eastAsia="zh-CN" w:bidi="ar-SA"/>
    </w:rPr>
  </w:style>
  <w:style w:type="paragraph" w:styleId="aa">
    <w:name w:val="caption"/>
    <w:basedOn w:val="a0"/>
    <w:next w:val="a0"/>
    <w:link w:val="Char2"/>
    <w:qFormat/>
    <w:rPr>
      <w:rFonts w:ascii="Arial" w:eastAsia="黑体" w:hAnsi="Arial"/>
      <w:sz w:val="20"/>
      <w:szCs w:val="20"/>
      <w:lang w:val="x-none" w:eastAsia="x-none"/>
    </w:rPr>
  </w:style>
  <w:style w:type="character" w:customStyle="1" w:styleId="Char2">
    <w:name w:val="题注 Char"/>
    <w:link w:val="aa"/>
    <w:qFormat/>
    <w:rPr>
      <w:rFonts w:ascii="Arial" w:eastAsia="黑体" w:hAnsi="Arial" w:cs="Arial"/>
      <w:kern w:val="2"/>
    </w:rPr>
  </w:style>
  <w:style w:type="paragraph" w:styleId="50">
    <w:name w:val="index 5"/>
    <w:basedOn w:val="a0"/>
    <w:next w:val="a0"/>
    <w:qFormat/>
    <w:pPr>
      <w:ind w:leftChars="800" w:left="800"/>
    </w:pPr>
  </w:style>
  <w:style w:type="paragraph" w:styleId="ab">
    <w:name w:val="List Bullet"/>
    <w:basedOn w:val="a0"/>
    <w:next w:val="21"/>
    <w:qFormat/>
    <w:pPr>
      <w:adjustRightInd w:val="0"/>
      <w:spacing w:line="360" w:lineRule="auto"/>
      <w:jc w:val="center"/>
      <w:textAlignment w:val="baseline"/>
    </w:pPr>
    <w:rPr>
      <w:sz w:val="28"/>
      <w:szCs w:val="20"/>
    </w:rPr>
  </w:style>
  <w:style w:type="paragraph" w:styleId="21">
    <w:name w:val="List Bullet 2"/>
    <w:basedOn w:val="a0"/>
    <w:qFormat/>
    <w:pPr>
      <w:tabs>
        <w:tab w:val="left" w:pos="360"/>
      </w:tabs>
      <w:ind w:left="420" w:hanging="420"/>
    </w:pPr>
    <w:rPr>
      <w:szCs w:val="20"/>
    </w:rPr>
  </w:style>
  <w:style w:type="paragraph" w:styleId="ac">
    <w:name w:val="envelope address"/>
    <w:basedOn w:val="a0"/>
    <w:pPr>
      <w:framePr w:w="7920" w:h="1980" w:hSpace="180" w:wrap="auto" w:hAnchor="page" w:xAlign="center" w:yAlign="bottom"/>
      <w:snapToGrid w:val="0"/>
      <w:ind w:leftChars="1400" w:left="100"/>
    </w:pPr>
    <w:rPr>
      <w:rFonts w:ascii="Arial" w:hAnsi="Arial" w:cs="Arial"/>
      <w:sz w:val="24"/>
    </w:rPr>
  </w:style>
  <w:style w:type="paragraph" w:styleId="ad">
    <w:name w:val="Document Map"/>
    <w:basedOn w:val="a0"/>
    <w:link w:val="Char20"/>
    <w:qFormat/>
    <w:pPr>
      <w:shd w:val="clear" w:color="auto" w:fill="000080"/>
    </w:pPr>
  </w:style>
  <w:style w:type="character" w:customStyle="1" w:styleId="Char20">
    <w:name w:val="文档结构图 Char2"/>
    <w:link w:val="ad"/>
    <w:qFormat/>
    <w:rPr>
      <w:rFonts w:eastAsia="宋体"/>
      <w:kern w:val="2"/>
      <w:sz w:val="21"/>
      <w:szCs w:val="24"/>
      <w:lang w:val="en-US" w:eastAsia="zh-CN" w:bidi="ar-SA"/>
    </w:rPr>
  </w:style>
  <w:style w:type="paragraph" w:styleId="ae">
    <w:name w:val="toa heading"/>
    <w:basedOn w:val="a0"/>
    <w:next w:val="a0"/>
    <w:qFormat/>
    <w:pPr>
      <w:tabs>
        <w:tab w:val="left" w:pos="420"/>
      </w:tabs>
      <w:spacing w:before="240" w:after="120"/>
      <w:jc w:val="center"/>
    </w:pPr>
    <w:rPr>
      <w:smallCaps/>
      <w:sz w:val="22"/>
      <w:szCs w:val="22"/>
      <w:u w:val="single"/>
    </w:rPr>
  </w:style>
  <w:style w:type="paragraph" w:styleId="af">
    <w:name w:val="annotation text"/>
    <w:basedOn w:val="a0"/>
    <w:link w:val="Char11"/>
    <w:uiPriority w:val="99"/>
    <w:qFormat/>
    <w:pPr>
      <w:jc w:val="left"/>
    </w:pPr>
  </w:style>
  <w:style w:type="character" w:customStyle="1" w:styleId="Char11">
    <w:name w:val="批注文字 Char1"/>
    <w:link w:val="af"/>
    <w:uiPriority w:val="99"/>
    <w:qFormat/>
    <w:rPr>
      <w:rFonts w:eastAsia="宋体"/>
      <w:kern w:val="2"/>
      <w:sz w:val="21"/>
      <w:szCs w:val="24"/>
      <w:lang w:val="en-US" w:eastAsia="zh-CN" w:bidi="ar-SA"/>
    </w:rPr>
  </w:style>
  <w:style w:type="paragraph" w:styleId="60">
    <w:name w:val="index 6"/>
    <w:basedOn w:val="a0"/>
    <w:next w:val="a0"/>
    <w:qFormat/>
    <w:pPr>
      <w:ind w:leftChars="1000" w:left="1000"/>
    </w:pPr>
  </w:style>
  <w:style w:type="paragraph" w:styleId="af0">
    <w:name w:val="Salutation"/>
    <w:basedOn w:val="a0"/>
    <w:next w:val="a0"/>
    <w:link w:val="Char12"/>
    <w:qFormat/>
  </w:style>
  <w:style w:type="character" w:customStyle="1" w:styleId="Char12">
    <w:name w:val="称呼 Char1"/>
    <w:link w:val="af0"/>
    <w:qFormat/>
    <w:rPr>
      <w:rFonts w:eastAsia="宋体"/>
      <w:kern w:val="2"/>
      <w:sz w:val="21"/>
      <w:szCs w:val="24"/>
      <w:lang w:val="en-US" w:eastAsia="zh-CN" w:bidi="ar-SA"/>
    </w:rPr>
  </w:style>
  <w:style w:type="paragraph" w:styleId="31">
    <w:name w:val="Body Text 3"/>
    <w:basedOn w:val="a0"/>
    <w:link w:val="3Char1"/>
    <w:uiPriority w:val="99"/>
    <w:qFormat/>
    <w:pPr>
      <w:spacing w:line="220" w:lineRule="exact"/>
      <w:jc w:val="center"/>
    </w:pPr>
    <w:rPr>
      <w:rFonts w:ascii="宋体" w:hAnsi="宋体"/>
      <w:snapToGrid w:val="0"/>
      <w:kern w:val="0"/>
      <w:szCs w:val="20"/>
      <w:lang w:val="x-none" w:eastAsia="x-none"/>
    </w:rPr>
  </w:style>
  <w:style w:type="character" w:customStyle="1" w:styleId="3Char1">
    <w:name w:val="正文文本 3 Char1"/>
    <w:link w:val="31"/>
    <w:uiPriority w:val="99"/>
    <w:qFormat/>
    <w:rPr>
      <w:rFonts w:ascii="宋体" w:hAnsi="宋体"/>
      <w:snapToGrid w:val="0"/>
      <w:sz w:val="21"/>
    </w:rPr>
  </w:style>
  <w:style w:type="paragraph" w:styleId="af1">
    <w:name w:val="Closing"/>
    <w:basedOn w:val="a0"/>
    <w:link w:val="Char3"/>
    <w:qFormat/>
    <w:pPr>
      <w:ind w:leftChars="2100" w:left="100"/>
    </w:pPr>
    <w:rPr>
      <w:lang w:val="x-none" w:eastAsia="x-none"/>
    </w:rPr>
  </w:style>
  <w:style w:type="character" w:customStyle="1" w:styleId="Char3">
    <w:name w:val="结束语 Char"/>
    <w:link w:val="af1"/>
    <w:qFormat/>
    <w:rPr>
      <w:kern w:val="2"/>
      <w:sz w:val="21"/>
      <w:szCs w:val="24"/>
    </w:rPr>
  </w:style>
  <w:style w:type="paragraph" w:styleId="32">
    <w:name w:val="List Bullet 3"/>
    <w:basedOn w:val="a0"/>
    <w:qFormat/>
    <w:pPr>
      <w:tabs>
        <w:tab w:val="left" w:pos="1200"/>
      </w:tabs>
      <w:ind w:left="1200" w:hanging="360"/>
    </w:pPr>
  </w:style>
  <w:style w:type="paragraph" w:styleId="af2">
    <w:name w:val="Body Text"/>
    <w:basedOn w:val="a0"/>
    <w:link w:val="Char13"/>
    <w:qFormat/>
    <w:pPr>
      <w:spacing w:line="240" w:lineRule="exact"/>
      <w:jc w:val="center"/>
    </w:pPr>
    <w:rPr>
      <w:lang w:val="x-none" w:eastAsia="x-none"/>
    </w:rPr>
  </w:style>
  <w:style w:type="character" w:customStyle="1" w:styleId="Char13">
    <w:name w:val="正文文本 Char1"/>
    <w:link w:val="af2"/>
    <w:qFormat/>
    <w:rPr>
      <w:kern w:val="2"/>
      <w:sz w:val="21"/>
      <w:szCs w:val="24"/>
    </w:rPr>
  </w:style>
  <w:style w:type="paragraph" w:styleId="af3">
    <w:name w:val="Body Text Indent"/>
    <w:basedOn w:val="a0"/>
    <w:link w:val="Char4"/>
    <w:qFormat/>
    <w:pPr>
      <w:ind w:firstLine="630"/>
    </w:pPr>
    <w:rPr>
      <w:rFonts w:eastAsia="仿宋_GB2312"/>
      <w:snapToGrid w:val="0"/>
      <w:kern w:val="0"/>
      <w:sz w:val="28"/>
      <w:szCs w:val="20"/>
      <w:lang w:val="x-none" w:eastAsia="x-none"/>
    </w:rPr>
  </w:style>
  <w:style w:type="character" w:customStyle="1" w:styleId="Char4">
    <w:name w:val="正文文本缩进 Char"/>
    <w:link w:val="af3"/>
    <w:qFormat/>
    <w:rPr>
      <w:rFonts w:eastAsia="仿宋_GB2312"/>
      <w:snapToGrid w:val="0"/>
      <w:sz w:val="28"/>
    </w:rPr>
  </w:style>
  <w:style w:type="paragraph" w:styleId="33">
    <w:name w:val="List Number 3"/>
    <w:basedOn w:val="a0"/>
    <w:qFormat/>
    <w:rPr>
      <w:kern w:val="0"/>
      <w:sz w:val="24"/>
    </w:rPr>
  </w:style>
  <w:style w:type="paragraph" w:styleId="22">
    <w:name w:val="List 2"/>
    <w:basedOn w:val="a0"/>
    <w:unhideWhenUsed/>
    <w:qFormat/>
    <w:pPr>
      <w:ind w:leftChars="200" w:left="100" w:hangingChars="200" w:hanging="200"/>
      <w:contextualSpacing/>
    </w:pPr>
    <w:rPr>
      <w:rFonts w:ascii="Calibri" w:hAnsi="Calibri"/>
      <w:szCs w:val="22"/>
    </w:rPr>
  </w:style>
  <w:style w:type="paragraph" w:styleId="af4">
    <w:name w:val="List Continue"/>
    <w:basedOn w:val="a0"/>
    <w:qFormat/>
    <w:pPr>
      <w:spacing w:after="120"/>
      <w:ind w:leftChars="200" w:left="420"/>
    </w:pPr>
  </w:style>
  <w:style w:type="paragraph" w:styleId="af5">
    <w:name w:val="Block Text"/>
    <w:basedOn w:val="a0"/>
    <w:next w:val="a0"/>
    <w:qFormat/>
    <w:pPr>
      <w:ind w:left="113" w:right="113"/>
      <w:jc w:val="center"/>
    </w:pPr>
    <w:rPr>
      <w:rFonts w:ascii="宋体"/>
      <w:szCs w:val="20"/>
    </w:rPr>
  </w:style>
  <w:style w:type="paragraph" w:styleId="HTML">
    <w:name w:val="HTML Address"/>
    <w:basedOn w:val="a0"/>
    <w:link w:val="HTMLChar"/>
    <w:qFormat/>
    <w:rPr>
      <w:rFonts w:eastAsia="Times New Roman"/>
      <w:i/>
      <w:iCs/>
      <w:lang w:val="x-none" w:eastAsia="x-none"/>
    </w:rPr>
  </w:style>
  <w:style w:type="character" w:customStyle="1" w:styleId="HTMLChar">
    <w:name w:val="HTML 地址 Char"/>
    <w:link w:val="HTML"/>
    <w:qFormat/>
    <w:rPr>
      <w:rFonts w:eastAsia="Times New Roman"/>
      <w:i/>
      <w:iCs/>
      <w:kern w:val="2"/>
      <w:sz w:val="21"/>
      <w:szCs w:val="24"/>
    </w:rPr>
  </w:style>
  <w:style w:type="paragraph" w:styleId="41">
    <w:name w:val="index 4"/>
    <w:basedOn w:val="a0"/>
    <w:next w:val="a0"/>
    <w:qFormat/>
    <w:pPr>
      <w:ind w:leftChars="600" w:left="600"/>
    </w:pPr>
  </w:style>
  <w:style w:type="paragraph" w:styleId="51">
    <w:name w:val="目录 5"/>
    <w:basedOn w:val="a0"/>
    <w:next w:val="a0"/>
    <w:uiPriority w:val="39"/>
    <w:qFormat/>
    <w:pPr>
      <w:ind w:leftChars="800" w:left="1680"/>
    </w:pPr>
  </w:style>
  <w:style w:type="paragraph" w:styleId="34">
    <w:name w:val="目录 3"/>
    <w:basedOn w:val="a0"/>
    <w:next w:val="a0"/>
    <w:uiPriority w:val="39"/>
    <w:qFormat/>
    <w:pPr>
      <w:ind w:leftChars="400" w:left="840"/>
    </w:pPr>
  </w:style>
  <w:style w:type="paragraph" w:styleId="af6">
    <w:name w:val="Plain Text"/>
    <w:basedOn w:val="a0"/>
    <w:link w:val="Char5"/>
    <w:uiPriority w:val="99"/>
    <w:qFormat/>
    <w:pPr>
      <w:widowControl/>
      <w:spacing w:before="100" w:beforeAutospacing="1" w:after="100" w:afterAutospacing="1"/>
      <w:jc w:val="left"/>
    </w:pPr>
    <w:rPr>
      <w:rFonts w:ascii="宋体" w:hAnsi="宋体"/>
      <w:kern w:val="0"/>
      <w:sz w:val="24"/>
    </w:rPr>
  </w:style>
  <w:style w:type="character" w:customStyle="1" w:styleId="Char5">
    <w:name w:val="纯文本 Char"/>
    <w:link w:val="af6"/>
    <w:uiPriority w:val="99"/>
    <w:qFormat/>
    <w:rPr>
      <w:rFonts w:ascii="宋体" w:eastAsia="宋体" w:hAnsi="宋体"/>
      <w:sz w:val="24"/>
      <w:szCs w:val="24"/>
      <w:lang w:val="en-US" w:eastAsia="zh-CN" w:bidi="ar-SA"/>
    </w:rPr>
  </w:style>
  <w:style w:type="paragraph" w:styleId="52">
    <w:name w:val="List Bullet 5"/>
    <w:basedOn w:val="a0"/>
    <w:qFormat/>
    <w:pPr>
      <w:tabs>
        <w:tab w:val="left" w:pos="900"/>
      </w:tabs>
      <w:autoSpaceDE w:val="0"/>
      <w:autoSpaceDN w:val="0"/>
      <w:adjustRightInd w:val="0"/>
      <w:ind w:left="900" w:hanging="360"/>
      <w:jc w:val="left"/>
      <w:textAlignment w:val="baseline"/>
    </w:pPr>
    <w:rPr>
      <w:kern w:val="0"/>
      <w:sz w:val="20"/>
      <w:szCs w:val="20"/>
    </w:rPr>
  </w:style>
  <w:style w:type="paragraph" w:styleId="42">
    <w:name w:val="List Number 4"/>
    <w:basedOn w:val="a0"/>
    <w:pPr>
      <w:numPr>
        <w:numId w:val="2"/>
      </w:numPr>
      <w:tabs>
        <w:tab w:val="left" w:pos="1200"/>
        <w:tab w:val="left" w:pos="1620"/>
      </w:tabs>
      <w:ind w:leftChars="600" w:left="1620" w:hangingChars="200"/>
    </w:pPr>
  </w:style>
  <w:style w:type="paragraph" w:styleId="81">
    <w:name w:val="目录 8"/>
    <w:basedOn w:val="a0"/>
    <w:next w:val="a0"/>
    <w:uiPriority w:val="39"/>
    <w:unhideWhenUsed/>
    <w:qFormat/>
    <w:pPr>
      <w:ind w:leftChars="1400" w:left="2940"/>
    </w:pPr>
    <w:rPr>
      <w:rFonts w:ascii="等线" w:eastAsia="等线" w:hAnsi="等线"/>
      <w:szCs w:val="22"/>
    </w:rPr>
  </w:style>
  <w:style w:type="paragraph" w:styleId="35">
    <w:name w:val="index 3"/>
    <w:basedOn w:val="a0"/>
    <w:next w:val="a0"/>
    <w:qFormat/>
    <w:pPr>
      <w:ind w:leftChars="400" w:left="400"/>
    </w:pPr>
  </w:style>
  <w:style w:type="paragraph" w:styleId="af7">
    <w:name w:val="Date"/>
    <w:basedOn w:val="a0"/>
    <w:next w:val="a0"/>
    <w:link w:val="Char6"/>
    <w:qFormat/>
    <w:pPr>
      <w:ind w:leftChars="2500" w:left="100"/>
    </w:pPr>
    <w:rPr>
      <w:rFonts w:ascii="宋体" w:hAnsi="宋体"/>
      <w:sz w:val="24"/>
      <w:lang w:val="x-none" w:eastAsia="x-none"/>
    </w:rPr>
  </w:style>
  <w:style w:type="character" w:customStyle="1" w:styleId="Char6">
    <w:name w:val="日期 Char"/>
    <w:link w:val="af7"/>
    <w:rPr>
      <w:rFonts w:ascii="宋体" w:hAnsi="宋体"/>
      <w:kern w:val="2"/>
      <w:sz w:val="24"/>
      <w:szCs w:val="24"/>
    </w:rPr>
  </w:style>
  <w:style w:type="paragraph" w:styleId="23">
    <w:name w:val="Body Text Indent 2"/>
    <w:basedOn w:val="a0"/>
    <w:link w:val="2Char1"/>
    <w:uiPriority w:val="99"/>
    <w:qFormat/>
    <w:pPr>
      <w:keepNext/>
      <w:tabs>
        <w:tab w:val="left" w:pos="6165"/>
      </w:tabs>
      <w:spacing w:line="280" w:lineRule="exact"/>
      <w:ind w:left="1106" w:hangingChars="497" w:hanging="1106"/>
    </w:pPr>
    <w:rPr>
      <w:rFonts w:ascii="宋体" w:hAnsi="宋体"/>
      <w:lang w:val="x-none" w:eastAsia="x-none"/>
    </w:rPr>
  </w:style>
  <w:style w:type="character" w:customStyle="1" w:styleId="2Char1">
    <w:name w:val="正文文本缩进 2 Char1"/>
    <w:link w:val="23"/>
    <w:uiPriority w:val="99"/>
    <w:qFormat/>
    <w:rPr>
      <w:rFonts w:ascii="宋体" w:hAnsi="宋体"/>
      <w:kern w:val="2"/>
      <w:sz w:val="21"/>
      <w:szCs w:val="24"/>
    </w:rPr>
  </w:style>
  <w:style w:type="paragraph" w:styleId="af8">
    <w:name w:val="endnote text"/>
    <w:basedOn w:val="a0"/>
    <w:link w:val="Char7"/>
    <w:pPr>
      <w:adjustRightInd w:val="0"/>
      <w:spacing w:line="315" w:lineRule="atLeast"/>
    </w:pPr>
    <w:rPr>
      <w:rFonts w:ascii="宋体"/>
      <w:kern w:val="28"/>
      <w:sz w:val="24"/>
      <w:szCs w:val="20"/>
      <w:lang w:val="x-none" w:eastAsia="x-none"/>
    </w:rPr>
  </w:style>
  <w:style w:type="character" w:customStyle="1" w:styleId="Char7">
    <w:name w:val="尾注文本 Char"/>
    <w:link w:val="af8"/>
    <w:rPr>
      <w:rFonts w:ascii="宋体"/>
      <w:kern w:val="28"/>
      <w:sz w:val="24"/>
    </w:rPr>
  </w:style>
  <w:style w:type="paragraph" w:styleId="53">
    <w:name w:val="List Continue 5"/>
    <w:basedOn w:val="a0"/>
    <w:pPr>
      <w:spacing w:after="120"/>
      <w:ind w:leftChars="1000" w:left="2100"/>
    </w:pPr>
  </w:style>
  <w:style w:type="paragraph" w:styleId="af9">
    <w:name w:val="Balloon Text"/>
    <w:basedOn w:val="a0"/>
    <w:link w:val="Char14"/>
    <w:uiPriority w:val="99"/>
    <w:qFormat/>
    <w:pPr>
      <w:autoSpaceDE w:val="0"/>
      <w:autoSpaceDN w:val="0"/>
      <w:adjustRightInd w:val="0"/>
    </w:pPr>
    <w:rPr>
      <w:sz w:val="18"/>
      <w:szCs w:val="18"/>
      <w:lang w:val="x-none" w:eastAsia="x-none"/>
    </w:rPr>
  </w:style>
  <w:style w:type="character" w:customStyle="1" w:styleId="Char14">
    <w:name w:val="批注框文本 Char1"/>
    <w:link w:val="af9"/>
    <w:uiPriority w:val="99"/>
    <w:qFormat/>
    <w:rPr>
      <w:kern w:val="2"/>
      <w:sz w:val="18"/>
      <w:szCs w:val="18"/>
    </w:rPr>
  </w:style>
  <w:style w:type="paragraph" w:styleId="afa">
    <w:name w:val="footer"/>
    <w:basedOn w:val="a0"/>
    <w:next w:val="a0"/>
    <w:link w:val="Char15"/>
    <w:qFormat/>
    <w:pPr>
      <w:tabs>
        <w:tab w:val="center" w:pos="4153"/>
        <w:tab w:val="right" w:pos="8306"/>
      </w:tabs>
      <w:snapToGrid w:val="0"/>
      <w:jc w:val="left"/>
    </w:pPr>
    <w:rPr>
      <w:rFonts w:eastAsia="仿宋_GB2312"/>
      <w:snapToGrid w:val="0"/>
      <w:kern w:val="0"/>
      <w:sz w:val="18"/>
      <w:szCs w:val="18"/>
    </w:rPr>
  </w:style>
  <w:style w:type="character" w:customStyle="1" w:styleId="Char15">
    <w:name w:val="页脚 Char1"/>
    <w:link w:val="afa"/>
    <w:qFormat/>
    <w:rPr>
      <w:rFonts w:eastAsia="仿宋_GB2312"/>
      <w:snapToGrid w:val="0"/>
      <w:sz w:val="18"/>
      <w:szCs w:val="18"/>
      <w:lang w:val="en-US" w:eastAsia="zh-CN" w:bidi="ar-SA"/>
    </w:rPr>
  </w:style>
  <w:style w:type="paragraph" w:styleId="afb">
    <w:name w:val="envelope return"/>
    <w:basedOn w:val="a0"/>
    <w:pPr>
      <w:snapToGrid w:val="0"/>
    </w:pPr>
    <w:rPr>
      <w:rFonts w:ascii="Arial" w:hAnsi="Arial" w:cs="Arial"/>
    </w:rPr>
  </w:style>
  <w:style w:type="paragraph" w:styleId="afc">
    <w:name w:val="header"/>
    <w:basedOn w:val="a0"/>
    <w:link w:val="Char16"/>
    <w:qFormat/>
    <w:pPr>
      <w:pBdr>
        <w:bottom w:val="single" w:sz="6" w:space="1" w:color="auto"/>
      </w:pBdr>
      <w:tabs>
        <w:tab w:val="center" w:pos="4153"/>
        <w:tab w:val="right" w:pos="8306"/>
      </w:tabs>
      <w:snapToGrid w:val="0"/>
      <w:jc w:val="center"/>
    </w:pPr>
    <w:rPr>
      <w:rFonts w:eastAsia="仿宋_GB2312"/>
      <w:snapToGrid w:val="0"/>
      <w:kern w:val="0"/>
      <w:sz w:val="18"/>
      <w:szCs w:val="20"/>
    </w:rPr>
  </w:style>
  <w:style w:type="character" w:customStyle="1" w:styleId="Char16">
    <w:name w:val="页眉 Char1"/>
    <w:link w:val="afc"/>
    <w:qFormat/>
    <w:rPr>
      <w:rFonts w:eastAsia="仿宋_GB2312"/>
      <w:snapToGrid w:val="0"/>
      <w:sz w:val="18"/>
      <w:lang w:val="en-US" w:eastAsia="zh-CN" w:bidi="ar-SA"/>
    </w:rPr>
  </w:style>
  <w:style w:type="paragraph" w:styleId="afd">
    <w:name w:val="Signature"/>
    <w:basedOn w:val="a0"/>
    <w:link w:val="Char8"/>
    <w:pPr>
      <w:ind w:leftChars="2100" w:left="100"/>
    </w:pPr>
    <w:rPr>
      <w:lang w:val="x-none" w:eastAsia="x-none"/>
    </w:rPr>
  </w:style>
  <w:style w:type="character" w:customStyle="1" w:styleId="Char8">
    <w:name w:val="签名 Char"/>
    <w:link w:val="afd"/>
    <w:rPr>
      <w:kern w:val="2"/>
      <w:sz w:val="21"/>
      <w:szCs w:val="24"/>
    </w:rPr>
  </w:style>
  <w:style w:type="paragraph" w:styleId="10">
    <w:name w:val="目录 1"/>
    <w:basedOn w:val="a0"/>
    <w:next w:val="a0"/>
    <w:link w:val="1Char0"/>
    <w:uiPriority w:val="39"/>
    <w:qFormat/>
    <w:pPr>
      <w:spacing w:before="120" w:after="120"/>
      <w:jc w:val="left"/>
    </w:pPr>
    <w:rPr>
      <w:b/>
      <w:bCs/>
      <w:caps/>
      <w:sz w:val="20"/>
      <w:szCs w:val="20"/>
      <w:lang w:val="x-none" w:eastAsia="x-none"/>
    </w:rPr>
  </w:style>
  <w:style w:type="character" w:customStyle="1" w:styleId="1Char0">
    <w:name w:val="目录 1 Char"/>
    <w:link w:val="10"/>
    <w:uiPriority w:val="39"/>
    <w:qFormat/>
    <w:rPr>
      <w:b/>
      <w:bCs/>
      <w:caps/>
      <w:kern w:val="2"/>
    </w:rPr>
  </w:style>
  <w:style w:type="paragraph" w:styleId="43">
    <w:name w:val="List Continue 4"/>
    <w:basedOn w:val="a0"/>
    <w:pPr>
      <w:spacing w:after="120"/>
      <w:ind w:leftChars="800" w:left="1680"/>
    </w:pPr>
  </w:style>
  <w:style w:type="paragraph" w:styleId="44">
    <w:name w:val="目录 4"/>
    <w:basedOn w:val="a0"/>
    <w:next w:val="a0"/>
    <w:uiPriority w:val="39"/>
    <w:unhideWhenUsed/>
    <w:qFormat/>
    <w:pPr>
      <w:ind w:leftChars="600" w:left="1260"/>
    </w:pPr>
    <w:rPr>
      <w:rFonts w:ascii="等线" w:eastAsia="等线" w:hAnsi="等线"/>
      <w:szCs w:val="22"/>
    </w:rPr>
  </w:style>
  <w:style w:type="paragraph" w:styleId="afe">
    <w:name w:val="index heading"/>
    <w:basedOn w:val="a0"/>
    <w:next w:val="11"/>
    <w:qFormat/>
  </w:style>
  <w:style w:type="paragraph" w:styleId="11">
    <w:name w:val="index 1"/>
    <w:basedOn w:val="a0"/>
    <w:next w:val="a0"/>
    <w:qFormat/>
    <w:pPr>
      <w:suppressAutoHyphens/>
      <w:adjustRightInd w:val="0"/>
      <w:spacing w:line="288" w:lineRule="auto"/>
    </w:pPr>
    <w:rPr>
      <w:kern w:val="28"/>
      <w:sz w:val="24"/>
      <w:szCs w:val="20"/>
    </w:rPr>
  </w:style>
  <w:style w:type="paragraph" w:styleId="aff">
    <w:name w:val="Subtitle"/>
    <w:basedOn w:val="a0"/>
    <w:next w:val="a0"/>
    <w:link w:val="Char9"/>
    <w:uiPriority w:val="11"/>
    <w:qFormat/>
    <w:pPr>
      <w:spacing w:before="240" w:after="60" w:line="312" w:lineRule="auto"/>
      <w:jc w:val="center"/>
      <w:outlineLvl w:val="1"/>
    </w:pPr>
    <w:rPr>
      <w:rFonts w:ascii="Calibri" w:hAnsi="Calibri"/>
      <w:b/>
      <w:bCs/>
      <w:kern w:val="28"/>
      <w:sz w:val="32"/>
      <w:szCs w:val="32"/>
      <w:lang w:val="x-none" w:eastAsia="x-none"/>
    </w:rPr>
  </w:style>
  <w:style w:type="character" w:customStyle="1" w:styleId="Char9">
    <w:name w:val="副标题 Char"/>
    <w:link w:val="aff"/>
    <w:uiPriority w:val="11"/>
    <w:qFormat/>
    <w:rPr>
      <w:rFonts w:ascii="Calibri" w:hAnsi="Calibri"/>
      <w:b/>
      <w:bCs/>
      <w:kern w:val="28"/>
      <w:sz w:val="32"/>
      <w:szCs w:val="32"/>
    </w:rPr>
  </w:style>
  <w:style w:type="paragraph" w:styleId="54">
    <w:name w:val="List Number 5"/>
    <w:basedOn w:val="a0"/>
    <w:pPr>
      <w:numPr>
        <w:numId w:val="3"/>
      </w:numPr>
      <w:tabs>
        <w:tab w:val="left" w:pos="1620"/>
        <w:tab w:val="left" w:pos="2040"/>
      </w:tabs>
      <w:ind w:leftChars="800" w:left="2040" w:hangingChars="200"/>
    </w:pPr>
  </w:style>
  <w:style w:type="paragraph" w:styleId="aff0">
    <w:name w:val="List"/>
    <w:basedOn w:val="a0"/>
    <w:link w:val="Chara"/>
    <w:qFormat/>
    <w:pPr>
      <w:ind w:left="200" w:hangingChars="200" w:hanging="200"/>
    </w:pPr>
    <w:rPr>
      <w:szCs w:val="20"/>
      <w:lang w:val="x-none" w:eastAsia="x-none"/>
    </w:rPr>
  </w:style>
  <w:style w:type="character" w:customStyle="1" w:styleId="Chara">
    <w:name w:val="列表 Char"/>
    <w:link w:val="aff0"/>
    <w:qFormat/>
    <w:rPr>
      <w:kern w:val="2"/>
      <w:sz w:val="21"/>
    </w:rPr>
  </w:style>
  <w:style w:type="paragraph" w:styleId="aff1">
    <w:name w:val="footnote text"/>
    <w:basedOn w:val="a0"/>
    <w:link w:val="Charb"/>
    <w:qFormat/>
    <w:pPr>
      <w:adjustRightInd w:val="0"/>
      <w:spacing w:line="315" w:lineRule="atLeast"/>
    </w:pPr>
    <w:rPr>
      <w:rFonts w:ascii="宋体"/>
      <w:kern w:val="0"/>
      <w:sz w:val="24"/>
      <w:szCs w:val="20"/>
      <w:lang w:val="x-none" w:eastAsia="x-none"/>
    </w:rPr>
  </w:style>
  <w:style w:type="character" w:customStyle="1" w:styleId="Charb">
    <w:name w:val="脚注文本 Char"/>
    <w:link w:val="aff1"/>
    <w:qFormat/>
    <w:rPr>
      <w:rFonts w:ascii="宋体"/>
      <w:sz w:val="24"/>
    </w:rPr>
  </w:style>
  <w:style w:type="paragraph" w:styleId="61">
    <w:name w:val="目录 6"/>
    <w:basedOn w:val="a0"/>
    <w:next w:val="a0"/>
    <w:uiPriority w:val="39"/>
    <w:unhideWhenUsed/>
    <w:qFormat/>
    <w:pPr>
      <w:ind w:leftChars="1000" w:left="2100"/>
    </w:pPr>
    <w:rPr>
      <w:rFonts w:ascii="等线" w:eastAsia="等线" w:hAnsi="等线"/>
      <w:szCs w:val="22"/>
    </w:rPr>
  </w:style>
  <w:style w:type="paragraph" w:styleId="55">
    <w:name w:val="List 5"/>
    <w:basedOn w:val="a0"/>
    <w:pPr>
      <w:tabs>
        <w:tab w:val="left" w:pos="360"/>
      </w:tabs>
      <w:spacing w:line="288" w:lineRule="auto"/>
      <w:ind w:leftChars="800" w:left="100" w:hangingChars="200" w:hanging="200"/>
    </w:pPr>
    <w:rPr>
      <w:kern w:val="21"/>
      <w:szCs w:val="20"/>
    </w:rPr>
  </w:style>
  <w:style w:type="paragraph" w:styleId="36">
    <w:name w:val="Body Text Indent 3"/>
    <w:basedOn w:val="a0"/>
    <w:link w:val="3Char10"/>
    <w:uiPriority w:val="99"/>
    <w:qFormat/>
    <w:pPr>
      <w:adjustRightInd w:val="0"/>
      <w:snapToGrid w:val="0"/>
      <w:spacing w:line="420" w:lineRule="exact"/>
      <w:ind w:firstLine="573"/>
    </w:pPr>
    <w:rPr>
      <w:rFonts w:ascii="宋体" w:hAnsi="宋体"/>
      <w:sz w:val="24"/>
      <w:lang w:val="x-none" w:eastAsia="x-none"/>
    </w:rPr>
  </w:style>
  <w:style w:type="character" w:customStyle="1" w:styleId="3Char10">
    <w:name w:val="正文文本缩进 3 Char1"/>
    <w:link w:val="36"/>
    <w:uiPriority w:val="99"/>
    <w:qFormat/>
    <w:rPr>
      <w:rFonts w:ascii="宋体" w:hAnsi="宋体"/>
      <w:kern w:val="2"/>
      <w:sz w:val="24"/>
      <w:szCs w:val="24"/>
    </w:rPr>
  </w:style>
  <w:style w:type="paragraph" w:styleId="71">
    <w:name w:val="index 7"/>
    <w:basedOn w:val="a0"/>
    <w:next w:val="a0"/>
    <w:qFormat/>
    <w:pPr>
      <w:ind w:leftChars="1200" w:left="1200"/>
    </w:pPr>
  </w:style>
  <w:style w:type="paragraph" w:styleId="90">
    <w:name w:val="index 9"/>
    <w:basedOn w:val="a0"/>
    <w:next w:val="a0"/>
    <w:qFormat/>
    <w:pPr>
      <w:ind w:leftChars="1600" w:left="1600"/>
    </w:pPr>
  </w:style>
  <w:style w:type="paragraph" w:styleId="aff2">
    <w:name w:val="table of figures"/>
    <w:basedOn w:val="a0"/>
    <w:next w:val="a0"/>
    <w:uiPriority w:val="99"/>
    <w:qFormat/>
    <w:pPr>
      <w:adjustRightInd w:val="0"/>
      <w:ind w:leftChars="200" w:left="840" w:hangingChars="200" w:hanging="420"/>
      <w:textAlignment w:val="baseline"/>
    </w:pPr>
    <w:rPr>
      <w:sz w:val="24"/>
      <w:szCs w:val="20"/>
    </w:rPr>
  </w:style>
  <w:style w:type="paragraph" w:styleId="24">
    <w:name w:val="目录 2"/>
    <w:basedOn w:val="a0"/>
    <w:next w:val="a0"/>
    <w:uiPriority w:val="39"/>
    <w:qFormat/>
    <w:pPr>
      <w:ind w:leftChars="200" w:left="420"/>
    </w:pPr>
  </w:style>
  <w:style w:type="paragraph" w:styleId="91">
    <w:name w:val="目录 9"/>
    <w:basedOn w:val="a0"/>
    <w:next w:val="a0"/>
    <w:uiPriority w:val="39"/>
    <w:unhideWhenUsed/>
    <w:qFormat/>
    <w:pPr>
      <w:ind w:leftChars="1600" w:left="3360"/>
    </w:pPr>
    <w:rPr>
      <w:rFonts w:ascii="等线" w:eastAsia="等线" w:hAnsi="等线"/>
      <w:szCs w:val="22"/>
    </w:rPr>
  </w:style>
  <w:style w:type="paragraph" w:styleId="25">
    <w:name w:val="Body Text 2"/>
    <w:basedOn w:val="a0"/>
    <w:link w:val="2Char20"/>
    <w:qFormat/>
    <w:pPr>
      <w:jc w:val="center"/>
    </w:pPr>
    <w:rPr>
      <w:rFonts w:ascii="宋体" w:hAnsi="宋体"/>
      <w:color w:val="000000"/>
      <w:kern w:val="0"/>
      <w:szCs w:val="20"/>
      <w:lang w:val="x-none" w:eastAsia="x-none"/>
    </w:rPr>
  </w:style>
  <w:style w:type="character" w:customStyle="1" w:styleId="2Char20">
    <w:name w:val="正文文本 2 Char2"/>
    <w:link w:val="25"/>
    <w:rPr>
      <w:rFonts w:ascii="宋体" w:hAnsi="宋体"/>
      <w:color w:val="000000"/>
      <w:sz w:val="21"/>
    </w:rPr>
  </w:style>
  <w:style w:type="paragraph" w:styleId="45">
    <w:name w:val="List 4"/>
    <w:basedOn w:val="a0"/>
    <w:qFormat/>
    <w:pPr>
      <w:ind w:leftChars="600" w:left="100" w:hangingChars="200" w:hanging="200"/>
    </w:pPr>
    <w:rPr>
      <w:szCs w:val="20"/>
    </w:rPr>
  </w:style>
  <w:style w:type="paragraph" w:styleId="26">
    <w:name w:val="List Continue 2"/>
    <w:basedOn w:val="a0"/>
    <w:qFormat/>
    <w:pPr>
      <w:spacing w:after="120"/>
      <w:ind w:leftChars="400" w:left="840"/>
    </w:pPr>
  </w:style>
  <w:style w:type="paragraph" w:styleId="aff3">
    <w:name w:val="Message Header"/>
    <w:basedOn w:val="a0"/>
    <w:link w:val="Charc"/>
    <w:qFormat/>
    <w:pPr>
      <w:pBdr>
        <w:top w:val="single" w:sz="6" w:space="1" w:color="auto"/>
        <w:left w:val="single" w:sz="6" w:space="1" w:color="auto"/>
        <w:bottom w:val="single" w:sz="6" w:space="1" w:color="auto"/>
        <w:right w:val="single" w:sz="6" w:space="1" w:color="auto"/>
      </w:pBdr>
      <w:shd w:val="pct20" w:color="auto" w:fill="auto"/>
      <w:spacing w:before="120" w:after="120" w:line="240" w:lineRule="atLeast"/>
      <w:ind w:leftChars="500" w:left="1080" w:hangingChars="500" w:hanging="1080"/>
    </w:pPr>
    <w:rPr>
      <w:rFonts w:ascii="Arial" w:eastAsia="Times New Roman" w:hAnsi="Arial"/>
      <w:sz w:val="24"/>
      <w:shd w:val="pct20" w:color="auto" w:fill="auto"/>
      <w:lang w:val="x-none" w:eastAsia="x-none"/>
    </w:rPr>
  </w:style>
  <w:style w:type="character" w:customStyle="1" w:styleId="Charc">
    <w:name w:val="信息标题 Char"/>
    <w:link w:val="aff3"/>
    <w:qFormat/>
    <w:rPr>
      <w:rFonts w:ascii="Arial" w:eastAsia="Times New Roman" w:hAnsi="Arial"/>
      <w:kern w:val="2"/>
      <w:sz w:val="24"/>
      <w:szCs w:val="24"/>
      <w:shd w:val="pct20" w:color="auto" w:fill="auto"/>
    </w:rPr>
  </w:style>
  <w:style w:type="paragraph" w:styleId="HTML0">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1">
    <w:name w:val="HTML 预设格式 Char1"/>
    <w:link w:val="HTML0"/>
    <w:qFormat/>
    <w:rPr>
      <w:rFonts w:ascii="宋体" w:hAnsi="宋体" w:cs="宋体"/>
      <w:sz w:val="24"/>
      <w:szCs w:val="24"/>
    </w:rPr>
  </w:style>
  <w:style w:type="paragraph" w:styleId="aff4">
    <w:name w:val="Normal (Web)"/>
    <w:basedOn w:val="a0"/>
    <w:link w:val="Chard"/>
    <w:qFormat/>
    <w:pPr>
      <w:widowControl/>
      <w:spacing w:before="100" w:beforeAutospacing="1" w:after="100" w:afterAutospacing="1"/>
      <w:jc w:val="left"/>
    </w:pPr>
    <w:rPr>
      <w:rFonts w:ascii="宋体" w:hAnsi="宋体"/>
      <w:kern w:val="0"/>
      <w:sz w:val="24"/>
      <w:lang w:val="x-none" w:eastAsia="x-none"/>
    </w:rPr>
  </w:style>
  <w:style w:type="character" w:customStyle="1" w:styleId="Chard">
    <w:name w:val="普通(网站) Char"/>
    <w:link w:val="aff4"/>
    <w:rPr>
      <w:rFonts w:ascii="宋体" w:hAnsi="宋体"/>
      <w:sz w:val="24"/>
      <w:szCs w:val="24"/>
    </w:rPr>
  </w:style>
  <w:style w:type="paragraph" w:styleId="37">
    <w:name w:val="List Continue 3"/>
    <w:basedOn w:val="a0"/>
    <w:qFormat/>
    <w:pPr>
      <w:spacing w:after="120"/>
      <w:ind w:leftChars="600" w:left="1260"/>
    </w:pPr>
    <w:rPr>
      <w:szCs w:val="20"/>
    </w:rPr>
  </w:style>
  <w:style w:type="paragraph" w:styleId="27">
    <w:name w:val="index 2"/>
    <w:basedOn w:val="a0"/>
    <w:next w:val="a0"/>
    <w:qFormat/>
    <w:pPr>
      <w:ind w:leftChars="200" w:left="200"/>
    </w:pPr>
  </w:style>
  <w:style w:type="paragraph" w:styleId="aff5">
    <w:name w:val="Title"/>
    <w:basedOn w:val="a0"/>
    <w:link w:val="Char17"/>
    <w:uiPriority w:val="10"/>
    <w:qFormat/>
    <w:pPr>
      <w:spacing w:before="240" w:after="60"/>
      <w:jc w:val="center"/>
      <w:outlineLvl w:val="0"/>
    </w:pPr>
    <w:rPr>
      <w:rFonts w:ascii="Arial" w:hAnsi="Arial"/>
      <w:b/>
      <w:bCs/>
      <w:sz w:val="32"/>
      <w:szCs w:val="32"/>
      <w:lang w:val="x-none" w:eastAsia="x-none"/>
    </w:rPr>
  </w:style>
  <w:style w:type="character" w:customStyle="1" w:styleId="Char17">
    <w:name w:val="标题 Char1"/>
    <w:link w:val="aff5"/>
    <w:uiPriority w:val="10"/>
    <w:rPr>
      <w:rFonts w:ascii="Arial" w:hAnsi="Arial" w:cs="Arial"/>
      <w:b/>
      <w:bCs/>
      <w:kern w:val="2"/>
      <w:sz w:val="32"/>
      <w:szCs w:val="32"/>
    </w:rPr>
  </w:style>
  <w:style w:type="paragraph" w:styleId="aff6">
    <w:name w:val="annotation subject"/>
    <w:basedOn w:val="af"/>
    <w:next w:val="af"/>
    <w:link w:val="Char18"/>
    <w:uiPriority w:val="99"/>
    <w:qFormat/>
    <w:rPr>
      <w:b/>
      <w:bCs/>
      <w:lang w:val="x-none" w:eastAsia="x-none"/>
    </w:rPr>
  </w:style>
  <w:style w:type="character" w:customStyle="1" w:styleId="Char18">
    <w:name w:val="批注主题 Char1"/>
    <w:link w:val="aff6"/>
    <w:uiPriority w:val="99"/>
    <w:qFormat/>
    <w:rPr>
      <w:b/>
      <w:bCs/>
      <w:kern w:val="2"/>
      <w:sz w:val="21"/>
      <w:szCs w:val="24"/>
    </w:rPr>
  </w:style>
  <w:style w:type="paragraph" w:styleId="aff7">
    <w:name w:val="正文首行缩进"/>
    <w:basedOn w:val="af2"/>
    <w:link w:val="Chare"/>
    <w:unhideWhenUsed/>
    <w:qFormat/>
    <w:pPr>
      <w:spacing w:after="120" w:line="240" w:lineRule="auto"/>
      <w:ind w:firstLineChars="100" w:firstLine="420"/>
      <w:jc w:val="both"/>
    </w:pPr>
  </w:style>
  <w:style w:type="character" w:customStyle="1" w:styleId="Chare">
    <w:name w:val="正文首行缩进 Char"/>
    <w:link w:val="aff7"/>
  </w:style>
  <w:style w:type="paragraph" w:styleId="28">
    <w:name w:val="正文首行缩进 2"/>
    <w:basedOn w:val="af3"/>
    <w:next w:val="a0"/>
    <w:link w:val="2Char10"/>
    <w:uiPriority w:val="99"/>
    <w:unhideWhenUsed/>
    <w:qFormat/>
    <w:pPr>
      <w:spacing w:after="120"/>
      <w:ind w:leftChars="200" w:left="420" w:firstLineChars="200" w:firstLine="420"/>
    </w:pPr>
    <w:rPr>
      <w:rFonts w:ascii="Calibri" w:hAnsi="Calibri"/>
      <w:snapToGrid/>
      <w:kern w:val="2"/>
      <w:sz w:val="21"/>
      <w:szCs w:val="22"/>
    </w:rPr>
  </w:style>
  <w:style w:type="character" w:customStyle="1" w:styleId="2Char10">
    <w:name w:val="正文首行缩进 2 Char1"/>
    <w:link w:val="28"/>
    <w:uiPriority w:val="99"/>
    <w:qFormat/>
    <w:rPr>
      <w:rFonts w:ascii="Calibri" w:eastAsia="仿宋_GB2312" w:hAnsi="Calibri"/>
      <w:snapToGrid/>
      <w:kern w:val="2"/>
      <w:sz w:val="21"/>
      <w:szCs w:val="22"/>
    </w:rPr>
  </w:style>
  <w:style w:type="table" w:styleId="aff8">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Theme"/>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2"/>
    <w:pPr>
      <w:widowControl w:val="0"/>
      <w:spacing w:line="360" w:lineRule="auto"/>
      <w:outlineLv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9">
    <w:name w:val="Table Colorful 2"/>
    <w:basedOn w:val="a2"/>
    <w:pPr>
      <w:widowControl w:val="0"/>
      <w:spacing w:line="360" w:lineRule="auto"/>
      <w:outlineLvl w:val="0"/>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8">
    <w:name w:val="Table Colorful 3"/>
    <w:basedOn w:val="a2"/>
    <w:pPr>
      <w:widowControl w:val="0"/>
      <w:spacing w:line="360" w:lineRule="auto"/>
      <w:outlineLv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a">
    <w:name w:val="Table Elegant"/>
    <w:basedOn w:val="a2"/>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2"/>
    <w:pPr>
      <w:widowControl w:val="0"/>
      <w:spacing w:line="360" w:lineRule="auto"/>
      <w:outlineLvl w:val="0"/>
    </w:pPr>
    <w:tblPr>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a">
    <w:name w:val="Table Classic 2"/>
    <w:basedOn w:val="a2"/>
    <w:pPr>
      <w:widowControl w:val="0"/>
      <w:spacing w:line="360" w:lineRule="auto"/>
      <w:outlineLvl w:val="0"/>
    </w:pPr>
    <w:tblPr>
      <w:tblBorders>
        <w:top w:val="single" w:sz="12" w:space="0" w:color="000000"/>
        <w:bottom w:val="single" w:sz="12" w:space="0" w:color="000000"/>
      </w:tblBorders>
    </w:tbl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9">
    <w:name w:val="Table Classic 3"/>
    <w:basedOn w:val="a2"/>
    <w:pPr>
      <w:widowControl w:val="0"/>
      <w:spacing w:line="360" w:lineRule="auto"/>
      <w:outlineLv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6">
    <w:name w:val="Table Classic 4"/>
    <w:basedOn w:val="a2"/>
    <w:pPr>
      <w:widowControl w:val="0"/>
      <w:spacing w:line="360" w:lineRule="auto"/>
      <w:outlineLvl w:val="0"/>
    </w:p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Simple 1"/>
    <w:basedOn w:val="a2"/>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b">
    <w:name w:val="Table Simple 2"/>
    <w:basedOn w:val="a2"/>
    <w:pPr>
      <w:widowControl w:val="0"/>
      <w:spacing w:line="360" w:lineRule="auto"/>
      <w:outlineLvl w:val="0"/>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a">
    <w:name w:val="Table Simple 3"/>
    <w:basedOn w:val="a2"/>
    <w:pPr>
      <w:widowControl w:val="0"/>
      <w:spacing w:line="360" w:lineRule="auto"/>
      <w:outlineLvl w:val="0"/>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2"/>
    <w:pPr>
      <w:widowControl w:val="0"/>
      <w:spacing w:line="360" w:lineRule="auto"/>
      <w:outlineLvl w:val="0"/>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c">
    <w:name w:val="Table Subtle 2"/>
    <w:basedOn w:val="a2"/>
    <w:pPr>
      <w:widowControl w:val="0"/>
      <w:spacing w:line="360" w:lineRule="auto"/>
      <w:outlineLvl w:val="0"/>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立体型 1"/>
    <w:basedOn w:val="a2"/>
    <w:uiPriority w:val="99"/>
    <w:pPr>
      <w:widowControl w:val="0"/>
      <w:spacing w:line="360" w:lineRule="auto"/>
      <w:outlineLvl w:val="0"/>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d">
    <w:name w:val="立体型 2"/>
    <w:basedOn w:val="a2"/>
    <w:uiPriority w:val="99"/>
    <w:pPr>
      <w:widowControl w:val="0"/>
      <w:spacing w:line="360" w:lineRule="auto"/>
      <w:outlineLvl w:val="0"/>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立体型 3"/>
    <w:basedOn w:val="a2"/>
    <w:uiPriority w:val="99"/>
    <w:pPr>
      <w:widowControl w:val="0"/>
      <w:spacing w:line="360" w:lineRule="auto"/>
      <w:outlineLvl w:val="0"/>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List 1"/>
    <w:basedOn w:val="a2"/>
    <w:pPr>
      <w:widowControl w:val="0"/>
      <w:spacing w:line="360" w:lineRule="auto"/>
      <w:outlineLv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e">
    <w:name w:val="Table List 2"/>
    <w:basedOn w:val="a2"/>
    <w:pPr>
      <w:widowControl w:val="0"/>
      <w:spacing w:line="360" w:lineRule="auto"/>
      <w:outlineLvl w:val="0"/>
    </w:pPr>
    <w:tblPr>
      <w:tblStyleRowBandSize w:val="2"/>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List 3"/>
    <w:basedOn w:val="a2"/>
    <w:pPr>
      <w:widowControl w:val="0"/>
      <w:jc w:val="both"/>
    </w:pPr>
    <w:tblPr>
      <w:tblBorders>
        <w:top w:val="single" w:sz="4" w:space="0" w:color="auto"/>
        <w:bottom w:val="single" w:sz="4" w:space="0" w:color="auto"/>
        <w:insideH w:val="single" w:sz="4" w:space="0" w:color="auto"/>
        <w:insideV w:val="single" w:sz="4" w:space="0" w:color="auto"/>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7">
    <w:name w:val="Table List 4"/>
    <w:basedOn w:val="a2"/>
    <w:pPr>
      <w:widowControl w:val="0"/>
      <w:spacing w:line="360" w:lineRule="auto"/>
      <w:outlineLvl w:val="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6">
    <w:name w:val="Table List 5"/>
    <w:basedOn w:val="a2"/>
    <w:pPr>
      <w:widowControl w:val="0"/>
      <w:spacing w:line="360" w:lineRule="auto"/>
      <w:outlineLvl w:val="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2">
    <w:name w:val="Table List 6"/>
    <w:basedOn w:val="a2"/>
    <w:pPr>
      <w:widowControl w:val="0"/>
      <w:spacing w:line="360" w:lineRule="auto"/>
      <w:outlineLv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List 7"/>
    <w:basedOn w:val="a2"/>
    <w:pPr>
      <w:widowControl w:val="0"/>
      <w:spacing w:line="360" w:lineRule="auto"/>
      <w:outlineLv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2"/>
    <w:pPr>
      <w:widowControl w:val="0"/>
      <w:spacing w:line="360" w:lineRule="auto"/>
      <w:outlineLv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b">
    <w:name w:val="Table Contemporary"/>
    <w:basedOn w:val="a2"/>
    <w:pPr>
      <w:widowControl w:val="0"/>
      <w:spacing w:line="360" w:lineRule="auto"/>
      <w:outlineLvl w:val="0"/>
    </w:pPr>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2"/>
    <w:pPr>
      <w:widowControl w:val="0"/>
      <w:spacing w:line="360" w:lineRule="auto"/>
      <w:outlineLv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
    <w:name w:val="Table Columns 2"/>
    <w:basedOn w:val="a2"/>
    <w:pPr>
      <w:widowControl w:val="0"/>
      <w:spacing w:line="360" w:lineRule="auto"/>
      <w:outlineLvl w:val="0"/>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Columns 3"/>
    <w:basedOn w:val="a2"/>
    <w:pPr>
      <w:widowControl w:val="0"/>
      <w:spacing w:line="360" w:lineRule="auto"/>
      <w:outlineLv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8">
    <w:name w:val="Table Columns 4"/>
    <w:basedOn w:val="a2"/>
    <w:pPr>
      <w:widowControl w:val="0"/>
      <w:spacing w:line="360" w:lineRule="auto"/>
      <w:outlineLvl w:val="0"/>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2"/>
    <w:pPr>
      <w:widowControl w:val="0"/>
      <w:spacing w:line="360" w:lineRule="auto"/>
      <w:outlineLv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2"/>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0">
    <w:name w:val="Table Grid 2"/>
    <w:basedOn w:val="a2"/>
    <w:pPr>
      <w:widowControl w:val="0"/>
      <w:spacing w:line="360" w:lineRule="auto"/>
      <w:outlineLvl w:val="0"/>
    </w:pPr>
    <w:tblPr>
      <w:tblBorders>
        <w:insideH w:val="single" w:sz="6" w:space="0" w:color="000000"/>
        <w:insideV w:val="single" w:sz="6" w:space="0" w:color="000000"/>
      </w:tblBorders>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e">
    <w:name w:val="Table Grid 3"/>
    <w:basedOn w:val="a2"/>
    <w:pPr>
      <w:widowControl w:val="0"/>
      <w:spacing w:line="360" w:lineRule="auto"/>
      <w:outlineLvl w:val="0"/>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9">
    <w:name w:val="Table Grid 4"/>
    <w:basedOn w:val="a2"/>
    <w:qFormat/>
    <w:pPr>
      <w:widowControl w:val="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top w:val="nil"/>
          <w:left w:val="single" w:sz="6" w:space="0" w:color="000000"/>
          <w:bottom w:val="nil"/>
          <w:right w:val="nil"/>
          <w:insideH w:val="nil"/>
          <w:insideV w:val="nil"/>
          <w:tl2br w:val="nil"/>
          <w:tr2bl w:val="nil"/>
        </w:tcBorders>
        <w:shd w:val="pct30" w:color="FFFF00" w:fill="FFFFFF"/>
      </w:tcPr>
    </w:tblStylePr>
    <w:tblStylePr w:type="lastRow">
      <w:rPr>
        <w:rFonts w:cs="Times New Roman"/>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58">
    <w:name w:val="Table Grid 5"/>
    <w:basedOn w:val="a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3">
    <w:name w:val="Table Grid 6"/>
    <w:basedOn w:val="a2"/>
    <w:pPr>
      <w:widowControl w:val="0"/>
      <w:spacing w:line="360" w:lineRule="auto"/>
      <w:outlineLvl w:val="0"/>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2"/>
    <w:pPr>
      <w:widowControl w:val="0"/>
      <w:spacing w:line="360" w:lineRule="auto"/>
      <w:outlineLv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2"/>
    <w:pPr>
      <w:widowControl w:val="0"/>
      <w:spacing w:line="360" w:lineRule="auto"/>
      <w:outlineLv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a">
    <w:name w:val="Table Web 1"/>
    <w:basedOn w:val="a2"/>
    <w:pPr>
      <w:widowControl w:val="0"/>
      <w:spacing w:line="360" w:lineRule="auto"/>
      <w:outlineLv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styleId="2f1">
    <w:name w:val="Table Web 2"/>
    <w:basedOn w:val="a2"/>
    <w:pPr>
      <w:widowControl w:val="0"/>
      <w:spacing w:line="360" w:lineRule="auto"/>
      <w:outlineLv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styleId="3f">
    <w:name w:val="Table Web 3"/>
    <w:basedOn w:val="a2"/>
    <w:pPr>
      <w:widowControl w:val="0"/>
      <w:spacing w:line="360" w:lineRule="auto"/>
      <w:outlineLv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styleId="affc">
    <w:name w:val="Table Professional"/>
    <w:basedOn w:val="a2"/>
    <w:pPr>
      <w:widowControl w:val="0"/>
      <w:spacing w:line="360" w:lineRule="auto"/>
      <w:ind w:firstLineChars="200" w:firstLine="20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2">
    <w:name w:val="浅色底纹 - 强调文字颜色 2"/>
    <w:basedOn w:val="a2"/>
    <w:uiPriority w:val="60"/>
    <w:rPr>
      <w:rFonts w:ascii="Calibri" w:hAnsi="Calibri"/>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l2br w:val="nil"/>
          <w:tr2bl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style>
  <w:style w:type="table" w:styleId="-3">
    <w:name w:val="浅色底纹 - 强调文字颜色 3"/>
    <w:basedOn w:val="a2"/>
    <w:uiPriority w:val="60"/>
    <w:rPr>
      <w:rFonts w:ascii="Calibri" w:hAnsi="Calibri"/>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l2br w:val="nil"/>
          <w:tr2bl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table" w:styleId="-4">
    <w:name w:val="浅色底纹 - 强调文字颜色 4"/>
    <w:basedOn w:val="a2"/>
    <w:uiPriority w:val="60"/>
    <w:rPr>
      <w:rFonts w:ascii="Calibri" w:hAnsi="Calibri"/>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style>
  <w:style w:type="table" w:styleId="-30">
    <w:name w:val="浅色列表 - 强调文字颜色 3"/>
    <w:basedOn w:val="a2"/>
    <w:uiPriority w:val="61"/>
    <w:rPr>
      <w:rFonts w:ascii="Calibri" w:hAnsi="Calibri"/>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insideH w:val="nil"/>
          <w:insideV w:val="nil"/>
          <w:tl2br w:val="nil"/>
          <w:tr2bl w:val="nil"/>
        </w:tcBorders>
      </w:tcPr>
    </w:tblStylePr>
    <w:tblStylePr w:type="band1Horz">
      <w:tblPr/>
      <w:tcPr>
        <w:tcBorders>
          <w:top w:val="single" w:sz="8" w:space="0" w:color="A5A5A5"/>
          <w:left w:val="single" w:sz="8" w:space="0" w:color="A5A5A5"/>
          <w:bottom w:val="single" w:sz="8" w:space="0" w:color="A5A5A5"/>
          <w:right w:val="single" w:sz="8" w:space="0" w:color="A5A5A5"/>
          <w:insideH w:val="nil"/>
          <w:insideV w:val="nil"/>
          <w:tl2br w:val="nil"/>
          <w:tr2bl w:val="nil"/>
        </w:tcBorders>
      </w:tcPr>
    </w:tblStylePr>
  </w:style>
  <w:style w:type="character" w:styleId="affd">
    <w:name w:val="Strong"/>
    <w:uiPriority w:val="22"/>
    <w:qFormat/>
    <w:rPr>
      <w:b/>
      <w:bCs/>
    </w:rPr>
  </w:style>
  <w:style w:type="character" w:styleId="affe">
    <w:name w:val="page number"/>
    <w:qFormat/>
  </w:style>
  <w:style w:type="character" w:styleId="afff">
    <w:name w:val="已访问的超链接"/>
    <w:uiPriority w:val="99"/>
    <w:qFormat/>
    <w:rPr>
      <w:color w:val="333333"/>
      <w:u w:val="none"/>
    </w:rPr>
  </w:style>
  <w:style w:type="character" w:styleId="afff0">
    <w:name w:val="Emphasis"/>
    <w:qFormat/>
    <w:rPr>
      <w:rFonts w:cs="Times New Roman"/>
      <w:color w:val="CC0000"/>
    </w:rPr>
  </w:style>
  <w:style w:type="character" w:styleId="afff1">
    <w:name w:val="line number"/>
  </w:style>
  <w:style w:type="character" w:styleId="HTML1">
    <w:name w:val="HTML Definition"/>
    <w:rPr>
      <w:i/>
      <w:iCs/>
    </w:rPr>
  </w:style>
  <w:style w:type="character" w:styleId="HTML2">
    <w:name w:val="HTML Typewriter"/>
    <w:qFormat/>
    <w:rPr>
      <w:rFonts w:ascii="宋体" w:eastAsia="宋体" w:hAnsi="宋体" w:cs="宋体"/>
      <w:sz w:val="24"/>
      <w:szCs w:val="24"/>
    </w:rPr>
  </w:style>
  <w:style w:type="character" w:styleId="HTML3">
    <w:name w:val="HTML Acronym"/>
  </w:style>
  <w:style w:type="character" w:styleId="HTML4">
    <w:name w:val="HTML Variable"/>
    <w:rPr>
      <w:i/>
      <w:iCs/>
    </w:rPr>
  </w:style>
  <w:style w:type="character" w:styleId="afff2">
    <w:name w:val="Hyperlink"/>
    <w:uiPriority w:val="99"/>
    <w:qFormat/>
    <w:rPr>
      <w:color w:val="333333"/>
      <w:u w:val="none"/>
    </w:rPr>
  </w:style>
  <w:style w:type="character" w:styleId="HTML5">
    <w:name w:val="HTML Code"/>
    <w:qFormat/>
    <w:rPr>
      <w:rFonts w:ascii="黑体" w:eastAsia="黑体" w:hAnsi="Courier New" w:cs="Courier New"/>
      <w:sz w:val="20"/>
      <w:szCs w:val="20"/>
    </w:rPr>
  </w:style>
  <w:style w:type="character" w:styleId="afff3">
    <w:name w:val="annotation reference"/>
    <w:qFormat/>
    <w:rPr>
      <w:sz w:val="21"/>
      <w:szCs w:val="21"/>
    </w:rPr>
  </w:style>
  <w:style w:type="character" w:styleId="HTML6">
    <w:name w:val="HTML Cite"/>
    <w:unhideWhenUsed/>
    <w:rPr>
      <w:i w:val="0"/>
    </w:rPr>
  </w:style>
  <w:style w:type="character" w:styleId="afff4">
    <w:name w:val="footnote reference"/>
    <w:rPr>
      <w:rFonts w:ascii="Times New Roman" w:hAnsi="Times New Roman"/>
      <w:sz w:val="22"/>
      <w:vertAlign w:val="superscript"/>
    </w:rPr>
  </w:style>
  <w:style w:type="character" w:styleId="HTML7">
    <w:name w:val="HTML Keyboard"/>
    <w:rPr>
      <w:rFonts w:ascii="Courier New" w:hAnsi="Courier New"/>
      <w:sz w:val="20"/>
      <w:szCs w:val="20"/>
    </w:rPr>
  </w:style>
  <w:style w:type="character" w:styleId="HTML8">
    <w:name w:val="HTML Sample"/>
    <w:rPr>
      <w:rFonts w:ascii="Courier New" w:hAnsi="Courier New"/>
    </w:rPr>
  </w:style>
  <w:style w:type="character" w:customStyle="1" w:styleId="Charf">
    <w:name w:val="宏文本 Char"/>
    <w:rPr>
      <w:rFonts w:ascii="Courier New" w:hAnsi="Courier New" w:cs="Courier New"/>
      <w:sz w:val="24"/>
      <w:szCs w:val="24"/>
      <w:lang w:val="en-US" w:eastAsia="zh-CN" w:bidi="ar-SA"/>
    </w:rPr>
  </w:style>
  <w:style w:type="character" w:customStyle="1" w:styleId="2Char11">
    <w:name w:val="标题 2 Char1"/>
    <w:qFormat/>
    <w:rPr>
      <w:rFonts w:ascii="黑体" w:eastAsia="黑体" w:hAnsi="宋体"/>
      <w:b/>
      <w:kern w:val="2"/>
      <w:sz w:val="24"/>
      <w:szCs w:val="24"/>
      <w:lang w:val="en-US" w:eastAsia="zh-CN" w:bidi="ar-SA"/>
    </w:rPr>
  </w:style>
  <w:style w:type="character" w:customStyle="1" w:styleId="5Char1">
    <w:name w:val="标题 5 Char1"/>
    <w:aliases w:val="一级项 Char2,一级项 Char Char1,标题1.1.1.1.1 Char1,H5 Char1,Gliederung5 Char1,一级项 Char Char Char Char2,一级项 Char Char Char Char Char1,一级项 Char Char Char Char Char Char Char,1) Char1,项 Char1,无序号，小四黑常规，空两字 Char1,标题 5 Char5,1) Char5"/>
    <w:qFormat/>
    <w:rPr>
      <w:rFonts w:ascii="黑体" w:eastAsia="黑体"/>
      <w:b/>
      <w:bCs/>
      <w:kern w:val="2"/>
      <w:sz w:val="24"/>
      <w:szCs w:val="28"/>
      <w:lang w:val="en-US" w:eastAsia="zh-CN" w:bidi="ar-SA"/>
    </w:rPr>
  </w:style>
  <w:style w:type="paragraph" w:customStyle="1" w:styleId="Default">
    <w:name w:val="Default"/>
    <w:basedOn w:val="afff5"/>
    <w:next w:val="a0"/>
    <w:link w:val="DefaultCharChar"/>
    <w:qFormat/>
    <w:pPr>
      <w:widowControl w:val="0"/>
      <w:autoSpaceDE w:val="0"/>
      <w:autoSpaceDN w:val="0"/>
      <w:adjustRightInd w:val="0"/>
    </w:pPr>
    <w:rPr>
      <w:rFonts w:ascii="黑体" w:eastAsia="黑体"/>
      <w:lang w:val="x-none" w:eastAsia="x-none"/>
    </w:rPr>
  </w:style>
  <w:style w:type="paragraph" w:customStyle="1" w:styleId="afff5">
    <w:name w:val="!正文"/>
    <w:qFormat/>
    <w:pPr>
      <w:spacing w:line="360" w:lineRule="auto"/>
      <w:ind w:firstLineChars="200" w:firstLine="200"/>
      <w:jc w:val="both"/>
    </w:pPr>
    <w:rPr>
      <w:rFonts w:eastAsia="仿宋_GB2312"/>
      <w:kern w:val="2"/>
      <w:sz w:val="28"/>
      <w:szCs w:val="24"/>
    </w:rPr>
  </w:style>
  <w:style w:type="character" w:customStyle="1" w:styleId="DefaultCharChar">
    <w:name w:val="Default Char Char"/>
    <w:link w:val="Default"/>
    <w:rPr>
      <w:rFonts w:ascii="黑体" w:eastAsia="黑体"/>
      <w:kern w:val="2"/>
      <w:sz w:val="28"/>
      <w:szCs w:val="24"/>
    </w:rPr>
  </w:style>
  <w:style w:type="character" w:customStyle="1" w:styleId="newscda1">
    <w:name w:val="news_c_da1"/>
    <w:rPr>
      <w:rFonts w:ascii="ˎ̥" w:hAnsi="ˎ̥" w:hint="default"/>
      <w:b/>
      <w:bCs/>
      <w:color w:val="000000"/>
      <w:sz w:val="24"/>
      <w:szCs w:val="24"/>
    </w:rPr>
  </w:style>
  <w:style w:type="character" w:customStyle="1" w:styleId="bt21">
    <w:name w:val="bt21"/>
    <w:rPr>
      <w:rFonts w:ascii="黑体" w:eastAsia="黑体"/>
      <w:spacing w:val="400"/>
      <w:sz w:val="24"/>
      <w:szCs w:val="24"/>
    </w:rPr>
  </w:style>
  <w:style w:type="character" w:customStyle="1" w:styleId="210">
    <w:name w:val="正文文本 2 字符1"/>
    <w:aliases w:val="表内 字符1"/>
    <w:rPr>
      <w:kern w:val="2"/>
      <w:sz w:val="21"/>
      <w:szCs w:val="24"/>
    </w:rPr>
  </w:style>
  <w:style w:type="character" w:customStyle="1" w:styleId="articletitletext1">
    <w:name w:val="articletitletext1"/>
    <w:rPr>
      <w:b/>
      <w:bCs/>
    </w:rPr>
  </w:style>
  <w:style w:type="character" w:customStyle="1" w:styleId="21313Char">
    <w:name w:val="附件2.13.1样式3 Char"/>
    <w:link w:val="21313"/>
    <w:qFormat/>
    <w:rPr>
      <w:rFonts w:ascii="黑体" w:eastAsia="黑体" w:hAnsi="宋体"/>
      <w:b/>
      <w:kern w:val="2"/>
      <w:sz w:val="28"/>
      <w:szCs w:val="28"/>
    </w:rPr>
  </w:style>
  <w:style w:type="paragraph" w:customStyle="1" w:styleId="21313">
    <w:name w:val="附件2.13.1样式3"/>
    <w:basedOn w:val="a0"/>
    <w:link w:val="21313Char"/>
    <w:qFormat/>
    <w:pPr>
      <w:numPr>
        <w:numId w:val="4"/>
      </w:numPr>
      <w:spacing w:line="360" w:lineRule="auto"/>
    </w:pPr>
    <w:rPr>
      <w:rFonts w:ascii="黑体" w:eastAsia="黑体" w:hAnsi="宋体"/>
      <w:b/>
      <w:sz w:val="28"/>
      <w:szCs w:val="28"/>
      <w:lang w:val="x-none" w:eastAsia="x-none"/>
    </w:rPr>
  </w:style>
  <w:style w:type="character" w:customStyle="1" w:styleId="3Char0">
    <w:name w:val="正文文本缩进 3 Char"/>
    <w:aliases w:val="正文文字缩进 3 Char"/>
    <w:rPr>
      <w:rFonts w:ascii="宋体" w:eastAsia="宋体" w:hAnsi="宋体" w:cs="Times New Roman"/>
      <w:color w:val="FF0000"/>
      <w:sz w:val="28"/>
      <w:szCs w:val="24"/>
    </w:rPr>
  </w:style>
  <w:style w:type="character" w:customStyle="1" w:styleId="1b">
    <w:name w:val="称呼 字符1"/>
    <w:rPr>
      <w:kern w:val="2"/>
      <w:sz w:val="21"/>
      <w:szCs w:val="24"/>
    </w:rPr>
  </w:style>
  <w:style w:type="character" w:customStyle="1" w:styleId="font201">
    <w:name w:val="font201"/>
    <w:rPr>
      <w:i w:val="0"/>
      <w:iCs w:val="0"/>
    </w:rPr>
  </w:style>
  <w:style w:type="character" w:customStyle="1" w:styleId="edri-titlethirdChar1CharCharCharChar">
    <w:name w:val="edri-title third Char1 Char Char Char Char"/>
    <w:qFormat/>
    <w:rPr>
      <w:rFonts w:eastAsia="宋体" w:cs="CommercialPi BT"/>
      <w:bCs/>
      <w:kern w:val="2"/>
      <w:sz w:val="24"/>
      <w:szCs w:val="24"/>
      <w:lang w:val="en-US" w:eastAsia="zh-CN" w:bidi="ar-SA"/>
    </w:rPr>
  </w:style>
  <w:style w:type="character" w:customStyle="1" w:styleId="p5t">
    <w:name w:val="p5t"/>
  </w:style>
  <w:style w:type="character" w:customStyle="1" w:styleId="yqlink">
    <w:name w:val="yqlink"/>
    <w:qFormat/>
  </w:style>
  <w:style w:type="character" w:customStyle="1" w:styleId="1CharChar">
    <w:name w:val="正文1 Char Char"/>
    <w:qFormat/>
    <w:rPr>
      <w:szCs w:val="24"/>
    </w:rPr>
  </w:style>
  <w:style w:type="character" w:customStyle="1" w:styleId="3513Char">
    <w:name w:val="附件3.5.1 样式3 Char"/>
    <w:link w:val="3513"/>
    <w:qFormat/>
    <w:rPr>
      <w:rFonts w:ascii="黑体" w:eastAsia="黑体" w:hAnsi="Calibri"/>
      <w:b/>
      <w:kern w:val="2"/>
      <w:sz w:val="28"/>
      <w:szCs w:val="28"/>
    </w:rPr>
  </w:style>
  <w:style w:type="paragraph" w:customStyle="1" w:styleId="3513">
    <w:name w:val="附件3.5.1 样式3"/>
    <w:basedOn w:val="a0"/>
    <w:link w:val="3513Char"/>
    <w:qFormat/>
    <w:pPr>
      <w:numPr>
        <w:numId w:val="5"/>
      </w:numPr>
      <w:spacing w:line="360" w:lineRule="auto"/>
    </w:pPr>
    <w:rPr>
      <w:rFonts w:ascii="黑体" w:eastAsia="黑体" w:hAnsi="Calibri"/>
      <w:b/>
      <w:sz w:val="28"/>
      <w:szCs w:val="28"/>
      <w:lang w:val="x-none" w:eastAsia="x-none"/>
    </w:rPr>
  </w:style>
  <w:style w:type="character" w:customStyle="1" w:styleId="64">
    <w:name w:val="标题6"/>
    <w:qFormat/>
  </w:style>
  <w:style w:type="character" w:customStyle="1" w:styleId="Charf0">
    <w:name w:val="批注框文本 Char"/>
    <w:rPr>
      <w:rFonts w:ascii="Times New Roman" w:eastAsia="宋体" w:hAnsi="Times New Roman" w:cs="Times New Roman"/>
      <w:sz w:val="18"/>
      <w:szCs w:val="18"/>
    </w:rPr>
  </w:style>
  <w:style w:type="character" w:customStyle="1" w:styleId="1c">
    <w:name w:val="未处理的提及1"/>
    <w:uiPriority w:val="99"/>
    <w:unhideWhenUsed/>
    <w:qFormat/>
    <w:rPr>
      <w:color w:val="605E5C"/>
      <w:shd w:val="clear" w:color="auto" w:fill="E1DFDD"/>
    </w:rPr>
  </w:style>
  <w:style w:type="character" w:customStyle="1" w:styleId="Charf1">
    <w:name w:val="称呼 Char"/>
    <w:qFormat/>
    <w:rPr>
      <w:rFonts w:ascii="Times New Roman" w:eastAsia="宋体" w:hAnsi="Times New Roman" w:cs="Times New Roman"/>
      <w:szCs w:val="20"/>
    </w:rPr>
  </w:style>
  <w:style w:type="character" w:customStyle="1" w:styleId="Charf2">
    <w:name w:val="表格中 Char"/>
    <w:link w:val="afff6"/>
    <w:qFormat/>
    <w:rPr>
      <w:kern w:val="2"/>
      <w:sz w:val="21"/>
      <w:szCs w:val="24"/>
    </w:rPr>
  </w:style>
  <w:style w:type="paragraph" w:customStyle="1" w:styleId="afff6">
    <w:name w:val="表格中"/>
    <w:basedOn w:val="afff7"/>
    <w:link w:val="Charf2"/>
    <w:qFormat/>
    <w:pPr>
      <w:suppressAutoHyphens w:val="0"/>
      <w:snapToGrid w:val="0"/>
      <w:spacing w:line="240" w:lineRule="auto"/>
    </w:pPr>
    <w:rPr>
      <w:kern w:val="2"/>
      <w:sz w:val="21"/>
      <w:szCs w:val="24"/>
      <w:lang w:val="x-none" w:eastAsia="x-none"/>
    </w:rPr>
  </w:style>
  <w:style w:type="paragraph" w:customStyle="1" w:styleId="afff7">
    <w:name w:val="表格"/>
    <w:basedOn w:val="a0"/>
    <w:next w:val="a0"/>
    <w:link w:val="Charf3"/>
    <w:qFormat/>
    <w:pPr>
      <w:suppressAutoHyphens/>
      <w:spacing w:line="288" w:lineRule="auto"/>
      <w:jc w:val="center"/>
    </w:pPr>
    <w:rPr>
      <w:kern w:val="24"/>
      <w:sz w:val="24"/>
      <w:szCs w:val="20"/>
    </w:rPr>
  </w:style>
  <w:style w:type="character" w:customStyle="1" w:styleId="Charf3">
    <w:name w:val="表格 Char"/>
    <w:link w:val="afff7"/>
    <w:rPr>
      <w:rFonts w:eastAsia="宋体"/>
      <w:kern w:val="24"/>
      <w:sz w:val="24"/>
      <w:lang w:val="en-US" w:eastAsia="zh-CN" w:bidi="ar-SA"/>
    </w:rPr>
  </w:style>
  <w:style w:type="character" w:customStyle="1" w:styleId="Charf4">
    <w:name w:val="表格居中 Char"/>
    <w:semiHidden/>
    <w:rPr>
      <w:rFonts w:eastAsia="宋体"/>
      <w:kern w:val="2"/>
      <w:sz w:val="21"/>
      <w:szCs w:val="24"/>
      <w:lang w:val="en-US" w:eastAsia="zh-CN" w:bidi="ar-SA"/>
    </w:rPr>
  </w:style>
  <w:style w:type="character" w:customStyle="1" w:styleId="123Char">
    <w:name w:val="123 Char"/>
    <w:link w:val="123"/>
    <w:qFormat/>
    <w:rPr>
      <w:kern w:val="2"/>
      <w:sz w:val="24"/>
    </w:rPr>
  </w:style>
  <w:style w:type="paragraph" w:customStyle="1" w:styleId="123">
    <w:name w:val="123"/>
    <w:basedOn w:val="a0"/>
    <w:link w:val="123Char"/>
    <w:pPr>
      <w:spacing w:line="360" w:lineRule="auto"/>
      <w:ind w:firstLine="454"/>
    </w:pPr>
    <w:rPr>
      <w:sz w:val="24"/>
      <w:szCs w:val="20"/>
      <w:lang w:val="x-none" w:eastAsia="x-none"/>
    </w:rPr>
  </w:style>
  <w:style w:type="character" w:customStyle="1" w:styleId="p21">
    <w:name w:val="p21"/>
    <w:rPr>
      <w:rFonts w:cs="Times New Roman"/>
      <w:sz w:val="18"/>
      <w:szCs w:val="18"/>
    </w:rPr>
  </w:style>
  <w:style w:type="character" w:customStyle="1" w:styleId="310">
    <w:name w:val="正文文本缩进 3 字符1"/>
    <w:aliases w:val="正文文字缩进 3 字符,正文文字缩进 3 字符1"/>
    <w:qFormat/>
    <w:rPr>
      <w:kern w:val="2"/>
      <w:sz w:val="16"/>
      <w:szCs w:val="16"/>
    </w:rPr>
  </w:style>
  <w:style w:type="character" w:customStyle="1" w:styleId="p92">
    <w:name w:val="p92"/>
    <w:qFormat/>
    <w:rPr>
      <w:spacing w:val="255"/>
      <w:sz w:val="18"/>
      <w:szCs w:val="18"/>
    </w:rPr>
  </w:style>
  <w:style w:type="character" w:customStyle="1" w:styleId="Charf5">
    <w:name w:val="表中 Char"/>
    <w:link w:val="afff8"/>
    <w:rPr>
      <w:rFonts w:eastAsia="宋体"/>
      <w:bCs/>
      <w:kern w:val="2"/>
      <w:sz w:val="21"/>
      <w:szCs w:val="21"/>
      <w:lang w:val="en-US" w:eastAsia="zh-CN" w:bidi="ar-SA"/>
    </w:rPr>
  </w:style>
  <w:style w:type="paragraph" w:customStyle="1" w:styleId="afff8">
    <w:name w:val="表中"/>
    <w:basedOn w:val="a0"/>
    <w:link w:val="Charf5"/>
    <w:qFormat/>
    <w:pPr>
      <w:jc w:val="center"/>
    </w:pPr>
    <w:rPr>
      <w:bCs/>
      <w:szCs w:val="21"/>
    </w:rPr>
  </w:style>
  <w:style w:type="character" w:customStyle="1" w:styleId="h21">
    <w:name w:val="h21"/>
    <w:aliases w:val="Heading 2 Hidden1,Heading 2 CCBS1,sect 1.21,H22,Reset numbering1,H211,R21,heading 21,21,sub-sect1,dd heading 21,dh21,二级标题1"/>
    <w:rPr>
      <w:rFonts w:ascii="Tahoma" w:hAnsi="Tahoma" w:cs="Tahoma" w:hint="default"/>
      <w:b/>
      <w:bCs/>
      <w:color w:val="333399"/>
      <w:sz w:val="20"/>
      <w:szCs w:val="20"/>
    </w:rPr>
  </w:style>
  <w:style w:type="character" w:customStyle="1" w:styleId="news1">
    <w:name w:val="news1"/>
    <w:rPr>
      <w:strike w:val="0"/>
      <w:dstrike w:val="0"/>
      <w:color w:val="000000"/>
      <w:sz w:val="18"/>
      <w:szCs w:val="18"/>
      <w:u w:val="none"/>
    </w:rPr>
  </w:style>
  <w:style w:type="character" w:customStyle="1" w:styleId="style11">
    <w:name w:val="style11"/>
    <w:rPr>
      <w:rFonts w:ascii="Arial" w:hAnsi="Arial" w:cs="Arial"/>
      <w:sz w:val="21"/>
      <w:szCs w:val="21"/>
    </w:rPr>
  </w:style>
  <w:style w:type="character" w:customStyle="1" w:styleId="1113Char">
    <w:name w:val="附件1.1.1样式3 Char"/>
    <w:link w:val="1113"/>
    <w:rPr>
      <w:rFonts w:ascii="黑体" w:eastAsia="黑体" w:hAnsi="Arial"/>
      <w:b/>
      <w:bCs/>
      <w:kern w:val="2"/>
      <w:sz w:val="28"/>
      <w:szCs w:val="32"/>
    </w:rPr>
  </w:style>
  <w:style w:type="paragraph" w:customStyle="1" w:styleId="1113">
    <w:name w:val="附件1.1.1样式3"/>
    <w:basedOn w:val="2113"/>
    <w:link w:val="1113Char"/>
    <w:qFormat/>
  </w:style>
  <w:style w:type="paragraph" w:customStyle="1" w:styleId="2113">
    <w:name w:val="附件2.1.1样式3"/>
    <w:basedOn w:val="113"/>
    <w:link w:val="2113Char"/>
    <w:pPr>
      <w:ind w:left="1271"/>
    </w:pPr>
    <w:rPr>
      <w:szCs w:val="32"/>
    </w:rPr>
  </w:style>
  <w:style w:type="paragraph" w:customStyle="1" w:styleId="113">
    <w:name w:val="附件1.1样式3"/>
    <w:basedOn w:val="a0"/>
    <w:link w:val="113Char"/>
    <w:qFormat/>
    <w:pPr>
      <w:keepNext/>
      <w:keepLines/>
      <w:spacing w:line="360" w:lineRule="auto"/>
      <w:ind w:left="420" w:hanging="420"/>
      <w:outlineLvl w:val="1"/>
    </w:pPr>
    <w:rPr>
      <w:rFonts w:ascii="黑体" w:eastAsia="黑体" w:hAnsi="Arial"/>
      <w:b/>
      <w:bCs/>
      <w:sz w:val="28"/>
      <w:szCs w:val="28"/>
      <w:lang w:val="x-none" w:eastAsia="x-none"/>
    </w:rPr>
  </w:style>
  <w:style w:type="character" w:customStyle="1" w:styleId="113Char">
    <w:name w:val="附件1.1样式3 Char"/>
    <w:link w:val="113"/>
    <w:rPr>
      <w:rFonts w:ascii="黑体" w:eastAsia="黑体" w:hAnsi="Arial"/>
      <w:b/>
      <w:bCs/>
      <w:kern w:val="2"/>
      <w:sz w:val="28"/>
      <w:szCs w:val="28"/>
    </w:rPr>
  </w:style>
  <w:style w:type="character" w:customStyle="1" w:styleId="2113Char">
    <w:name w:val="附件2.1.1样式3 Char"/>
    <w:link w:val="2113"/>
    <w:qFormat/>
    <w:rPr>
      <w:rFonts w:ascii="黑体" w:eastAsia="黑体" w:hAnsi="Arial"/>
      <w:b/>
      <w:bCs/>
      <w:kern w:val="2"/>
      <w:sz w:val="28"/>
      <w:szCs w:val="32"/>
    </w:rPr>
  </w:style>
  <w:style w:type="character" w:customStyle="1" w:styleId="CharChar">
    <w:name w:val="图表名 Char Char"/>
    <w:link w:val="afff9"/>
    <w:qFormat/>
    <w:rPr>
      <w:rFonts w:cs="宋体"/>
      <w:b/>
      <w:bCs/>
    </w:rPr>
  </w:style>
  <w:style w:type="paragraph" w:customStyle="1" w:styleId="afff9">
    <w:name w:val="图表名"/>
    <w:basedOn w:val="a0"/>
    <w:link w:val="CharChar"/>
    <w:pPr>
      <w:widowControl/>
      <w:tabs>
        <w:tab w:val="left" w:pos="377"/>
      </w:tabs>
      <w:spacing w:line="360" w:lineRule="auto"/>
      <w:jc w:val="center"/>
    </w:pPr>
    <w:rPr>
      <w:b/>
      <w:bCs/>
      <w:kern w:val="0"/>
      <w:sz w:val="20"/>
      <w:szCs w:val="20"/>
      <w:lang w:val="x-none" w:eastAsia="x-none"/>
    </w:rPr>
  </w:style>
  <w:style w:type="character" w:customStyle="1" w:styleId="110">
    <w:name w:val="未处理的提及11"/>
    <w:uiPriority w:val="99"/>
    <w:unhideWhenUsed/>
    <w:rPr>
      <w:color w:val="605E5C"/>
      <w:shd w:val="clear" w:color="auto" w:fill="E1DFDD"/>
    </w:rPr>
  </w:style>
  <w:style w:type="character" w:customStyle="1" w:styleId="font41">
    <w:name w:val="font41"/>
    <w:qFormat/>
    <w:rPr>
      <w:rFonts w:ascii="仿宋" w:eastAsia="仿宋" w:hAnsi="仿宋" w:cs="仿宋" w:hint="eastAsia"/>
      <w:i w:val="0"/>
      <w:color w:val="000000"/>
      <w:sz w:val="22"/>
      <w:szCs w:val="22"/>
      <w:u w:val="none"/>
    </w:rPr>
  </w:style>
  <w:style w:type="character" w:customStyle="1" w:styleId="zw1">
    <w:name w:val="zw1"/>
    <w:qFormat/>
    <w:rPr>
      <w:rFonts w:ascii="宋体" w:eastAsia="宋体" w:hAnsi="宋体"/>
      <w:spacing w:val="400"/>
      <w:sz w:val="22"/>
      <w:szCs w:val="22"/>
    </w:rPr>
  </w:style>
  <w:style w:type="character" w:customStyle="1" w:styleId="2Char">
    <w:name w:val="正文首行缩进 2 Char"/>
    <w:rPr>
      <w:rFonts w:ascii="Times New Roman" w:eastAsia="宋体" w:hAnsi="Times New Roman" w:cs="Times New Roman"/>
      <w:sz w:val="24"/>
      <w:szCs w:val="24"/>
    </w:rPr>
  </w:style>
  <w:style w:type="character" w:customStyle="1" w:styleId="281Char">
    <w:name w:val="附件2.8.1 Char"/>
    <w:link w:val="281"/>
    <w:qFormat/>
    <w:rPr>
      <w:rFonts w:ascii="黑体" w:eastAsia="黑体" w:hAnsi="Arial"/>
      <w:b/>
      <w:bCs/>
      <w:kern w:val="2"/>
      <w:sz w:val="28"/>
      <w:szCs w:val="32"/>
    </w:rPr>
  </w:style>
  <w:style w:type="paragraph" w:customStyle="1" w:styleId="281">
    <w:name w:val="附件2.8.1"/>
    <w:basedOn w:val="313"/>
    <w:link w:val="281Char"/>
    <w:qFormat/>
    <w:pPr>
      <w:spacing w:beforeLines="100"/>
      <w:outlineLvl w:val="2"/>
    </w:pPr>
  </w:style>
  <w:style w:type="paragraph" w:customStyle="1" w:styleId="313">
    <w:name w:val="附件3.1样式3"/>
    <w:basedOn w:val="a0"/>
    <w:link w:val="313Char"/>
    <w:pPr>
      <w:keepNext/>
      <w:keepLines/>
      <w:spacing w:line="360" w:lineRule="auto"/>
      <w:ind w:left="420" w:hanging="420"/>
      <w:outlineLvl w:val="1"/>
    </w:pPr>
    <w:rPr>
      <w:rFonts w:ascii="黑体" w:eastAsia="黑体" w:hAnsi="Arial"/>
      <w:b/>
      <w:bCs/>
      <w:sz w:val="28"/>
      <w:szCs w:val="32"/>
      <w:lang w:val="x-none" w:eastAsia="x-none"/>
    </w:rPr>
  </w:style>
  <w:style w:type="character" w:customStyle="1" w:styleId="313Char">
    <w:name w:val="附件3.1样式3 Char"/>
    <w:link w:val="313"/>
    <w:qFormat/>
    <w:rPr>
      <w:rFonts w:ascii="黑体" w:eastAsia="黑体" w:hAnsi="Arial"/>
      <w:b/>
      <w:bCs/>
      <w:kern w:val="2"/>
      <w:sz w:val="28"/>
      <w:szCs w:val="32"/>
    </w:rPr>
  </w:style>
  <w:style w:type="character" w:customStyle="1" w:styleId="ESDocID">
    <w:name w:val="ESDocID"/>
    <w:rPr>
      <w:rFonts w:ascii="Arial" w:hAnsi="Arial"/>
      <w:b/>
      <w:color w:val="008000"/>
      <w:sz w:val="28"/>
    </w:rPr>
  </w:style>
  <w:style w:type="character" w:customStyle="1" w:styleId="120">
    <w:name w:val="标题12"/>
  </w:style>
  <w:style w:type="character" w:customStyle="1" w:styleId="Charf6">
    <w:name w:val="表格正文 Char"/>
    <w:qFormat/>
    <w:rPr>
      <w:rFonts w:eastAsia="宋体"/>
      <w:kern w:val="2"/>
      <w:sz w:val="21"/>
      <w:lang w:val="en-US" w:eastAsia="zh-CN" w:bidi="ar-SA"/>
    </w:rPr>
  </w:style>
  <w:style w:type="character" w:customStyle="1" w:styleId="style1">
    <w:name w:val="style1"/>
    <w:rPr>
      <w:rFonts w:cs="Times New Roman"/>
    </w:rPr>
  </w:style>
  <w:style w:type="character" w:customStyle="1" w:styleId="1d">
    <w:name w:val="页眉 字符1"/>
    <w:aliases w:val="页眉zxl 字符,页眉1 字符,页眉2 字符,无页眉 Char Char Char 字符,无页眉 Char 字符,无页眉 字符,页眉（无底线） 字符,h 字符1,页眉，DHCC 公司页眉 字符1,ITTHEADER 字符1,页眉zxl 字符1,even 字符,even Char 字符,Header1 字符1,页眉1 字符1,页眉2 字符1,页眉2. 字符1,页眉0 字符1,带横线 字符1,g 字符"/>
    <w:uiPriority w:val="99"/>
    <w:rPr>
      <w:kern w:val="2"/>
      <w:sz w:val="18"/>
      <w:szCs w:val="18"/>
    </w:rPr>
  </w:style>
  <w:style w:type="character" w:customStyle="1" w:styleId="CharChar0">
    <w:name w:val="表格正文 Char Char"/>
    <w:link w:val="afffa"/>
    <w:qFormat/>
    <w:rPr>
      <w:kern w:val="2"/>
      <w:sz w:val="21"/>
      <w:szCs w:val="24"/>
    </w:rPr>
  </w:style>
  <w:style w:type="paragraph" w:customStyle="1" w:styleId="afffa">
    <w:name w:val="表格正文"/>
    <w:basedOn w:val="a0"/>
    <w:link w:val="CharChar0"/>
    <w:qFormat/>
    <w:pPr>
      <w:spacing w:line="360" w:lineRule="exact"/>
      <w:jc w:val="center"/>
    </w:pPr>
    <w:rPr>
      <w:lang w:val="x-none" w:eastAsia="x-none"/>
    </w:rPr>
  </w:style>
  <w:style w:type="character" w:customStyle="1" w:styleId="2CharCharChar">
    <w:name w:val="正文缩进2 Char Char Char"/>
    <w:link w:val="2CharChar"/>
    <w:rPr>
      <w:rFonts w:cs="宋体"/>
      <w:kern w:val="2"/>
      <w:sz w:val="24"/>
    </w:rPr>
  </w:style>
  <w:style w:type="paragraph" w:customStyle="1" w:styleId="2CharChar">
    <w:name w:val="正文缩进2 Char Char"/>
    <w:basedOn w:val="a0"/>
    <w:link w:val="2CharCharChar"/>
    <w:pPr>
      <w:spacing w:before="60" w:line="460" w:lineRule="atLeast"/>
      <w:ind w:firstLineChars="200" w:firstLine="480"/>
    </w:pPr>
    <w:rPr>
      <w:sz w:val="24"/>
      <w:szCs w:val="20"/>
      <w:lang w:val="x-none" w:eastAsia="x-none"/>
    </w:rPr>
  </w:style>
  <w:style w:type="character" w:customStyle="1" w:styleId="311">
    <w:name w:val="正文文本 3 字符1"/>
    <w:aliases w:val="正文文字 3 字符"/>
    <w:qFormat/>
    <w:rPr>
      <w:kern w:val="2"/>
      <w:sz w:val="16"/>
      <w:szCs w:val="16"/>
    </w:rPr>
  </w:style>
  <w:style w:type="character" w:customStyle="1" w:styleId="Charf7">
    <w:name w:val="卫生表头 Char"/>
    <w:link w:val="afffb"/>
    <w:rPr>
      <w:rFonts w:ascii="Arial" w:eastAsia="仿宋_GB2312" w:hAnsi="Arial"/>
      <w:kern w:val="2"/>
      <w:sz w:val="24"/>
      <w:szCs w:val="24"/>
    </w:rPr>
  </w:style>
  <w:style w:type="paragraph" w:customStyle="1" w:styleId="afffb">
    <w:name w:val="卫生表头"/>
    <w:basedOn w:val="a0"/>
    <w:link w:val="Charf7"/>
    <w:qFormat/>
    <w:pPr>
      <w:jc w:val="center"/>
    </w:pPr>
    <w:rPr>
      <w:rFonts w:ascii="Arial" w:eastAsia="仿宋_GB2312" w:hAnsi="Arial"/>
      <w:sz w:val="24"/>
      <w:lang w:val="x-none" w:eastAsia="x-none"/>
    </w:rPr>
  </w:style>
  <w:style w:type="character" w:customStyle="1" w:styleId="2101Char">
    <w:name w:val="附件2.10.1 Char"/>
    <w:link w:val="2101"/>
    <w:rPr>
      <w:rFonts w:ascii="黑体" w:eastAsia="黑体"/>
      <w:b/>
      <w:kern w:val="2"/>
      <w:sz w:val="28"/>
      <w:szCs w:val="24"/>
    </w:rPr>
  </w:style>
  <w:style w:type="paragraph" w:customStyle="1" w:styleId="2101">
    <w:name w:val="附件2.10.1"/>
    <w:basedOn w:val="3"/>
    <w:link w:val="2101Char"/>
    <w:qFormat/>
    <w:pPr>
      <w:jc w:val="both"/>
    </w:pPr>
    <w:rPr>
      <w:bCs w:val="0"/>
      <w:sz w:val="28"/>
      <w:szCs w:val="24"/>
      <w:lang w:val="x-none" w:eastAsia="x-none"/>
    </w:rPr>
  </w:style>
  <w:style w:type="character" w:customStyle="1" w:styleId="1e">
    <w:name w:val="页脚 字符1"/>
    <w:aliases w:val="Footer1 字符,页脚1 字符,Footer-Even 字符,fo 字符,footer odd 字符,odd 字符,footer Final 字符,Footer1 字符1"/>
    <w:uiPriority w:val="99"/>
    <w:rPr>
      <w:kern w:val="2"/>
      <w:sz w:val="18"/>
      <w:szCs w:val="18"/>
    </w:rPr>
  </w:style>
  <w:style w:type="character" w:customStyle="1" w:styleId="h31">
    <w:name w:val="h31"/>
    <w:rPr>
      <w:spacing w:val="330"/>
      <w:sz w:val="21"/>
      <w:szCs w:val="21"/>
    </w:rPr>
  </w:style>
  <w:style w:type="character" w:customStyle="1" w:styleId="tpctitle1">
    <w:name w:val="tpc_title1"/>
    <w:qFormat/>
    <w:rPr>
      <w:rFonts w:cs="Times New Roman"/>
      <w:b/>
      <w:bCs/>
      <w:sz w:val="18"/>
      <w:szCs w:val="18"/>
    </w:rPr>
  </w:style>
  <w:style w:type="character" w:customStyle="1" w:styleId="CharChar1">
    <w:name w:val="图标题 Char Char"/>
    <w:link w:val="afffc"/>
    <w:qFormat/>
    <w:rPr>
      <w:rFonts w:eastAsia="黑体"/>
      <w:b/>
      <w:sz w:val="28"/>
      <w:szCs w:val="24"/>
    </w:rPr>
  </w:style>
  <w:style w:type="paragraph" w:customStyle="1" w:styleId="afffc">
    <w:name w:val="图标题"/>
    <w:basedOn w:val="a0"/>
    <w:link w:val="CharChar1"/>
    <w:qFormat/>
    <w:pPr>
      <w:spacing w:beforeLines="50" w:before="156" w:afterLines="100" w:after="312" w:line="360" w:lineRule="auto"/>
      <w:jc w:val="center"/>
    </w:pPr>
    <w:rPr>
      <w:rFonts w:eastAsia="黑体"/>
      <w:b/>
      <w:kern w:val="0"/>
      <w:sz w:val="28"/>
      <w:lang w:val="x-none" w:eastAsia="x-none"/>
    </w:rPr>
  </w:style>
  <w:style w:type="character" w:customStyle="1" w:styleId="Charf8">
    <w:name w:val="镇 Char"/>
    <w:link w:val="afffd"/>
    <w:qFormat/>
    <w:rPr>
      <w:color w:val="000000"/>
      <w:sz w:val="28"/>
    </w:rPr>
  </w:style>
  <w:style w:type="paragraph" w:customStyle="1" w:styleId="afffd">
    <w:name w:val="镇"/>
    <w:basedOn w:val="a0"/>
    <w:link w:val="Charf8"/>
    <w:qFormat/>
    <w:pPr>
      <w:spacing w:line="520" w:lineRule="exact"/>
      <w:ind w:firstLineChars="197" w:firstLine="552"/>
    </w:pPr>
    <w:rPr>
      <w:color w:val="000000"/>
      <w:kern w:val="0"/>
      <w:sz w:val="28"/>
      <w:szCs w:val="20"/>
      <w:lang w:val="x-none" w:eastAsia="x-none"/>
    </w:rPr>
  </w:style>
  <w:style w:type="character" w:customStyle="1" w:styleId="DefaultFontStyle">
    <w:name w:val="DefaultFontStyle"/>
    <w:rPr>
      <w:rFonts w:ascii="黑体" w:eastAsia="黑体"/>
      <w:sz w:val="24"/>
    </w:rPr>
  </w:style>
  <w:style w:type="character" w:customStyle="1" w:styleId="3113Char">
    <w:name w:val="附件3.1.1  样式3 Char"/>
    <w:link w:val="3113"/>
    <w:qFormat/>
    <w:rPr>
      <w:rFonts w:ascii="黑体" w:eastAsia="黑体"/>
      <w:b/>
      <w:kern w:val="2"/>
      <w:sz w:val="28"/>
      <w:szCs w:val="24"/>
    </w:rPr>
  </w:style>
  <w:style w:type="paragraph" w:customStyle="1" w:styleId="3113">
    <w:name w:val="附件3.1.1  样式3"/>
    <w:basedOn w:val="31130"/>
    <w:link w:val="3113Char"/>
    <w:qFormat/>
  </w:style>
  <w:style w:type="paragraph" w:customStyle="1" w:styleId="31130">
    <w:name w:val="附件3.1.1 样式3"/>
    <w:basedOn w:val="31131"/>
    <w:link w:val="3113Char0"/>
    <w:qFormat/>
  </w:style>
  <w:style w:type="paragraph" w:customStyle="1" w:styleId="31131">
    <w:name w:val="附件3.1.1样式3"/>
    <w:basedOn w:val="a0"/>
    <w:link w:val="3113Char1"/>
    <w:qFormat/>
    <w:pPr>
      <w:keepNext/>
      <w:keepLines/>
      <w:spacing w:line="360" w:lineRule="auto"/>
      <w:ind w:left="420" w:hanging="420"/>
      <w:outlineLvl w:val="2"/>
    </w:pPr>
    <w:rPr>
      <w:rFonts w:ascii="黑体" w:eastAsia="黑体"/>
      <w:b/>
      <w:sz w:val="28"/>
      <w:lang w:val="x-none" w:eastAsia="x-none"/>
    </w:rPr>
  </w:style>
  <w:style w:type="character" w:customStyle="1" w:styleId="3113Char1">
    <w:name w:val="附件3.1.1样式3 Char"/>
    <w:link w:val="31131"/>
    <w:qFormat/>
    <w:rPr>
      <w:rFonts w:ascii="黑体" w:eastAsia="黑体"/>
      <w:b/>
      <w:kern w:val="2"/>
      <w:sz w:val="28"/>
      <w:szCs w:val="24"/>
    </w:rPr>
  </w:style>
  <w:style w:type="character" w:customStyle="1" w:styleId="3113Char0">
    <w:name w:val="附件3.1.1 样式3 Char"/>
    <w:link w:val="31130"/>
    <w:rPr>
      <w:rFonts w:ascii="黑体" w:eastAsia="黑体"/>
      <w:b/>
      <w:kern w:val="2"/>
      <w:sz w:val="28"/>
      <w:szCs w:val="24"/>
    </w:rPr>
  </w:style>
  <w:style w:type="character" w:customStyle="1" w:styleId="top1">
    <w:name w:val="top1"/>
    <w:qFormat/>
    <w:rPr>
      <w:rFonts w:cs="Times New Roman"/>
      <w:sz w:val="18"/>
      <w:szCs w:val="18"/>
    </w:rPr>
  </w:style>
  <w:style w:type="character" w:customStyle="1" w:styleId="2Char0">
    <w:name w:val="正文文本 2 Char"/>
    <w:rPr>
      <w:rFonts w:ascii="Times New Roman" w:eastAsia="宋体" w:hAnsi="Times New Roman" w:cs="Times New Roman"/>
      <w:sz w:val="28"/>
      <w:szCs w:val="24"/>
    </w:rPr>
  </w:style>
  <w:style w:type="character" w:customStyle="1" w:styleId="big">
    <w:name w:val="big"/>
    <w:rPr>
      <w:rFonts w:cs="Times New Roman"/>
    </w:rPr>
  </w:style>
  <w:style w:type="character" w:customStyle="1" w:styleId="910">
    <w:name w:val="标题 9 字符1"/>
    <w:aliases w:val="干标题(a) 字符,可研-标题 9 字符,H9 字符,可研-标题 9 字符1,Legal Level 1.1.1.1. 字符1,append 字符1,干标题(a) 字符1,H9 字符1,. [(iii)] 字符1"/>
    <w:rPr>
      <w:rFonts w:ascii="Cambria" w:eastAsia="宋体" w:hAnsi="Cambria" w:cs="Times New Roman"/>
      <w:kern w:val="2"/>
      <w:sz w:val="21"/>
      <w:szCs w:val="21"/>
    </w:rPr>
  </w:style>
  <w:style w:type="character" w:customStyle="1" w:styleId="f3">
    <w:name w:val="f3"/>
    <w:rPr>
      <w:rFonts w:cs="Times New Roman"/>
    </w:rPr>
  </w:style>
  <w:style w:type="character" w:customStyle="1" w:styleId="f41">
    <w:name w:val="f41"/>
    <w:qFormat/>
    <w:rPr>
      <w:color w:val="333333"/>
      <w:sz w:val="21"/>
      <w:szCs w:val="21"/>
    </w:rPr>
  </w:style>
  <w:style w:type="character" w:customStyle="1" w:styleId="2CharChar0">
    <w:name w:val="四号正文缩进2 Char Char"/>
    <w:link w:val="2f2"/>
    <w:qFormat/>
    <w:rPr>
      <w:bCs/>
      <w:kern w:val="2"/>
      <w:sz w:val="28"/>
      <w:szCs w:val="21"/>
    </w:rPr>
  </w:style>
  <w:style w:type="paragraph" w:customStyle="1" w:styleId="2f2">
    <w:name w:val="四号正文缩进2"/>
    <w:basedOn w:val="a0"/>
    <w:link w:val="2CharChar0"/>
    <w:qFormat/>
    <w:pPr>
      <w:spacing w:line="360" w:lineRule="auto"/>
      <w:ind w:firstLineChars="200" w:firstLine="200"/>
    </w:pPr>
    <w:rPr>
      <w:bCs/>
      <w:sz w:val="28"/>
      <w:szCs w:val="21"/>
      <w:lang w:val="x-none" w:eastAsia="x-none"/>
    </w:rPr>
  </w:style>
  <w:style w:type="character" w:customStyle="1" w:styleId="2CharChar1">
    <w:name w:val="表格文字2 Char Char"/>
    <w:link w:val="2f3"/>
    <w:rPr>
      <w:rFonts w:eastAsia="宋体"/>
      <w:sz w:val="21"/>
      <w:lang w:val="en-US" w:eastAsia="zh-CN" w:bidi="ar-SA"/>
    </w:rPr>
  </w:style>
  <w:style w:type="paragraph" w:customStyle="1" w:styleId="2f3">
    <w:name w:val="表格文字2"/>
    <w:basedOn w:val="a0"/>
    <w:link w:val="2CharChar1"/>
    <w:qFormat/>
    <w:pPr>
      <w:tabs>
        <w:tab w:val="left" w:pos="277"/>
        <w:tab w:val="left" w:pos="600"/>
        <w:tab w:val="left" w:pos="780"/>
        <w:tab w:val="left" w:pos="2517"/>
      </w:tabs>
      <w:adjustRightInd w:val="0"/>
      <w:spacing w:before="60"/>
      <w:jc w:val="center"/>
      <w:textAlignment w:val="baseline"/>
    </w:pPr>
    <w:rPr>
      <w:kern w:val="0"/>
      <w:szCs w:val="20"/>
    </w:rPr>
  </w:style>
  <w:style w:type="character" w:customStyle="1" w:styleId="Charf9">
    <w:name w:val="！！文本正文 Char"/>
    <w:link w:val="afffe"/>
    <w:rPr>
      <w:rFonts w:eastAsia="宋体"/>
      <w:kern w:val="2"/>
      <w:sz w:val="28"/>
      <w:szCs w:val="24"/>
      <w:lang w:val="en-US" w:eastAsia="zh-CN" w:bidi="ar-SA"/>
    </w:rPr>
  </w:style>
  <w:style w:type="paragraph" w:customStyle="1" w:styleId="afffe">
    <w:name w:val="！！文本正文"/>
    <w:basedOn w:val="a0"/>
    <w:link w:val="Charf9"/>
    <w:pPr>
      <w:spacing w:line="540" w:lineRule="exact"/>
      <w:ind w:firstLineChars="200" w:firstLine="200"/>
    </w:pPr>
    <w:rPr>
      <w:sz w:val="28"/>
    </w:rPr>
  </w:style>
  <w:style w:type="character" w:customStyle="1" w:styleId="Charfa">
    <w:name w:val="正文内容 Char"/>
    <w:link w:val="affff"/>
    <w:rPr>
      <w:rFonts w:eastAsia="宋体" w:cs="宋体"/>
      <w:kern w:val="2"/>
      <w:sz w:val="28"/>
      <w:szCs w:val="24"/>
      <w:lang w:val="en-US" w:eastAsia="zh-CN" w:bidi="ar-SA"/>
    </w:rPr>
  </w:style>
  <w:style w:type="paragraph" w:customStyle="1" w:styleId="affff">
    <w:name w:val="正文内容"/>
    <w:basedOn w:val="a0"/>
    <w:link w:val="Charfa"/>
    <w:pPr>
      <w:spacing w:line="360" w:lineRule="auto"/>
      <w:ind w:firstLineChars="200" w:firstLine="200"/>
    </w:pPr>
    <w:rPr>
      <w:rFonts w:cs="宋体"/>
      <w:sz w:val="28"/>
    </w:rPr>
  </w:style>
  <w:style w:type="character" w:customStyle="1" w:styleId="style71">
    <w:name w:val="style71"/>
    <w:rPr>
      <w:rFonts w:ascii="黑体" w:eastAsia="黑体" w:cs="Times New Roman"/>
      <w:b/>
      <w:bCs/>
      <w:sz w:val="36"/>
      <w:szCs w:val="36"/>
    </w:rPr>
  </w:style>
  <w:style w:type="character" w:customStyle="1" w:styleId="2CharChar10">
    <w:name w:val="正文缩进2 Char Char1"/>
    <w:qFormat/>
    <w:rPr>
      <w:rFonts w:eastAsia="宋体"/>
      <w:bCs/>
      <w:kern w:val="2"/>
      <w:sz w:val="24"/>
      <w:szCs w:val="21"/>
      <w:lang w:val="en-US" w:eastAsia="zh-CN" w:bidi="ar-SA"/>
    </w:rPr>
  </w:style>
  <w:style w:type="character" w:customStyle="1" w:styleId="213Char">
    <w:name w:val="附件2.1 样式3 Char"/>
    <w:link w:val="213"/>
    <w:qFormat/>
    <w:rPr>
      <w:rFonts w:ascii="黑体" w:eastAsia="黑体" w:hAnsi="Arial"/>
      <w:b/>
      <w:bCs/>
      <w:kern w:val="2"/>
      <w:sz w:val="28"/>
      <w:szCs w:val="28"/>
    </w:rPr>
  </w:style>
  <w:style w:type="paragraph" w:customStyle="1" w:styleId="213">
    <w:name w:val="附件2.1 样式3"/>
    <w:basedOn w:val="2130"/>
    <w:link w:val="213Char"/>
    <w:qFormat/>
  </w:style>
  <w:style w:type="paragraph" w:customStyle="1" w:styleId="2130">
    <w:name w:val="附件2.1样式3"/>
    <w:basedOn w:val="113"/>
    <w:link w:val="213Char0"/>
    <w:qFormat/>
  </w:style>
  <w:style w:type="character" w:customStyle="1" w:styleId="213Char0">
    <w:name w:val="附件2.1样式3 Char"/>
    <w:link w:val="2130"/>
    <w:rPr>
      <w:rFonts w:ascii="黑体" w:eastAsia="黑体" w:hAnsi="Arial"/>
      <w:b/>
      <w:bCs/>
      <w:kern w:val="2"/>
      <w:sz w:val="28"/>
      <w:szCs w:val="28"/>
    </w:rPr>
  </w:style>
  <w:style w:type="character" w:customStyle="1" w:styleId="Charfb">
    <w:name w:val="表左 Char"/>
    <w:link w:val="affff0"/>
    <w:rPr>
      <w:bCs/>
      <w:kern w:val="2"/>
      <w:sz w:val="21"/>
      <w:szCs w:val="21"/>
    </w:rPr>
  </w:style>
  <w:style w:type="paragraph" w:customStyle="1" w:styleId="affff0">
    <w:name w:val="表左"/>
    <w:basedOn w:val="a0"/>
    <w:link w:val="Charfb"/>
    <w:qFormat/>
    <w:pPr>
      <w:jc w:val="left"/>
    </w:pPr>
    <w:rPr>
      <w:bCs/>
      <w:szCs w:val="21"/>
      <w:lang w:val="x-none" w:eastAsia="x-none"/>
    </w:rPr>
  </w:style>
  <w:style w:type="character" w:customStyle="1" w:styleId="111">
    <w:name w:val="标题 1 字符1"/>
    <w:aliases w:val="1级标题 章标题 字符,预评价 字符,章标题 字符,标题 1 预评价 字符,b1 字符,H1 字符,H11 字符,H12 字符,1.标题 1 字符,标题 1 Char Char 字符,h1 字符,1st level 字符,Section Head 字符,l1 字符,章标题 1 字符,featurehead 字符,§1. 字符,Heading 1p 字符,标1 字符,可研-标题 1 字符,Part 字符,H13 字符,H111 字符,H121 字符,H14 字符,H15 字符,章 字符"/>
    <w:qFormat/>
    <w:rPr>
      <w:rFonts w:ascii="Times New Roman" w:eastAsia="宋体" w:hAnsi="Times New Roman" w:cs="Times New Roman"/>
      <w:b/>
      <w:bCs/>
      <w:kern w:val="44"/>
      <w:sz w:val="44"/>
      <w:szCs w:val="44"/>
    </w:rPr>
  </w:style>
  <w:style w:type="character" w:customStyle="1" w:styleId="s1">
    <w:name w:val="s1"/>
    <w:rPr>
      <w:sz w:val="18"/>
      <w:szCs w:val="18"/>
    </w:rPr>
  </w:style>
  <w:style w:type="character" w:customStyle="1" w:styleId="font51">
    <w:name w:val="font51"/>
    <w:rPr>
      <w:rFonts w:ascii="宋体" w:eastAsia="宋体" w:hAnsi="宋体" w:cs="宋体" w:hint="eastAsia"/>
      <w:i w:val="0"/>
      <w:color w:val="FF0000"/>
      <w:sz w:val="18"/>
      <w:szCs w:val="18"/>
      <w:u w:val="none"/>
    </w:rPr>
  </w:style>
  <w:style w:type="character" w:customStyle="1" w:styleId="1f">
    <w:name w:val="正文文本 字符1"/>
    <w:aliases w:val="body text 字符,bt 字符,Body Text Char 字符,Body Text x 字符,正文文字1 字符,正文文字 Char 字符,正文文字 字符"/>
    <w:uiPriority w:val="99"/>
    <w:rPr>
      <w:kern w:val="2"/>
      <w:sz w:val="21"/>
      <w:szCs w:val="24"/>
    </w:rPr>
  </w:style>
  <w:style w:type="character" w:customStyle="1" w:styleId="Charfc">
    <w:name w:val="表头 Char"/>
    <w:link w:val="affff1"/>
    <w:rPr>
      <w:rFonts w:ascii="宋体" w:eastAsia="宋体" w:hAnsi="宋体"/>
      <w:b/>
      <w:bCs/>
      <w:kern w:val="2"/>
      <w:sz w:val="24"/>
      <w:szCs w:val="24"/>
      <w:lang w:val="en-US" w:eastAsia="zh-CN" w:bidi="ar-SA"/>
    </w:rPr>
  </w:style>
  <w:style w:type="paragraph" w:customStyle="1" w:styleId="affff1">
    <w:name w:val="表头"/>
    <w:basedOn w:val="a0"/>
    <w:link w:val="Charfc"/>
    <w:qFormat/>
    <w:pPr>
      <w:spacing w:line="360" w:lineRule="auto"/>
      <w:jc w:val="center"/>
    </w:pPr>
    <w:rPr>
      <w:rFonts w:ascii="宋体" w:hAnsi="宋体"/>
      <w:b/>
      <w:bCs/>
      <w:sz w:val="24"/>
    </w:rPr>
  </w:style>
  <w:style w:type="character" w:customStyle="1" w:styleId="H3Char">
    <w:name w:val="H3 Char"/>
    <w:qFormat/>
    <w:rPr>
      <w:rFonts w:ascii="黑体" w:eastAsia="黑体" w:hAnsi="Times New Roman" w:cs="Times New Roman"/>
      <w:b/>
      <w:sz w:val="28"/>
      <w:szCs w:val="24"/>
    </w:rPr>
  </w:style>
  <w:style w:type="character" w:customStyle="1" w:styleId="CharChar2">
    <w:name w:val="正文(首行缩进)宋旭峰 Char Char"/>
    <w:link w:val="affff2"/>
    <w:rPr>
      <w:rFonts w:cs="Arial"/>
      <w:snapToGrid w:val="0"/>
      <w:sz w:val="24"/>
      <w:szCs w:val="24"/>
    </w:rPr>
  </w:style>
  <w:style w:type="paragraph" w:customStyle="1" w:styleId="affff2">
    <w:name w:val="正文(首行缩进)宋旭峰"/>
    <w:basedOn w:val="a9"/>
    <w:link w:val="CharChar2"/>
    <w:pPr>
      <w:spacing w:beforeLines="50" w:before="120" w:afterLines="50" w:after="120" w:line="360" w:lineRule="auto"/>
      <w:ind w:firstLineChars="200" w:firstLine="480"/>
      <w:contextualSpacing/>
    </w:pPr>
    <w:rPr>
      <w:rFonts w:ascii="Times New Roman"/>
      <w:snapToGrid w:val="0"/>
      <w:szCs w:val="24"/>
      <w:lang w:val="x-none" w:eastAsia="x-none"/>
    </w:rPr>
  </w:style>
  <w:style w:type="character" w:customStyle="1" w:styleId="CharChar3">
    <w:name w:val="表头 Char Char"/>
    <w:rPr>
      <w:rFonts w:ascii="黑体" w:eastAsia="黑体"/>
      <w:color w:val="0000FF"/>
      <w:sz w:val="24"/>
      <w:szCs w:val="24"/>
      <w:lang w:val="en-US" w:eastAsia="zh-CN" w:bidi="ar-SA"/>
    </w:rPr>
  </w:style>
  <w:style w:type="character" w:customStyle="1" w:styleId="2TimesNewRomanChar">
    <w:name w:val="正文首行缩进 2 + Times New Roman Char"/>
    <w:link w:val="2TimesNewRoman"/>
    <w:qFormat/>
    <w:rPr>
      <w:rFonts w:ascii="宋体"/>
      <w:sz w:val="24"/>
      <w:szCs w:val="24"/>
    </w:rPr>
  </w:style>
  <w:style w:type="paragraph" w:customStyle="1" w:styleId="2TimesNewRoman">
    <w:name w:val="正文首行缩进 2 + Times New Roman"/>
    <w:basedOn w:val="a0"/>
    <w:link w:val="2TimesNewRomanChar"/>
    <w:qFormat/>
    <w:pPr>
      <w:tabs>
        <w:tab w:val="left" w:pos="0"/>
        <w:tab w:val="left" w:pos="870"/>
        <w:tab w:val="left" w:pos="3150"/>
      </w:tabs>
      <w:autoSpaceDE w:val="0"/>
      <w:autoSpaceDN w:val="0"/>
      <w:spacing w:line="360" w:lineRule="auto"/>
      <w:ind w:firstLineChars="200" w:firstLine="480"/>
      <w:jc w:val="left"/>
    </w:pPr>
    <w:rPr>
      <w:rFonts w:ascii="宋体"/>
      <w:kern w:val="0"/>
      <w:sz w:val="24"/>
      <w:lang w:val="x-none" w:eastAsia="x-none"/>
    </w:rPr>
  </w:style>
  <w:style w:type="character" w:customStyle="1" w:styleId="2Char12">
    <w:name w:val="正文文本 2 Char1"/>
    <w:uiPriority w:val="99"/>
    <w:qFormat/>
  </w:style>
  <w:style w:type="character" w:customStyle="1" w:styleId="Charfd">
    <w:name w:val="表格文字居中 Char"/>
    <w:link w:val="affff3"/>
    <w:rPr>
      <w:rFonts w:hAnsi="宋体"/>
      <w:kern w:val="2"/>
      <w:sz w:val="21"/>
    </w:rPr>
  </w:style>
  <w:style w:type="paragraph" w:customStyle="1" w:styleId="affff3">
    <w:name w:val="表格文字居中"/>
    <w:basedOn w:val="a0"/>
    <w:link w:val="Charfd"/>
    <w:qFormat/>
    <w:pPr>
      <w:tabs>
        <w:tab w:val="left" w:pos="180"/>
        <w:tab w:val="center" w:pos="279"/>
      </w:tabs>
      <w:ind w:right="-26"/>
      <w:jc w:val="center"/>
    </w:pPr>
    <w:rPr>
      <w:rFonts w:hAnsi="宋体"/>
      <w:szCs w:val="20"/>
      <w:lang w:val="x-none" w:eastAsia="x-none"/>
    </w:rPr>
  </w:style>
  <w:style w:type="character" w:customStyle="1" w:styleId="12Char">
    <w:name w:val="附件1样式2 Char"/>
    <w:link w:val="121"/>
    <w:rPr>
      <w:rFonts w:eastAsia="黑体"/>
      <w:b/>
      <w:kern w:val="2"/>
      <w:sz w:val="32"/>
      <w:szCs w:val="28"/>
    </w:rPr>
  </w:style>
  <w:style w:type="paragraph" w:customStyle="1" w:styleId="121">
    <w:name w:val="附件1样式2"/>
    <w:basedOn w:val="1f0"/>
    <w:link w:val="12Char"/>
    <w:qFormat/>
  </w:style>
  <w:style w:type="paragraph" w:customStyle="1" w:styleId="1f0">
    <w:name w:val="附件1"/>
    <w:basedOn w:val="a0"/>
    <w:next w:val="a0"/>
    <w:link w:val="1Char1"/>
    <w:pPr>
      <w:spacing w:beforeLines="100" w:afterLines="100" w:line="360" w:lineRule="auto"/>
      <w:ind w:left="420" w:hanging="420"/>
      <w:outlineLvl w:val="0"/>
    </w:pPr>
    <w:rPr>
      <w:rFonts w:eastAsia="黑体"/>
      <w:b/>
      <w:sz w:val="32"/>
      <w:szCs w:val="28"/>
      <w:lang w:val="x-none" w:eastAsia="x-none"/>
    </w:rPr>
  </w:style>
  <w:style w:type="character" w:customStyle="1" w:styleId="1Char1">
    <w:name w:val="附件1 Char"/>
    <w:link w:val="1f0"/>
    <w:rPr>
      <w:rFonts w:eastAsia="黑体"/>
      <w:b/>
      <w:kern w:val="2"/>
      <w:sz w:val="32"/>
      <w:szCs w:val="28"/>
    </w:rPr>
  </w:style>
  <w:style w:type="character" w:customStyle="1" w:styleId="title10">
    <w:name w:val="title1"/>
    <w:qFormat/>
    <w:rPr>
      <w:rFonts w:cs="Times New Roman"/>
    </w:rPr>
  </w:style>
  <w:style w:type="character" w:customStyle="1" w:styleId="CharChar4">
    <w:name w:val="序列格式 Char Char"/>
    <w:link w:val="affff4"/>
    <w:qFormat/>
    <w:rPr>
      <w:sz w:val="28"/>
      <w:szCs w:val="24"/>
    </w:rPr>
  </w:style>
  <w:style w:type="paragraph" w:customStyle="1" w:styleId="affff4">
    <w:name w:val="序列格式"/>
    <w:basedOn w:val="a0"/>
    <w:link w:val="CharChar4"/>
    <w:pPr>
      <w:tabs>
        <w:tab w:val="left" w:pos="0"/>
        <w:tab w:val="left" w:pos="560"/>
      </w:tabs>
      <w:spacing w:line="360" w:lineRule="auto"/>
      <w:ind w:left="560" w:hanging="560"/>
      <w:jc w:val="left"/>
    </w:pPr>
    <w:rPr>
      <w:kern w:val="0"/>
      <w:sz w:val="28"/>
      <w:lang w:val="x-none" w:eastAsia="x-none"/>
    </w:rPr>
  </w:style>
  <w:style w:type="character" w:customStyle="1" w:styleId="Charfe">
    <w:name w:val="批注文字 Char"/>
    <w:qFormat/>
  </w:style>
  <w:style w:type="character" w:customStyle="1" w:styleId="HTML9">
    <w:name w:val="HTML 预设格式 字符"/>
    <w:qFormat/>
    <w:rPr>
      <w:rFonts w:ascii="Courier New" w:hAnsi="Courier New" w:cs="Courier New"/>
      <w:kern w:val="2"/>
    </w:rPr>
  </w:style>
  <w:style w:type="character" w:customStyle="1" w:styleId="affff5">
    <w:name w:val="第一条"/>
    <w:rPr>
      <w:rFonts w:cs="Times New Roman"/>
    </w:rPr>
  </w:style>
  <w:style w:type="character" w:customStyle="1" w:styleId="-CharChar">
    <w:name w:val="-*+ Char Char"/>
    <w:qFormat/>
    <w:rPr>
      <w:rFonts w:eastAsia="黑体"/>
      <w:b/>
      <w:bCs/>
      <w:kern w:val="44"/>
      <w:sz w:val="32"/>
      <w:szCs w:val="44"/>
      <w:lang w:val="en-US" w:eastAsia="zh-CN" w:bidi="ar-SA"/>
    </w:rPr>
  </w:style>
  <w:style w:type="character" w:customStyle="1" w:styleId="1f1">
    <w:name w:val="正文1"/>
    <w:rPr>
      <w:rFonts w:ascii="宋体" w:eastAsia="宋体" w:hAnsi="宋体" w:hint="eastAsia"/>
      <w:sz w:val="22"/>
      <w:szCs w:val="22"/>
    </w:rPr>
  </w:style>
  <w:style w:type="character" w:customStyle="1" w:styleId="1f2">
    <w:name w:val="文档结构图 字符1"/>
    <w:qFormat/>
    <w:rPr>
      <w:rFonts w:ascii="Microsoft YaHei UI" w:eastAsia="Microsoft YaHei UI"/>
      <w:kern w:val="2"/>
      <w:sz w:val="18"/>
      <w:szCs w:val="18"/>
    </w:rPr>
  </w:style>
  <w:style w:type="character" w:customStyle="1" w:styleId="810">
    <w:name w:val="正文文本 (8)1"/>
    <w:rPr>
      <w:rFonts w:ascii="MingLiU" w:eastAsia="MingLiU" w:hAnsi="MingLiU" w:cs="MingLiU" w:hint="eastAsia"/>
      <w:b w:val="0"/>
      <w:bCs w:val="0"/>
      <w:i w:val="0"/>
      <w:iCs w:val="0"/>
      <w:smallCaps w:val="0"/>
      <w:strike w:val="0"/>
      <w:dstrike w:val="0"/>
      <w:color w:val="000000"/>
      <w:spacing w:val="0"/>
      <w:w w:val="100"/>
      <w:position w:val="0"/>
      <w:sz w:val="48"/>
      <w:szCs w:val="48"/>
      <w:u w:val="none"/>
      <w:lang w:val="zh-CN" w:eastAsia="zh-CN" w:bidi="zh-CN"/>
    </w:rPr>
  </w:style>
  <w:style w:type="character" w:customStyle="1" w:styleId="Charff">
    <w:name w:val="报告正文 Char"/>
    <w:link w:val="affff6"/>
    <w:rPr>
      <w:rFonts w:eastAsia="宋体" w:cs="宋体"/>
      <w:snapToGrid w:val="0"/>
      <w:kern w:val="24"/>
      <w:sz w:val="24"/>
      <w:szCs w:val="21"/>
      <w:lang w:val="en-US" w:eastAsia="zh-CN" w:bidi="ar-SA"/>
    </w:rPr>
  </w:style>
  <w:style w:type="paragraph" w:customStyle="1" w:styleId="affff6">
    <w:name w:val="报告正文"/>
    <w:basedOn w:val="a0"/>
    <w:link w:val="Charff"/>
    <w:qFormat/>
    <w:pPr>
      <w:adjustRightInd w:val="0"/>
      <w:spacing w:beforeLines="25" w:before="25" w:line="360" w:lineRule="auto"/>
      <w:ind w:firstLine="482"/>
      <w:textAlignment w:val="baseline"/>
    </w:pPr>
    <w:rPr>
      <w:rFonts w:cs="宋体"/>
      <w:snapToGrid w:val="0"/>
      <w:kern w:val="24"/>
      <w:sz w:val="24"/>
      <w:szCs w:val="21"/>
    </w:rPr>
  </w:style>
  <w:style w:type="character" w:customStyle="1" w:styleId="unnamed11">
    <w:name w:val="unnamed11"/>
    <w:qFormat/>
    <w:rPr>
      <w:rFonts w:ascii="Arial" w:hAnsi="Arial" w:cs="Arial" w:hint="default"/>
      <w:strike w:val="0"/>
      <w:dstrike w:val="0"/>
      <w:color w:val="000000"/>
      <w:sz w:val="18"/>
      <w:szCs w:val="18"/>
      <w:u w:val="none"/>
    </w:rPr>
  </w:style>
  <w:style w:type="character" w:customStyle="1" w:styleId="CharChar5">
    <w:name w:val="报告正文 Char Char"/>
    <w:qFormat/>
    <w:rPr>
      <w:rFonts w:ascii="宋体" w:eastAsia="宋体" w:hAnsi="宋体"/>
      <w:kern w:val="2"/>
      <w:sz w:val="24"/>
      <w:szCs w:val="24"/>
      <w:lang w:val="en-US" w:eastAsia="zh-CN" w:bidi="ar-SA"/>
    </w:rPr>
  </w:style>
  <w:style w:type="character" w:customStyle="1" w:styleId="H4Char">
    <w:name w:val="H4 Char"/>
    <w:aliases w:val="标题 4 Char1,H41 Char,款标题1.1.1.1 Char,L4 Char,Minor Heading Char,标题 4 Char Char Char1,h4 sub sub heading Char,标题 41 Char1,第三层条 Char,四 Char,heading 4 Char,PIM 4 Char,h4 Char,Map Title Char,H42 Char,H43 Char,H44 Char,H411 Char,H421 Char,H431 Char"/>
    <w:qFormat/>
    <w:rPr>
      <w:rFonts w:ascii="Times New Roman" w:eastAsia="宋体" w:hAnsi="Times New Roman" w:cs="Times New Roman"/>
      <w:sz w:val="28"/>
      <w:szCs w:val="20"/>
    </w:rPr>
  </w:style>
  <w:style w:type="character" w:customStyle="1" w:styleId="8Char">
    <w:name w:val="标题 8 Char"/>
    <w:aliases w:val="H8 Char,目标题 1) Char,无节款 Char,可研-标题 8 Char,. [(a)] Char"/>
    <w:rPr>
      <w:rFonts w:ascii="Arial" w:eastAsia="黑体" w:hAnsi="Arial" w:cs="Times New Roman"/>
      <w:kern w:val="0"/>
      <w:sz w:val="24"/>
      <w:szCs w:val="20"/>
    </w:rPr>
  </w:style>
  <w:style w:type="character" w:customStyle="1" w:styleId="Charff0">
    <w:name w:val="危化表格 Char"/>
    <w:link w:val="affff7"/>
    <w:rPr>
      <w:kern w:val="2"/>
      <w:sz w:val="21"/>
      <w:szCs w:val="24"/>
    </w:rPr>
  </w:style>
  <w:style w:type="paragraph" w:customStyle="1" w:styleId="affff7">
    <w:name w:val="危化表格"/>
    <w:basedOn w:val="a0"/>
    <w:link w:val="Charff0"/>
    <w:qFormat/>
    <w:pPr>
      <w:jc w:val="center"/>
    </w:pPr>
    <w:rPr>
      <w:lang w:val="x-none" w:eastAsia="x-none"/>
    </w:rPr>
  </w:style>
  <w:style w:type="character" w:customStyle="1" w:styleId="t11">
    <w:name w:val="t11"/>
    <w:qFormat/>
    <w:rPr>
      <w:rFonts w:cs="Times New Roman"/>
      <w:color w:val="000000"/>
      <w:sz w:val="21"/>
      <w:szCs w:val="21"/>
      <w:u w:val="none"/>
    </w:rPr>
  </w:style>
  <w:style w:type="character" w:customStyle="1" w:styleId="3513Char0">
    <w:name w:val="附件3.5.1样式3 Char"/>
    <w:link w:val="35130"/>
    <w:rPr>
      <w:rFonts w:ascii="黑体" w:eastAsia="黑体"/>
      <w:b/>
      <w:kern w:val="2"/>
      <w:sz w:val="28"/>
      <w:szCs w:val="24"/>
    </w:rPr>
  </w:style>
  <w:style w:type="paragraph" w:customStyle="1" w:styleId="35130">
    <w:name w:val="附件3.5.1样式3"/>
    <w:basedOn w:val="31130"/>
    <w:link w:val="3513Char0"/>
    <w:qFormat/>
  </w:style>
  <w:style w:type="character" w:customStyle="1" w:styleId="Char19">
    <w:name w:val="文档结构图 Char1"/>
    <w:uiPriority w:val="99"/>
    <w:semiHidden/>
    <w:qFormat/>
    <w:rPr>
      <w:rFonts w:ascii="宋体" w:eastAsia="宋体"/>
      <w:sz w:val="18"/>
      <w:szCs w:val="18"/>
    </w:rPr>
  </w:style>
  <w:style w:type="character" w:customStyle="1" w:styleId="312">
    <w:name w:val="标题 3 字符1"/>
    <w:aliases w:val="REP3 字符,REP31 字符,REP32 字符,REP33 字符,REP34 字符,REP35 字符,REP36 字符,REP37 字符,REP38 字符,REP39 字符,REP310 字符,REP311 字符,REP312 字符,REP313 字符,REP314 字符,REP321 字符,REP331 字符,REP341 字符,REP351 字符,REP361 字符,REP371 字符,REP381 字符,REP391 字符,REP3101 字符,REP3111 字符"/>
    <w:qFormat/>
    <w:rPr>
      <w:rFonts w:ascii="Times New Roman" w:eastAsia="宋体" w:hAnsi="Times New Roman" w:cs="Times New Roman"/>
      <w:b/>
      <w:bCs/>
      <w:kern w:val="2"/>
      <w:sz w:val="32"/>
      <w:szCs w:val="32"/>
    </w:rPr>
  </w:style>
  <w:style w:type="character" w:customStyle="1" w:styleId="1f3">
    <w:name w:val="正文文本首行缩进 字符1"/>
    <w:uiPriority w:val="99"/>
    <w:qFormat/>
    <w:rPr>
      <w:rFonts w:ascii="Times New Roman" w:eastAsia="宋体" w:hAnsi="Times New Roman" w:cs="Times New Roman"/>
      <w:kern w:val="2"/>
      <w:sz w:val="21"/>
      <w:szCs w:val="24"/>
      <w:lang w:val="en-US" w:eastAsia="zh-CN" w:bidi="ar-SA"/>
    </w:rPr>
  </w:style>
  <w:style w:type="character" w:customStyle="1" w:styleId="CharChar6">
    <w:name w:val="！！一级标题 Char Char"/>
    <w:link w:val="a"/>
    <w:qFormat/>
    <w:rPr>
      <w:rFonts w:eastAsia="黑体"/>
      <w:bCs/>
      <w:color w:val="000000"/>
      <w:kern w:val="2"/>
      <w:sz w:val="30"/>
      <w:szCs w:val="32"/>
      <w:lang w:val="x-none" w:eastAsia="x-none"/>
    </w:rPr>
  </w:style>
  <w:style w:type="paragraph" w:customStyle="1" w:styleId="a">
    <w:name w:val="！！一级标题"/>
    <w:basedOn w:val="1"/>
    <w:next w:val="a0"/>
    <w:link w:val="CharChar6"/>
    <w:qFormat/>
    <w:pPr>
      <w:numPr>
        <w:numId w:val="6"/>
      </w:numPr>
      <w:spacing w:beforeLines="150" w:before="468" w:afterLines="150" w:after="468" w:line="240" w:lineRule="auto"/>
    </w:pPr>
    <w:rPr>
      <w:rFonts w:ascii="Times New Roman" w:hAnsi="Times New Roman"/>
      <w:b w:val="0"/>
      <w:bCs/>
      <w:color w:val="000000"/>
      <w:sz w:val="30"/>
      <w:szCs w:val="32"/>
      <w:lang w:val="x-none" w:eastAsia="x-none"/>
    </w:rPr>
  </w:style>
  <w:style w:type="character" w:customStyle="1" w:styleId="large1">
    <w:name w:val="large1"/>
    <w:qFormat/>
    <w:rPr>
      <w:rFonts w:ascii="宋体" w:eastAsia="宋体" w:hAnsi="宋体" w:cs="Times New Roman"/>
      <w:sz w:val="22"/>
      <w:szCs w:val="22"/>
    </w:rPr>
  </w:style>
  <w:style w:type="character" w:customStyle="1" w:styleId="01CharChar">
    <w:name w:val="正文01 Char Char"/>
    <w:rPr>
      <w:rFonts w:eastAsia="宋体"/>
      <w:kern w:val="2"/>
      <w:sz w:val="24"/>
      <w:szCs w:val="24"/>
      <w:lang w:val="en-US" w:eastAsia="zh-CN" w:bidi="ar-SA"/>
    </w:rPr>
  </w:style>
  <w:style w:type="character" w:customStyle="1" w:styleId="1f4">
    <w:name w:val="日期 字符1"/>
    <w:qFormat/>
    <w:rPr>
      <w:kern w:val="2"/>
      <w:sz w:val="21"/>
      <w:szCs w:val="24"/>
    </w:rPr>
  </w:style>
  <w:style w:type="character" w:customStyle="1" w:styleId="510">
    <w:name w:val="标题 5 字符1"/>
    <w:aliases w:val="标题1.1.1.1.1 字符,H5 字符,H51 字符,标题 5! 字符1,1) 字符1,项 字符1,无序号，小四黑常规，空两字 字符1,无序号，小四黑常规，空两字 Char Char Char Char Char Char 字符1,标题 5 Char Char Char Char Char Char 字符1,标5 字符1,标5 Char 字符1,可研-标题 5 字符1,一级项 字符1,标题 5 Char2 字符1,1) Char2 字符1,项 Char2 字符1,标题 52 字符1"/>
    <w:qFormat/>
    <w:rPr>
      <w:rFonts w:ascii="Times New Roman" w:eastAsia="宋体" w:hAnsi="Times New Roman" w:cs="Times New Roman"/>
      <w:b/>
      <w:bCs/>
      <w:kern w:val="2"/>
      <w:sz w:val="28"/>
      <w:szCs w:val="28"/>
    </w:rPr>
  </w:style>
  <w:style w:type="character" w:customStyle="1" w:styleId="font01">
    <w:name w:val="font01"/>
    <w:qFormat/>
    <w:rPr>
      <w:rFonts w:ascii="Arial" w:hAnsi="Arial" w:cs="Arial"/>
      <w:i w:val="0"/>
      <w:color w:val="000000"/>
      <w:sz w:val="18"/>
      <w:szCs w:val="18"/>
      <w:u w:val="none"/>
    </w:rPr>
  </w:style>
  <w:style w:type="character" w:customStyle="1" w:styleId="p111">
    <w:name w:val="p111"/>
    <w:rPr>
      <w:rFonts w:cs="Times New Roman"/>
      <w:b/>
      <w:bCs/>
      <w:color w:val="FA7E2C"/>
      <w:sz w:val="21"/>
      <w:szCs w:val="21"/>
    </w:rPr>
  </w:style>
  <w:style w:type="character" w:customStyle="1" w:styleId="ital1">
    <w:name w:val="ital1"/>
    <w:rPr>
      <w:b w:val="0"/>
      <w:bCs w:val="0"/>
      <w:i/>
      <w:iCs/>
      <w:smallCaps w:val="0"/>
    </w:rPr>
  </w:style>
  <w:style w:type="character" w:customStyle="1" w:styleId="apple-style-span">
    <w:name w:val="apple-style-span"/>
    <w:qFormat/>
  </w:style>
  <w:style w:type="character" w:customStyle="1" w:styleId="1Char2">
    <w:name w:val="正文文字1 Char"/>
    <w:rPr>
      <w:rFonts w:ascii="宋体" w:eastAsia="宋体" w:hAnsi="宋体"/>
      <w:kern w:val="2"/>
      <w:sz w:val="24"/>
      <w:lang w:val="en-US" w:eastAsia="zh-CN" w:bidi="ar-SA"/>
    </w:rPr>
  </w:style>
  <w:style w:type="character" w:customStyle="1" w:styleId="3zw">
    <w:name w:val="3zw"/>
    <w:rPr>
      <w:rFonts w:cs="Times New Roman"/>
    </w:rPr>
  </w:style>
  <w:style w:type="character" w:customStyle="1" w:styleId="112">
    <w:name w:val="标题11"/>
  </w:style>
  <w:style w:type="character" w:customStyle="1" w:styleId="2513Char">
    <w:name w:val="附件2.5.1样式3 Char"/>
    <w:link w:val="2513"/>
    <w:qFormat/>
    <w:rPr>
      <w:rFonts w:ascii="黑体" w:eastAsia="黑体" w:hAnsi="Arial"/>
      <w:b/>
      <w:bCs/>
      <w:kern w:val="2"/>
      <w:sz w:val="28"/>
      <w:szCs w:val="32"/>
    </w:rPr>
  </w:style>
  <w:style w:type="paragraph" w:customStyle="1" w:styleId="2513">
    <w:name w:val="附件2.5.1样式3"/>
    <w:basedOn w:val="2113"/>
    <w:link w:val="2513Char"/>
    <w:qFormat/>
  </w:style>
  <w:style w:type="character" w:customStyle="1" w:styleId="fonttitle">
    <w:name w:val="fonttitle"/>
  </w:style>
  <w:style w:type="character" w:customStyle="1" w:styleId="pg1">
    <w:name w:val="pg1"/>
    <w:qFormat/>
    <w:rPr>
      <w:rFonts w:cs="Times New Roman"/>
      <w:color w:val="000000"/>
      <w:sz w:val="18"/>
      <w:szCs w:val="18"/>
    </w:rPr>
  </w:style>
  <w:style w:type="character" w:customStyle="1" w:styleId="headline-content2">
    <w:name w:val="headline-content2"/>
    <w:rPr>
      <w:rFonts w:cs="Times New Roman"/>
    </w:rPr>
  </w:style>
  <w:style w:type="character" w:customStyle="1" w:styleId="Charff1">
    <w:name w:val="表格文字 Char"/>
    <w:link w:val="affff8"/>
    <w:rPr>
      <w:rFonts w:ascii="仿宋_GB2312" w:eastAsia="仿宋_GB2312"/>
      <w:bCs/>
      <w:color w:val="0000FF"/>
      <w:kern w:val="2"/>
      <w:sz w:val="21"/>
      <w:lang w:val="en-US" w:eastAsia="zh-CN" w:bidi="ar-SA"/>
    </w:rPr>
  </w:style>
  <w:style w:type="paragraph" w:customStyle="1" w:styleId="affff8">
    <w:name w:val="表格文字"/>
    <w:basedOn w:val="af2"/>
    <w:link w:val="Charff1"/>
    <w:qFormat/>
    <w:pPr>
      <w:adjustRightInd w:val="0"/>
      <w:snapToGrid w:val="0"/>
      <w:spacing w:line="360" w:lineRule="auto"/>
    </w:pPr>
    <w:rPr>
      <w:rFonts w:ascii="仿宋_GB2312" w:eastAsia="仿宋_GB2312"/>
      <w:bCs/>
      <w:color w:val="0000FF"/>
      <w:szCs w:val="20"/>
      <w:lang w:val="en-US" w:eastAsia="zh-CN"/>
    </w:rPr>
  </w:style>
  <w:style w:type="character" w:customStyle="1" w:styleId="z-">
    <w:name w:val="z-窗体底端 字符"/>
    <w:link w:val="HTMLBottomofForm"/>
    <w:rPr>
      <w:rFonts w:ascii="Arial" w:hAnsi="Arial" w:cs="Arial"/>
      <w:vanish/>
      <w:kern w:val="2"/>
      <w:sz w:val="16"/>
      <w:szCs w:val="16"/>
    </w:rPr>
  </w:style>
  <w:style w:type="paragraph" w:customStyle="1" w:styleId="HTMLBottomofForm">
    <w:name w:val="HTML Bottom of Form"/>
    <w:basedOn w:val="a0"/>
    <w:next w:val="a0"/>
    <w:link w:val="z-"/>
    <w:pPr>
      <w:pBdr>
        <w:top w:val="single" w:sz="6" w:space="1" w:color="auto"/>
      </w:pBdr>
      <w:jc w:val="center"/>
    </w:pPr>
    <w:rPr>
      <w:rFonts w:ascii="Arial" w:hAnsi="Arial"/>
      <w:vanish/>
      <w:sz w:val="16"/>
      <w:szCs w:val="16"/>
      <w:lang w:val="x-none" w:eastAsia="x-none"/>
    </w:rPr>
  </w:style>
  <w:style w:type="character" w:customStyle="1" w:styleId="MingLiU7">
    <w:name w:val="正文文本 + MingLiU7"/>
    <w:rPr>
      <w:rFonts w:ascii="MingLiU" w:eastAsia="MingLiU" w:hAnsi="宋体" w:cs="MingLiU"/>
      <w:b/>
      <w:bCs/>
      <w:kern w:val="2"/>
      <w:sz w:val="16"/>
      <w:szCs w:val="16"/>
      <w:u w:val="none"/>
      <w:lang w:val="en-US" w:eastAsia="en-US" w:bidi="ar-SA"/>
    </w:rPr>
  </w:style>
  <w:style w:type="character" w:customStyle="1" w:styleId="811">
    <w:name w:val="标题 8 字符1"/>
    <w:aliases w:val="目标题 1) 字符,无节款 字符,可研-标题 8 字符,H8 字符,无节款 字符1,可研-标题 8 字符1,目标题 1) 字符1,H8 字符1,. [(a)] 字符1"/>
    <w:rPr>
      <w:rFonts w:ascii="Cambria" w:eastAsia="宋体" w:hAnsi="Cambria" w:cs="Times New Roman"/>
      <w:kern w:val="2"/>
      <w:sz w:val="24"/>
      <w:szCs w:val="24"/>
    </w:rPr>
  </w:style>
  <w:style w:type="character" w:customStyle="1" w:styleId="px141">
    <w:name w:val="px141"/>
    <w:rPr>
      <w:rFonts w:cs="Times New Roman"/>
      <w:sz w:val="21"/>
      <w:szCs w:val="21"/>
    </w:rPr>
  </w:style>
  <w:style w:type="character" w:customStyle="1" w:styleId="font21">
    <w:name w:val="font21"/>
    <w:qFormat/>
    <w:rPr>
      <w:rFonts w:ascii="等线" w:eastAsia="等线" w:hAnsi="等线" w:cs="等线" w:hint="default"/>
      <w:i w:val="0"/>
      <w:color w:val="000000"/>
      <w:sz w:val="20"/>
      <w:szCs w:val="20"/>
      <w:u w:val="none"/>
    </w:rPr>
  </w:style>
  <w:style w:type="character" w:customStyle="1" w:styleId="nom1">
    <w:name w:val="nom1"/>
    <w:qFormat/>
    <w:rPr>
      <w:strike w:val="0"/>
      <w:dstrike w:val="0"/>
      <w:sz w:val="21"/>
      <w:szCs w:val="21"/>
      <w:u w:val="none"/>
    </w:rPr>
  </w:style>
  <w:style w:type="character" w:customStyle="1" w:styleId="hsubsm1">
    <w:name w:val="hsubsm1"/>
    <w:rPr>
      <w:b w:val="0"/>
      <w:bCs w:val="0"/>
      <w:i w:val="0"/>
      <w:iCs w:val="0"/>
      <w:sz w:val="20"/>
      <w:szCs w:val="20"/>
      <w:vertAlign w:val="subscript"/>
    </w:rPr>
  </w:style>
  <w:style w:type="character" w:customStyle="1" w:styleId="1CharChar1">
    <w:name w:val="1 Char Char1"/>
    <w:aliases w:val="p2 Char,节 Ch,标题 21 Char Char1"/>
    <w:qFormat/>
    <w:rPr>
      <w:rFonts w:ascii="黑体" w:eastAsia="黑体" w:hAnsi="Arial"/>
      <w:b/>
      <w:bCs/>
      <w:kern w:val="2"/>
      <w:sz w:val="28"/>
      <w:szCs w:val="32"/>
    </w:rPr>
  </w:style>
  <w:style w:type="character" w:customStyle="1" w:styleId="mainnewstitle1">
    <w:name w:val="main_news_title1"/>
    <w:qFormat/>
    <w:rPr>
      <w:rFonts w:ascii="Arial" w:hAnsi="Arial" w:hint="default"/>
      <w:b/>
      <w:color w:val="3B73B9"/>
      <w:spacing w:val="-15"/>
      <w:sz w:val="17"/>
    </w:rPr>
  </w:style>
  <w:style w:type="character" w:customStyle="1" w:styleId="211">
    <w:name w:val="正文文本缩进 2 字符1"/>
    <w:aliases w:val="正文文字缩进 21 字符,Body Text Indent 2 字符,正文文字缩进 2 字符,正文文字缩进 21 字符1,Body Text Indent 2 字符1,正文文字缩进 2 字符1"/>
    <w:qFormat/>
    <w:rPr>
      <w:kern w:val="2"/>
      <w:sz w:val="21"/>
      <w:szCs w:val="24"/>
    </w:rPr>
  </w:style>
  <w:style w:type="character" w:customStyle="1" w:styleId="2f4">
    <w:name w:val="正文文本 (2)_"/>
    <w:link w:val="2f5"/>
    <w:rPr>
      <w:rFonts w:ascii="MingLiU" w:eastAsia="MingLiU"/>
      <w:sz w:val="22"/>
      <w:szCs w:val="22"/>
      <w:lang w:bidi="ar-SA"/>
    </w:rPr>
  </w:style>
  <w:style w:type="paragraph" w:customStyle="1" w:styleId="2f5">
    <w:name w:val="正文文本 (2)"/>
    <w:basedOn w:val="a0"/>
    <w:link w:val="2f4"/>
    <w:pPr>
      <w:shd w:val="clear" w:color="auto" w:fill="FFFFFF"/>
      <w:spacing w:line="317" w:lineRule="exact"/>
      <w:ind w:firstLine="480"/>
      <w:jc w:val="distribute"/>
    </w:pPr>
    <w:rPr>
      <w:rFonts w:ascii="MingLiU" w:eastAsia="MingLiU"/>
      <w:kern w:val="0"/>
      <w:sz w:val="22"/>
      <w:szCs w:val="22"/>
      <w:lang w:val="x-none" w:eastAsia="x-none"/>
    </w:rPr>
  </w:style>
  <w:style w:type="character" w:customStyle="1" w:styleId="2Char3">
    <w:name w:val="正文文本缩进 2 Char"/>
    <w:aliases w:val="正文文字缩进 21 Char,正文文字缩进 2 Char,ÕýÎÄÎÄ×ÖËõ½ø 21 Char,?y????¡Á????? 21 Char,?y?????¨¢????? 21 Char,?y?????¡§¡é????? 21 Char,?y??????¡ì?¨¦????? 21 Char,?y???????¨¬?¡§|????? 21 Char,?y???????¡§???¡ì|????? 21 Char,?y????????¡ì????¨¬|????? 21 Char"/>
    <w:rPr>
      <w:rFonts w:ascii="宋体" w:eastAsia="宋体" w:hAnsi="宋体" w:cs="Times New Roman"/>
      <w:sz w:val="28"/>
      <w:szCs w:val="24"/>
    </w:rPr>
  </w:style>
  <w:style w:type="character" w:customStyle="1" w:styleId="131Char">
    <w:name w:val="附件1.3.1 Char"/>
    <w:link w:val="131"/>
    <w:rPr>
      <w:rFonts w:ascii="黑体" w:eastAsia="黑体"/>
      <w:b/>
      <w:kern w:val="2"/>
      <w:sz w:val="28"/>
      <w:szCs w:val="24"/>
    </w:rPr>
  </w:style>
  <w:style w:type="paragraph" w:customStyle="1" w:styleId="131">
    <w:name w:val="附件1.3.1"/>
    <w:basedOn w:val="3"/>
    <w:link w:val="131Char"/>
    <w:qFormat/>
    <w:pPr>
      <w:ind w:firstLine="556"/>
      <w:jc w:val="both"/>
    </w:pPr>
    <w:rPr>
      <w:bCs w:val="0"/>
      <w:sz w:val="28"/>
      <w:szCs w:val="24"/>
      <w:lang w:val="x-none" w:eastAsia="x-none"/>
    </w:rPr>
  </w:style>
  <w:style w:type="character" w:customStyle="1" w:styleId="affff9">
    <w:name w:val="正文文本首行缩进 字符"/>
    <w:aliases w:val="可研-正文首行缩进 Char Char Char 字符,Char Char Char Char Char Char Char Char Char Char Char Char Char Char Char Char Char Char Char Char Char Char Char Char Char Char Char 字符,正文首行缩进 Char Char 字符,正文首行缩进 Char Char Char Char Char Char 字符,正文首行缩进2 字符"/>
    <w:link w:val="1f5"/>
    <w:qFormat/>
    <w:rPr>
      <w:kern w:val="2"/>
      <w:sz w:val="21"/>
      <w:szCs w:val="24"/>
    </w:rPr>
  </w:style>
  <w:style w:type="paragraph" w:customStyle="1" w:styleId="1f5">
    <w:name w:val="正文首行缩进1"/>
    <w:basedOn w:val="af2"/>
    <w:link w:val="affff9"/>
    <w:pPr>
      <w:spacing w:after="120" w:line="240" w:lineRule="auto"/>
      <w:ind w:firstLineChars="100" w:firstLine="420"/>
      <w:jc w:val="both"/>
    </w:pPr>
  </w:style>
  <w:style w:type="character" w:customStyle="1" w:styleId="212">
    <w:name w:val="标题 2 字符1"/>
    <w:aliases w:val="标题 2 Char2 字符,标题 2 Char Char 字符,标题 2 Char1 Char Char 字符,标题 2 Char Char Char Char 字符,标题 2 Char1 Char Char Char Char 字符,标题 2 Char Char Char Char Char Char 字符,标题 2 Char2 Char Char 字符,标题 2 Char1 Char1 Char Char 字符,标题 2 Char Char Char1 Char Char 字符"/>
    <w:qFormat/>
    <w:rPr>
      <w:rFonts w:ascii="Cambria" w:eastAsia="宋体" w:hAnsi="Cambria" w:cs="Times New Roman"/>
      <w:b/>
      <w:bCs/>
      <w:kern w:val="2"/>
      <w:sz w:val="32"/>
      <w:szCs w:val="32"/>
    </w:rPr>
  </w:style>
  <w:style w:type="character" w:customStyle="1" w:styleId="CharChar7">
    <w:name w:val="节标题 Char Char"/>
    <w:rPr>
      <w:rFonts w:ascii="Arial" w:eastAsia="黑体" w:hAnsi="Arial"/>
      <w:b/>
      <w:bCs/>
      <w:kern w:val="2"/>
      <w:sz w:val="32"/>
      <w:szCs w:val="32"/>
      <w:lang w:val="en-US" w:eastAsia="zh-CN" w:bidi="ar-SA"/>
    </w:rPr>
  </w:style>
  <w:style w:type="character" w:customStyle="1" w:styleId="610">
    <w:name w:val="标题 6 字符1"/>
    <w:aliases w:val="H6 字符,H61 字符,标题1.1.1.1.1.1 字符,标题 6! 字符1,无节 字符1,标题6，6级标题，小四中宋粗，无序号 字符1,标题8 字符1,二级项 字符1,标6 字符1,可研-标题 6 字符1,标6 Char 字符1,标题 6！ 字符1,H6 字符1,标题1.1.1.1.1.1 字符1,标题 55 字符1,H61 字符1,. (a.) 字符1,b6 字符1,标题 6，图标题 字符1,无节1 字符1,标题81 字符1,标题81 Char 字符1,无节2 字符1"/>
    <w:qFormat/>
    <w:rPr>
      <w:rFonts w:ascii="Cambria" w:eastAsia="宋体" w:hAnsi="Cambria" w:cs="Times New Roman"/>
      <w:b/>
      <w:bCs/>
      <w:kern w:val="2"/>
      <w:sz w:val="24"/>
      <w:szCs w:val="24"/>
    </w:rPr>
  </w:style>
  <w:style w:type="character" w:customStyle="1" w:styleId="3f0">
    <w:name w:val="正文文本 (3)_"/>
    <w:link w:val="3f1"/>
    <w:rPr>
      <w:rFonts w:ascii="MingLiU" w:eastAsia="MingLiU"/>
      <w:spacing w:val="-10"/>
      <w:sz w:val="25"/>
      <w:szCs w:val="25"/>
      <w:lang w:bidi="ar-SA"/>
    </w:rPr>
  </w:style>
  <w:style w:type="paragraph" w:customStyle="1" w:styleId="3f1">
    <w:name w:val="正文文本 (3)"/>
    <w:basedOn w:val="a0"/>
    <w:link w:val="3f0"/>
    <w:pPr>
      <w:shd w:val="clear" w:color="auto" w:fill="FFFFFF"/>
      <w:spacing w:line="320" w:lineRule="exact"/>
      <w:jc w:val="left"/>
    </w:pPr>
    <w:rPr>
      <w:rFonts w:ascii="MingLiU" w:eastAsia="MingLiU"/>
      <w:spacing w:val="-10"/>
      <w:kern w:val="0"/>
      <w:sz w:val="25"/>
      <w:szCs w:val="25"/>
      <w:lang w:val="x-none" w:eastAsia="x-none"/>
    </w:rPr>
  </w:style>
  <w:style w:type="character" w:customStyle="1" w:styleId="UnresolvedMention">
    <w:name w:val="Unresolved Mention"/>
    <w:uiPriority w:val="99"/>
    <w:unhideWhenUsed/>
    <w:rPr>
      <w:color w:val="605E5C"/>
      <w:shd w:val="clear" w:color="auto" w:fill="E1DFDD"/>
    </w:rPr>
  </w:style>
  <w:style w:type="character" w:customStyle="1" w:styleId="3CharCharCharCharCharCharCharCharCharCharCharCharCharCharCharCharCharCharCharCharCharCharCharCharCharCharCharCharCharCharCharCharCharCharCharCharCharCharCharCharChar">
    <w:name w:val="样式 标题 3 + 宋体 Char Char Char Char Char Char Char Char Char Char Char Char Char Char Char Char Char Char Char Char Char Char Char Char Char Char Char Char Char Char Char Char Char Char Char Char Char Char Char Char Char"/>
    <w:rPr>
      <w:rFonts w:ascii="宋体" w:eastAsia="宋体" w:hAnsi="宋体"/>
      <w:b/>
      <w:kern w:val="2"/>
      <w:sz w:val="28"/>
      <w:lang w:val="en-US" w:eastAsia="zh-CN"/>
    </w:rPr>
  </w:style>
  <w:style w:type="character" w:customStyle="1" w:styleId="410">
    <w:name w:val="标题 4 字符1"/>
    <w:aliases w:val="H4 字符,H41 字符,款标题1.1.1.1 字符,Map Title 字符,H42 字符,H43 字符,H44 字符,H411 字符,H421 字符,H431 字符,H45 字符,H412 字符,H422 字符,H432 字符,H46 字符,H413 字符,H423 字符,H433 字符,H47 字符,Number 4 字符,heading 4 字符,1.1.1.1 字符1,标题 4.1.1.1.1 字符1,款 字符1,四级标题，黑粗，小四，序号 字符1,H4 字符1"/>
    <w:qFormat/>
    <w:rPr>
      <w:rFonts w:ascii="Cambria" w:eastAsia="宋体" w:hAnsi="Cambria" w:cs="Times New Roman"/>
      <w:b/>
      <w:bCs/>
      <w:kern w:val="2"/>
      <w:sz w:val="28"/>
      <w:szCs w:val="28"/>
    </w:rPr>
  </w:style>
  <w:style w:type="character" w:customStyle="1" w:styleId="tit">
    <w:name w:val="tit"/>
    <w:rPr>
      <w:rFonts w:cs="Times New Roman"/>
    </w:rPr>
  </w:style>
  <w:style w:type="character" w:customStyle="1" w:styleId="Charff2">
    <w:name w:val="页眉 Char"/>
    <w:qFormat/>
    <w:rPr>
      <w:rFonts w:ascii="Times New Roman" w:eastAsia="宋体" w:hAnsi="Times New Roman" w:cs="Times New Roman"/>
      <w:sz w:val="18"/>
      <w:szCs w:val="18"/>
    </w:rPr>
  </w:style>
  <w:style w:type="character" w:customStyle="1" w:styleId="3Char11">
    <w:name w:val="标题 3 Char1"/>
    <w:aliases w:val="标题 3 Char Char Char Char1,标题 3 Char Char Char Char Char Char Char,标题 3 Char Char Char Char Char Char1,标题 3 Char Char Char Char Char1,标题 3 Char Char Char Char Char Char Char Char Char Char Char,标题 3 Char Char Char1,小标题 Char,标题 3 Char Char1"/>
    <w:qFormat/>
    <w:rPr>
      <w:rFonts w:ascii="Times New Roman" w:eastAsia="宋体" w:hAnsi="Times New Roman" w:cs="Times New Roman"/>
      <w:b/>
      <w:sz w:val="32"/>
      <w:szCs w:val="20"/>
    </w:rPr>
  </w:style>
  <w:style w:type="character" w:customStyle="1" w:styleId="style61">
    <w:name w:val="style61"/>
    <w:rPr>
      <w:rFonts w:cs="Times New Roman"/>
      <w:sz w:val="20"/>
      <w:szCs w:val="20"/>
    </w:rPr>
  </w:style>
  <w:style w:type="character" w:customStyle="1" w:styleId="2CharCharCharCharCharChar">
    <w:name w:val="正文2 Char Char Char Char Char Char"/>
    <w:link w:val="2CharCharCharChar"/>
    <w:qFormat/>
    <w:rPr>
      <w:sz w:val="28"/>
      <w:szCs w:val="24"/>
    </w:rPr>
  </w:style>
  <w:style w:type="paragraph" w:customStyle="1" w:styleId="2CharCharCharChar">
    <w:name w:val="正文2 Char Char Char Char"/>
    <w:basedOn w:val="a0"/>
    <w:link w:val="2CharCharCharCharCharChar"/>
    <w:pPr>
      <w:adjustRightInd w:val="0"/>
      <w:snapToGrid w:val="0"/>
      <w:spacing w:line="520" w:lineRule="exact"/>
      <w:ind w:firstLine="567"/>
    </w:pPr>
    <w:rPr>
      <w:kern w:val="0"/>
      <w:sz w:val="28"/>
      <w:lang w:val="x-none" w:eastAsia="x-none"/>
    </w:rPr>
  </w:style>
  <w:style w:type="character" w:customStyle="1" w:styleId="Charff3">
    <w:name w:val="标题 Char"/>
    <w:aliases w:val="h4标题4 Char"/>
    <w:uiPriority w:val="10"/>
    <w:rPr>
      <w:rFonts w:ascii="Arial" w:eastAsia="宋体" w:hAnsi="Arial" w:cs="Arial"/>
      <w:b/>
      <w:bCs/>
      <w:sz w:val="32"/>
      <w:szCs w:val="32"/>
    </w:rPr>
  </w:style>
  <w:style w:type="character" w:customStyle="1" w:styleId="unnamed141">
    <w:name w:val="unnamed141"/>
    <w:rPr>
      <w:rFonts w:cs="Times New Roman"/>
      <w:sz w:val="28"/>
      <w:szCs w:val="28"/>
    </w:rPr>
  </w:style>
  <w:style w:type="character" w:customStyle="1" w:styleId="6CharChar">
    <w:name w:val="样式6 Char Char"/>
    <w:qFormat/>
    <w:rPr>
      <w:rFonts w:eastAsia="宋体"/>
      <w:b/>
      <w:snapToGrid w:val="0"/>
      <w:color w:val="000000"/>
      <w:sz w:val="24"/>
      <w:szCs w:val="24"/>
      <w:lang w:val="en-US" w:eastAsia="zh-CN" w:bidi="ar-SA"/>
    </w:rPr>
  </w:style>
  <w:style w:type="character" w:customStyle="1" w:styleId="Char1a">
    <w:name w:val="表格居中 Char1"/>
    <w:link w:val="affffa"/>
    <w:rPr>
      <w:bCs/>
      <w:kern w:val="2"/>
      <w:sz w:val="21"/>
      <w:szCs w:val="21"/>
    </w:rPr>
  </w:style>
  <w:style w:type="paragraph" w:customStyle="1" w:styleId="affffa">
    <w:name w:val="表格居中"/>
    <w:basedOn w:val="a0"/>
    <w:link w:val="Char1a"/>
    <w:pPr>
      <w:jc w:val="center"/>
    </w:pPr>
    <w:rPr>
      <w:bCs/>
      <w:szCs w:val="21"/>
      <w:lang w:val="x-none" w:eastAsia="x-none"/>
    </w:rPr>
  </w:style>
  <w:style w:type="character" w:customStyle="1" w:styleId="214">
    <w:name w:val="正文文本首行缩进 2 字符1"/>
    <w:uiPriority w:val="99"/>
    <w:semiHidden/>
    <w:qFormat/>
  </w:style>
  <w:style w:type="character" w:customStyle="1" w:styleId="bjh-strong">
    <w:name w:val="bjh-strong"/>
  </w:style>
  <w:style w:type="character" w:customStyle="1" w:styleId="190">
    <w:name w:val="19号令"/>
    <w:qFormat/>
  </w:style>
  <w:style w:type="character" w:customStyle="1" w:styleId="9Char">
    <w:name w:val="标题 9 Char"/>
    <w:aliases w:val="H9 Char,干标题(a) Char,可研-标题 9 Char,Legal Level 1.1.1.1. Char,append Char,. [(iii)] Char"/>
    <w:rPr>
      <w:rFonts w:ascii="Arial" w:eastAsia="黑体" w:hAnsi="Arial" w:cs="Times New Roman"/>
      <w:kern w:val="0"/>
      <w:szCs w:val="20"/>
    </w:rPr>
  </w:style>
  <w:style w:type="character" w:customStyle="1" w:styleId="affffb">
    <w:name w:val="正文文本_"/>
    <w:link w:val="100"/>
    <w:rPr>
      <w:rFonts w:ascii="MingLiU" w:eastAsia="MingLiU" w:cs="MingLiU"/>
      <w:sz w:val="23"/>
      <w:szCs w:val="23"/>
      <w:u w:val="none"/>
    </w:rPr>
  </w:style>
  <w:style w:type="paragraph" w:customStyle="1" w:styleId="100">
    <w:name w:val="正文文本10"/>
    <w:basedOn w:val="a0"/>
    <w:link w:val="affffb"/>
    <w:pPr>
      <w:shd w:val="clear" w:color="auto" w:fill="FFFFFF"/>
      <w:spacing w:before="360" w:line="518" w:lineRule="exact"/>
      <w:jc w:val="distribute"/>
    </w:pPr>
    <w:rPr>
      <w:rFonts w:ascii="MingLiU" w:eastAsia="MingLiU"/>
      <w:kern w:val="0"/>
      <w:sz w:val="23"/>
      <w:szCs w:val="23"/>
      <w:lang w:val="x-none" w:eastAsia="x-none"/>
    </w:rPr>
  </w:style>
  <w:style w:type="character" w:customStyle="1" w:styleId="2CharChar2">
    <w:name w:val="小四正文缩进2 Char Char"/>
    <w:link w:val="2Char4"/>
    <w:rPr>
      <w:rFonts w:eastAsia="宋体"/>
      <w:kern w:val="2"/>
      <w:sz w:val="28"/>
      <w:szCs w:val="24"/>
      <w:lang w:val="en-US" w:eastAsia="zh-CN" w:bidi="ar-SA"/>
    </w:rPr>
  </w:style>
  <w:style w:type="paragraph" w:customStyle="1" w:styleId="2Char4">
    <w:name w:val="小四正文缩进2 Char"/>
    <w:basedOn w:val="a0"/>
    <w:link w:val="2CharChar2"/>
    <w:semiHidden/>
    <w:pPr>
      <w:spacing w:line="360" w:lineRule="auto"/>
      <w:ind w:firstLineChars="200" w:firstLine="200"/>
    </w:pPr>
    <w:rPr>
      <w:sz w:val="28"/>
    </w:rPr>
  </w:style>
  <w:style w:type="character" w:customStyle="1" w:styleId="Char1b">
    <w:name w:val="表格居左 Char1"/>
    <w:link w:val="affffc"/>
    <w:rPr>
      <w:bCs/>
      <w:kern w:val="2"/>
      <w:sz w:val="21"/>
      <w:szCs w:val="21"/>
    </w:rPr>
  </w:style>
  <w:style w:type="paragraph" w:customStyle="1" w:styleId="affffc">
    <w:name w:val="表格居左"/>
    <w:basedOn w:val="a0"/>
    <w:link w:val="Char1b"/>
    <w:pPr>
      <w:jc w:val="left"/>
    </w:pPr>
    <w:rPr>
      <w:bCs/>
      <w:szCs w:val="21"/>
      <w:lang w:val="x-none" w:eastAsia="x-none"/>
    </w:rPr>
  </w:style>
  <w:style w:type="character" w:customStyle="1" w:styleId="hottext1">
    <w:name w:val="hottext1"/>
    <w:rPr>
      <w:rFonts w:ascii="宋体" w:eastAsia="宋体" w:hAnsi="宋体" w:hint="eastAsia"/>
      <w:strike w:val="0"/>
      <w:dstrike w:val="0"/>
      <w:color w:val="333333"/>
      <w:sz w:val="20"/>
      <w:szCs w:val="20"/>
      <w:u w:val="none"/>
    </w:rPr>
  </w:style>
  <w:style w:type="character" w:customStyle="1" w:styleId="p3">
    <w:name w:val="p3"/>
    <w:qFormat/>
    <w:rPr>
      <w:rFonts w:cs="Times New Roman"/>
    </w:rPr>
  </w:style>
  <w:style w:type="character" w:customStyle="1" w:styleId="text11">
    <w:name w:val="text11"/>
    <w:rPr>
      <w:spacing w:val="343"/>
      <w:sz w:val="24"/>
      <w:szCs w:val="24"/>
    </w:rPr>
  </w:style>
  <w:style w:type="character" w:customStyle="1" w:styleId="affffd">
    <w:name w:val="标题 字符"/>
    <w:aliases w:val="标题2 字符,h4标题4 字符"/>
    <w:uiPriority w:val="99"/>
    <w:qFormat/>
    <w:rPr>
      <w:rFonts w:ascii="等线 Light" w:hAnsi="等线 Light" w:cs="Times New Roman"/>
      <w:b/>
      <w:bCs/>
      <w:kern w:val="2"/>
      <w:sz w:val="32"/>
      <w:szCs w:val="32"/>
    </w:rPr>
  </w:style>
  <w:style w:type="character" w:customStyle="1" w:styleId="Sylfaen">
    <w:name w:val="正文文本 + Sylfaen"/>
    <w:aliases w:val="12 pt"/>
    <w:rPr>
      <w:rFonts w:ascii="Sylfaen" w:eastAsia="MingLiU" w:hAnsi="Sylfaen" w:cs="Sylfaen"/>
      <w:sz w:val="24"/>
      <w:szCs w:val="24"/>
      <w:u w:val="none"/>
      <w:lang w:val="en-US" w:eastAsia="en-US"/>
    </w:rPr>
  </w:style>
  <w:style w:type="character" w:customStyle="1" w:styleId="text">
    <w:name w:val="text"/>
    <w:qFormat/>
  </w:style>
  <w:style w:type="character" w:customStyle="1" w:styleId="CharChar8">
    <w:name w:val="无缩进小四 Char Char"/>
    <w:link w:val="Charff4"/>
    <w:semiHidden/>
    <w:rPr>
      <w:rFonts w:ascii="宋体" w:hAnsi="宋体"/>
      <w:bCs/>
      <w:kern w:val="2"/>
      <w:sz w:val="24"/>
      <w:szCs w:val="24"/>
    </w:rPr>
  </w:style>
  <w:style w:type="paragraph" w:customStyle="1" w:styleId="Charff4">
    <w:name w:val="无缩进小四 Char"/>
    <w:basedOn w:val="a0"/>
    <w:link w:val="CharChar8"/>
    <w:semiHidden/>
    <w:pPr>
      <w:spacing w:line="360" w:lineRule="auto"/>
    </w:pPr>
    <w:rPr>
      <w:rFonts w:ascii="宋体" w:hAnsi="宋体"/>
      <w:bCs/>
      <w:sz w:val="24"/>
      <w:lang w:val="x-none" w:eastAsia="x-none"/>
    </w:rPr>
  </w:style>
  <w:style w:type="character" w:customStyle="1" w:styleId="font91">
    <w:name w:val="font91"/>
    <w:rPr>
      <w:rFonts w:ascii="宋体" w:eastAsia="宋体" w:hAnsi="宋体" w:cs="宋体" w:hint="eastAsia"/>
      <w:i w:val="0"/>
      <w:color w:val="FF0000"/>
      <w:sz w:val="21"/>
      <w:szCs w:val="21"/>
      <w:u w:val="none"/>
    </w:rPr>
  </w:style>
  <w:style w:type="character" w:customStyle="1" w:styleId="Charff5">
    <w:name w:val="正文文本 Char"/>
    <w:qFormat/>
    <w:rPr>
      <w:rFonts w:eastAsia="宋体"/>
      <w:kern w:val="2"/>
      <w:sz w:val="21"/>
      <w:szCs w:val="24"/>
      <w:lang w:val="en-US" w:eastAsia="zh-CN" w:bidi="ar-SA"/>
    </w:rPr>
  </w:style>
  <w:style w:type="character" w:customStyle="1" w:styleId="3zw1">
    <w:name w:val="3zw1"/>
    <w:rPr>
      <w:color w:val="000000"/>
      <w:sz w:val="21"/>
      <w:szCs w:val="21"/>
    </w:rPr>
  </w:style>
  <w:style w:type="character" w:customStyle="1" w:styleId="style101">
    <w:name w:val="style101"/>
    <w:rPr>
      <w:color w:val="666666"/>
    </w:rPr>
  </w:style>
  <w:style w:type="character" w:customStyle="1" w:styleId="3f2">
    <w:name w:val="正文文本首行缩进 字符3"/>
    <w:uiPriority w:val="99"/>
    <w:rPr>
      <w:rFonts w:eastAsia="宋体"/>
      <w:kern w:val="2"/>
      <w:sz w:val="21"/>
      <w:szCs w:val="24"/>
      <w:lang w:val="en-US" w:eastAsia="zh-CN" w:bidi="ar-SA"/>
    </w:rPr>
  </w:style>
  <w:style w:type="character" w:customStyle="1" w:styleId="CharChar9">
    <w:name w:val="！！表格文本 Char Char"/>
    <w:link w:val="affffe"/>
    <w:rPr>
      <w:rFonts w:eastAsia="宋体"/>
      <w:kern w:val="2"/>
      <w:sz w:val="21"/>
      <w:lang w:val="en-US" w:eastAsia="zh-CN" w:bidi="ar-SA"/>
    </w:rPr>
  </w:style>
  <w:style w:type="paragraph" w:customStyle="1" w:styleId="affffe">
    <w:name w:val="！！表格文本"/>
    <w:basedOn w:val="a0"/>
    <w:link w:val="CharChar9"/>
    <w:pPr>
      <w:spacing w:beforeLines="20" w:before="62" w:afterLines="20" w:after="62"/>
    </w:pPr>
    <w:rPr>
      <w:szCs w:val="20"/>
    </w:rPr>
  </w:style>
  <w:style w:type="character" w:customStyle="1" w:styleId="font101">
    <w:name w:val="font101"/>
    <w:rPr>
      <w:rFonts w:ascii="宋体" w:eastAsia="宋体" w:hAnsi="宋体" w:cs="宋体" w:hint="eastAsia"/>
      <w:i w:val="0"/>
      <w:color w:val="000000"/>
      <w:sz w:val="22"/>
      <w:szCs w:val="22"/>
      <w:u w:val="none"/>
    </w:rPr>
  </w:style>
  <w:style w:type="character" w:customStyle="1" w:styleId="bsharetext">
    <w:name w:val="bsharetext"/>
  </w:style>
  <w:style w:type="character" w:customStyle="1" w:styleId="ttitle1">
    <w:name w:val="ttitle1"/>
    <w:rPr>
      <w:spacing w:val="120"/>
      <w:sz w:val="28"/>
      <w:szCs w:val="28"/>
    </w:rPr>
  </w:style>
  <w:style w:type="character" w:customStyle="1" w:styleId="CharCharCharCharCharCharCharCharChar">
    <w:name w:val="Char Char Char Char Char Char Char Char Char"/>
    <w:qFormat/>
    <w:rPr>
      <w:rFonts w:ascii="Verdana" w:eastAsia="宋体" w:hAnsi="Verdana"/>
      <w:lang w:val="en-US" w:eastAsia="en-US" w:bidi="ar-SA"/>
    </w:rPr>
  </w:style>
  <w:style w:type="character" w:customStyle="1" w:styleId="CharChara">
    <w:name w:val="表中 Char Char"/>
    <w:rPr>
      <w:rFonts w:eastAsia="宋体"/>
      <w:bCs/>
      <w:kern w:val="2"/>
      <w:sz w:val="21"/>
      <w:szCs w:val="21"/>
      <w:lang w:val="en-US" w:eastAsia="zh-CN" w:bidi="ar-SA"/>
    </w:rPr>
  </w:style>
  <w:style w:type="character" w:customStyle="1" w:styleId="font11">
    <w:name w:val="font11"/>
    <w:qFormat/>
    <w:rPr>
      <w:rFonts w:cs="Times New Roman"/>
    </w:rPr>
  </w:style>
  <w:style w:type="character" w:customStyle="1" w:styleId="CharCharCharCharCharCharCharCharChar1">
    <w:name w:val="Char Char Char Char Char Char Char Char Char1"/>
    <w:qFormat/>
    <w:rPr>
      <w:rFonts w:ascii="Verdana" w:eastAsia="宋体" w:hAnsi="Verdana"/>
      <w:lang w:val="en-US" w:eastAsia="en-US" w:bidi="ar-SA"/>
    </w:rPr>
  </w:style>
  <w:style w:type="character" w:customStyle="1" w:styleId="1f6">
    <w:name w:val="正文文本缩进 字符1"/>
    <w:aliases w:val="正文文字缩进 Char 字符,正文文字缩进 字符,特点标题 字符1,正文文字 21 字符1,正文（首行缩进两字） Char 字符1"/>
    <w:qFormat/>
    <w:rPr>
      <w:kern w:val="2"/>
      <w:sz w:val="21"/>
      <w:szCs w:val="24"/>
    </w:rPr>
  </w:style>
  <w:style w:type="character" w:customStyle="1" w:styleId="Charff6">
    <w:name w:val="四号正文 Char"/>
    <w:link w:val="afffff"/>
    <w:rPr>
      <w:kern w:val="20"/>
      <w:sz w:val="28"/>
      <w:szCs w:val="24"/>
    </w:rPr>
  </w:style>
  <w:style w:type="paragraph" w:customStyle="1" w:styleId="afffff">
    <w:name w:val="四号正文"/>
    <w:basedOn w:val="a0"/>
    <w:link w:val="Charff6"/>
    <w:pPr>
      <w:spacing w:line="360" w:lineRule="auto"/>
      <w:ind w:firstLineChars="200" w:firstLine="200"/>
    </w:pPr>
    <w:rPr>
      <w:kern w:val="20"/>
      <w:sz w:val="28"/>
      <w:lang w:val="x-none" w:eastAsia="x-none"/>
    </w:rPr>
  </w:style>
  <w:style w:type="character" w:customStyle="1" w:styleId="bjh-p">
    <w:name w:val="bjh-p"/>
    <w:qFormat/>
  </w:style>
  <w:style w:type="character" w:customStyle="1" w:styleId="Charff7">
    <w:name w:val="文档结构图 Char"/>
    <w:uiPriority w:val="99"/>
    <w:qFormat/>
    <w:rPr>
      <w:rFonts w:ascii="Times New Roman" w:eastAsia="宋体" w:hAnsi="Times New Roman" w:cs="Times New Roman"/>
      <w:szCs w:val="24"/>
      <w:shd w:val="clear" w:color="auto" w:fill="000080"/>
    </w:rPr>
  </w:style>
  <w:style w:type="character" w:customStyle="1" w:styleId="7Char">
    <w:name w:val="标题 7 Char"/>
    <w:rPr>
      <w:rFonts w:ascii="Times New Roman" w:eastAsia="宋体" w:hAnsi="Times New Roman" w:cs="Times New Roman"/>
      <w:b/>
      <w:kern w:val="0"/>
      <w:sz w:val="24"/>
      <w:szCs w:val="20"/>
    </w:rPr>
  </w:style>
  <w:style w:type="character" w:customStyle="1" w:styleId="Charff8">
    <w:name w:val="注释标题 Char"/>
    <w:aliases w:val="注释标题1 Char1"/>
    <w:qFormat/>
    <w:rPr>
      <w:rFonts w:ascii="Times New Roman" w:eastAsia="宋体" w:hAnsi="Times New Roman" w:cs="Times New Roman"/>
      <w:szCs w:val="20"/>
    </w:rPr>
  </w:style>
  <w:style w:type="character" w:customStyle="1" w:styleId="113Char0">
    <w:name w:val="附件1.1 样式3 Char"/>
    <w:link w:val="1130"/>
    <w:rPr>
      <w:rFonts w:ascii="黑体" w:eastAsia="黑体" w:hAnsi="Arial"/>
      <w:b/>
      <w:bCs/>
      <w:kern w:val="2"/>
      <w:sz w:val="28"/>
      <w:szCs w:val="28"/>
    </w:rPr>
  </w:style>
  <w:style w:type="paragraph" w:customStyle="1" w:styleId="1130">
    <w:name w:val="附件1.1 样式3"/>
    <w:basedOn w:val="113"/>
    <w:link w:val="113Char0"/>
    <w:qFormat/>
    <w:pPr>
      <w:numPr>
        <w:numId w:val="7"/>
      </w:numPr>
    </w:pPr>
  </w:style>
  <w:style w:type="character" w:customStyle="1" w:styleId="CharChar20">
    <w:name w:val="Char Char2"/>
    <w:link w:val="Char60"/>
    <w:rPr>
      <w:kern w:val="2"/>
      <w:sz w:val="21"/>
    </w:rPr>
  </w:style>
  <w:style w:type="paragraph" w:customStyle="1" w:styleId="Char60">
    <w:name w:val="Char6"/>
    <w:basedOn w:val="a0"/>
    <w:link w:val="CharChar20"/>
    <w:qFormat/>
    <w:rPr>
      <w:szCs w:val="20"/>
      <w:lang w:val="x-none" w:eastAsia="x-none"/>
    </w:rPr>
  </w:style>
  <w:style w:type="character" w:customStyle="1" w:styleId="2Char5">
    <w:name w:val="正文缩进2 Char"/>
    <w:link w:val="2f6"/>
    <w:qFormat/>
    <w:rPr>
      <w:rFonts w:ascii="宋体" w:eastAsia="宋体" w:hAnsi="宋体"/>
      <w:bCs/>
      <w:kern w:val="2"/>
      <w:sz w:val="24"/>
      <w:szCs w:val="24"/>
      <w:lang w:val="en-US" w:eastAsia="zh-CN" w:bidi="ar-SA"/>
    </w:rPr>
  </w:style>
  <w:style w:type="paragraph" w:customStyle="1" w:styleId="2f6">
    <w:name w:val="正文缩进2"/>
    <w:basedOn w:val="a0"/>
    <w:link w:val="2Char5"/>
    <w:qFormat/>
    <w:pPr>
      <w:spacing w:line="360" w:lineRule="auto"/>
      <w:ind w:firstLineChars="200" w:firstLine="200"/>
    </w:pPr>
    <w:rPr>
      <w:rFonts w:ascii="宋体" w:hAnsi="宋体"/>
      <w:bCs/>
      <w:sz w:val="24"/>
    </w:rPr>
  </w:style>
  <w:style w:type="character" w:customStyle="1" w:styleId="Charff9">
    <w:name w:val="表格标题 Char"/>
    <w:aliases w:val="正文缩进 Char1,正文（首行缩进两字）加宽 Char,正文（首行缩进两字） Char1 Char Char,正文（首行缩进两字） Char Char Char Char Char Char Char Char,标题4 Char,正文不缩进 Char,标题4 Char Char Char,首行缩进两字 Char,s4 Char,正文缩进 Char Char,正文（首行缩进两字） Char Char,正文（首行缩进两字） Char Char Char Char1,特点 Char"/>
    <w:rPr>
      <w:rFonts w:eastAsia="宋体" w:cs="Arial"/>
      <w:kern w:val="2"/>
      <w:sz w:val="24"/>
      <w:szCs w:val="24"/>
      <w:lang w:val="en-US" w:eastAsia="zh-CN" w:bidi="ar-SA"/>
    </w:rPr>
  </w:style>
  <w:style w:type="character" w:customStyle="1" w:styleId="font141">
    <w:name w:val="font141"/>
    <w:rPr>
      <w:rFonts w:hint="default"/>
      <w:b w:val="0"/>
      <w:bCs w:val="0"/>
      <w:color w:val="000000"/>
    </w:rPr>
  </w:style>
  <w:style w:type="character" w:customStyle="1" w:styleId="highlight1">
    <w:name w:val="highlight1"/>
    <w:rPr>
      <w:sz w:val="21"/>
      <w:szCs w:val="21"/>
    </w:rPr>
  </w:style>
  <w:style w:type="character" w:customStyle="1" w:styleId="CharCharb">
    <w:name w:val="表格居中 Char Char"/>
    <w:qFormat/>
    <w:rPr>
      <w:rFonts w:eastAsia="宋体"/>
      <w:sz w:val="21"/>
      <w:szCs w:val="21"/>
      <w:lang w:val="en-US" w:eastAsia="zh-CN" w:bidi="ar-SA"/>
    </w:rPr>
  </w:style>
  <w:style w:type="character" w:customStyle="1" w:styleId="1f7">
    <w:name w:val="纯文本 字符1"/>
    <w:aliases w:val="普通文字 字符,文字缩进 字符,普通文字 Char 字符,注文字 字符,Char Char Char Char Char Char Char 字符, Char Char Char Char Char 字符,Char Char Char Char Char 字符,ÎÄ×ÖËõ½ø 字符,??¡Á????? 字符,???¨¢????? 字符,???¡§¡é????? 字符,????¡ì?¨¦????? 字符,?????¨¬?¡§|????? 字符,?????¡§???¡ì|????? 字符"/>
    <w:rPr>
      <w:rFonts w:ascii="宋体" w:eastAsia="宋体" w:hAnsi="Courier New" w:cs="Courier New"/>
      <w:kern w:val="2"/>
      <w:sz w:val="21"/>
      <w:szCs w:val="24"/>
    </w:rPr>
  </w:style>
  <w:style w:type="character" w:customStyle="1" w:styleId="Charffa">
    <w:name w:val="第二级标题 Char"/>
    <w:link w:val="afffff0"/>
    <w:rPr>
      <w:kern w:val="2"/>
      <w:sz w:val="24"/>
      <w:szCs w:val="24"/>
    </w:rPr>
  </w:style>
  <w:style w:type="paragraph" w:customStyle="1" w:styleId="afffff0">
    <w:name w:val="第二级标题"/>
    <w:basedOn w:val="a0"/>
    <w:next w:val="23"/>
    <w:link w:val="Charffa"/>
    <w:qFormat/>
    <w:pPr>
      <w:numPr>
        <w:ilvl w:val="1"/>
        <w:numId w:val="8"/>
      </w:numPr>
      <w:tabs>
        <w:tab w:val="left" w:pos="0"/>
      </w:tabs>
      <w:spacing w:line="360" w:lineRule="auto"/>
      <w:outlineLvl w:val="1"/>
    </w:pPr>
    <w:rPr>
      <w:sz w:val="24"/>
      <w:lang w:val="x-none" w:eastAsia="x-none"/>
    </w:rPr>
  </w:style>
  <w:style w:type="character" w:customStyle="1" w:styleId="f14b1">
    <w:name w:val="f14b1"/>
    <w:rPr>
      <w:rFonts w:cs="Times New Roman"/>
      <w:b/>
      <w:bCs/>
      <w:sz w:val="21"/>
      <w:szCs w:val="21"/>
    </w:rPr>
  </w:style>
  <w:style w:type="character" w:customStyle="1" w:styleId="2313Char">
    <w:name w:val="附件2.3.1样式3 Char"/>
    <w:link w:val="2313"/>
    <w:rPr>
      <w:rFonts w:ascii="黑体" w:eastAsia="黑体" w:hAnsi="Arial"/>
      <w:b/>
      <w:bCs/>
      <w:kern w:val="2"/>
      <w:sz w:val="28"/>
      <w:szCs w:val="32"/>
    </w:rPr>
  </w:style>
  <w:style w:type="paragraph" w:customStyle="1" w:styleId="2313">
    <w:name w:val="附件2.3.1样式3"/>
    <w:basedOn w:val="2113"/>
    <w:link w:val="2313Char"/>
    <w:qFormat/>
  </w:style>
  <w:style w:type="character" w:customStyle="1" w:styleId="10Char">
    <w:name w:val="★首行缩进1.0字符 Char"/>
    <w:link w:val="101"/>
    <w:rPr>
      <w:rFonts w:ascii="宋体" w:hAnsi="宋体"/>
      <w:color w:val="000000"/>
      <w:kern w:val="2"/>
      <w:sz w:val="28"/>
      <w:szCs w:val="28"/>
    </w:rPr>
  </w:style>
  <w:style w:type="paragraph" w:customStyle="1" w:styleId="101">
    <w:name w:val="★首行缩进1.0字符"/>
    <w:basedOn w:val="af3"/>
    <w:link w:val="10Char"/>
    <w:qFormat/>
    <w:pPr>
      <w:numPr>
        <w:numId w:val="9"/>
      </w:numPr>
      <w:adjustRightInd w:val="0"/>
      <w:spacing w:line="360" w:lineRule="auto"/>
    </w:pPr>
    <w:rPr>
      <w:rFonts w:ascii="宋体" w:eastAsia="宋体" w:hAnsi="宋体"/>
      <w:snapToGrid/>
      <w:color w:val="000000"/>
      <w:kern w:val="2"/>
      <w:szCs w:val="28"/>
    </w:rPr>
  </w:style>
  <w:style w:type="character" w:customStyle="1" w:styleId="Char1c">
    <w:name w:val="正文 Char1"/>
    <w:link w:val="3f3"/>
    <w:qFormat/>
    <w:rPr>
      <w:rFonts w:ascii="宋体" w:hAnsi="宋体"/>
      <w:sz w:val="28"/>
      <w:szCs w:val="28"/>
      <w:lang w:val="en-US" w:eastAsia="zh-CN" w:bidi="ar-SA"/>
    </w:rPr>
  </w:style>
  <w:style w:type="paragraph" w:customStyle="1" w:styleId="3f3">
    <w:name w:val="正文3"/>
    <w:link w:val="Char1c"/>
    <w:qFormat/>
    <w:pPr>
      <w:spacing w:line="360" w:lineRule="auto"/>
    </w:pPr>
    <w:rPr>
      <w:rFonts w:ascii="宋体" w:hAnsi="宋体"/>
      <w:sz w:val="28"/>
      <w:szCs w:val="28"/>
    </w:rPr>
  </w:style>
  <w:style w:type="character" w:customStyle="1" w:styleId="6Char">
    <w:name w:val="标题 6 Char"/>
    <w:qFormat/>
    <w:rPr>
      <w:rFonts w:ascii="Arial" w:eastAsia="黑体" w:hAnsi="Arial" w:cs="Times New Roman"/>
      <w:b/>
      <w:kern w:val="0"/>
      <w:sz w:val="24"/>
      <w:szCs w:val="20"/>
    </w:rPr>
  </w:style>
  <w:style w:type="character" w:customStyle="1" w:styleId="1Char3">
    <w:name w:val="菲薄1 Char"/>
    <w:qFormat/>
    <w:rPr>
      <w:rFonts w:ascii="宋体" w:eastAsia="宋体" w:hAnsi="宋体" w:cs="Times New Roman"/>
      <w:kern w:val="2"/>
      <w:sz w:val="28"/>
      <w:szCs w:val="28"/>
      <w:lang w:val="en-US" w:eastAsia="zh-CN" w:bidi="ar-SA"/>
    </w:rPr>
  </w:style>
  <w:style w:type="character" w:customStyle="1" w:styleId="duan1">
    <w:name w:val="duan1"/>
    <w:qFormat/>
    <w:rPr>
      <w:rFonts w:cs="Times New Roman"/>
      <w:sz w:val="28"/>
      <w:szCs w:val="28"/>
    </w:rPr>
  </w:style>
  <w:style w:type="character" w:customStyle="1" w:styleId="1f8">
    <w:name w:val="批注框文本 字符1"/>
    <w:rPr>
      <w:kern w:val="2"/>
      <w:sz w:val="18"/>
      <w:szCs w:val="18"/>
    </w:rPr>
  </w:style>
  <w:style w:type="character" w:customStyle="1" w:styleId="3CharChar">
    <w:name w:val="3级标题 Char Char"/>
    <w:link w:val="3f4"/>
    <w:rPr>
      <w:b/>
      <w:kern w:val="2"/>
      <w:sz w:val="24"/>
      <w:szCs w:val="24"/>
    </w:rPr>
  </w:style>
  <w:style w:type="paragraph" w:customStyle="1" w:styleId="3f4">
    <w:name w:val="3级标题"/>
    <w:basedOn w:val="a0"/>
    <w:link w:val="3CharChar"/>
    <w:qFormat/>
    <w:pPr>
      <w:spacing w:before="300" w:line="460" w:lineRule="exact"/>
      <w:outlineLvl w:val="2"/>
    </w:pPr>
    <w:rPr>
      <w:b/>
      <w:sz w:val="24"/>
      <w:lang w:val="x-none" w:eastAsia="x-none"/>
    </w:rPr>
  </w:style>
  <w:style w:type="character" w:customStyle="1" w:styleId="01Char">
    <w:name w:val="正文01 Char"/>
    <w:link w:val="01"/>
    <w:rPr>
      <w:rFonts w:eastAsia="宋体"/>
      <w:kern w:val="2"/>
      <w:sz w:val="24"/>
      <w:szCs w:val="24"/>
      <w:lang w:val="en-US" w:eastAsia="zh-CN" w:bidi="ar-SA"/>
    </w:rPr>
  </w:style>
  <w:style w:type="paragraph" w:customStyle="1" w:styleId="01">
    <w:name w:val="正文01"/>
    <w:basedOn w:val="afffff1"/>
    <w:link w:val="01Char"/>
    <w:pPr>
      <w:spacing w:before="60" w:line="460" w:lineRule="exact"/>
      <w:ind w:firstLineChars="200" w:firstLine="200"/>
    </w:pPr>
    <w:rPr>
      <w:kern w:val="2"/>
      <w:sz w:val="24"/>
      <w:szCs w:val="24"/>
    </w:rPr>
  </w:style>
  <w:style w:type="paragraph" w:customStyle="1" w:styleId="afffff1">
    <w:name w:val="二级标题"/>
    <w:basedOn w:val="a0"/>
    <w:next w:val="a0"/>
    <w:pPr>
      <w:keepNext/>
      <w:adjustRightInd w:val="0"/>
      <w:spacing w:before="240" w:after="240" w:line="312" w:lineRule="atLeast"/>
      <w:jc w:val="center"/>
      <w:textAlignment w:val="baseline"/>
    </w:pPr>
    <w:rPr>
      <w:kern w:val="0"/>
      <w:sz w:val="28"/>
      <w:szCs w:val="20"/>
    </w:rPr>
  </w:style>
  <w:style w:type="character" w:customStyle="1" w:styleId="scc">
    <w:name w:val="s c c"/>
  </w:style>
  <w:style w:type="character" w:customStyle="1" w:styleId="2f7">
    <w:name w:val="正文文本首行缩进 字符2"/>
    <w:uiPriority w:val="99"/>
    <w:semiHidden/>
    <w:qFormat/>
    <w:rPr>
      <w:rFonts w:ascii="Times New Roman" w:eastAsia="宋体" w:hAnsi="Times New Roman" w:cs="Times New Roman"/>
      <w:kern w:val="2"/>
      <w:sz w:val="21"/>
      <w:szCs w:val="24"/>
      <w:lang w:val="en-US" w:eastAsia="zh-CN" w:bidi="ar-SA"/>
    </w:rPr>
  </w:style>
  <w:style w:type="character" w:customStyle="1" w:styleId="text1">
    <w:name w:val="text1"/>
  </w:style>
  <w:style w:type="character" w:customStyle="1" w:styleId="hangju">
    <w:name w:val="hangju"/>
  </w:style>
  <w:style w:type="character" w:customStyle="1" w:styleId="2Sylfaen">
    <w:name w:val="正文文本 (2) + Sylfaen"/>
    <w:aliases w:val="表格标题 (2) + SimSun,11.5 pt,正文文本 (18) + SimSun"/>
    <w:rPr>
      <w:rFonts w:ascii="Sylfaen" w:eastAsia="MingLiU" w:hAnsi="Sylfaen" w:cs="Sylfaen"/>
      <w:sz w:val="23"/>
      <w:szCs w:val="23"/>
      <w:lang w:val="en-US" w:eastAsia="en-US" w:bidi="ar-SA"/>
    </w:rPr>
  </w:style>
  <w:style w:type="character" w:customStyle="1" w:styleId="tt3">
    <w:name w:val="tt3"/>
    <w:qFormat/>
  </w:style>
  <w:style w:type="character" w:customStyle="1" w:styleId="font61">
    <w:name w:val="font61"/>
    <w:rPr>
      <w:rFonts w:ascii="仿宋" w:eastAsia="仿宋" w:hAnsi="仿宋" w:cs="仿宋" w:hint="eastAsia"/>
      <w:i w:val="0"/>
      <w:color w:val="000000"/>
      <w:sz w:val="22"/>
      <w:szCs w:val="22"/>
      <w:u w:val="none"/>
    </w:rPr>
  </w:style>
  <w:style w:type="character" w:customStyle="1" w:styleId="191">
    <w:name w:val="19号令1"/>
  </w:style>
  <w:style w:type="character" w:customStyle="1" w:styleId="1f9">
    <w:name w:val="批注主题 字符1"/>
    <w:qFormat/>
    <w:rPr>
      <w:b/>
      <w:bCs/>
      <w:kern w:val="2"/>
      <w:sz w:val="21"/>
      <w:szCs w:val="24"/>
    </w:rPr>
  </w:style>
  <w:style w:type="character" w:customStyle="1" w:styleId="Charffb">
    <w:name w:val="页脚 Char"/>
    <w:aliases w:val="Footer1 Char,页脚1 Char,Footer-Even Char,fo Char,footer odd Char,odd Char,footer Final Char"/>
    <w:qFormat/>
    <w:rPr>
      <w:kern w:val="2"/>
      <w:sz w:val="18"/>
      <w:szCs w:val="18"/>
    </w:rPr>
  </w:style>
  <w:style w:type="character" w:customStyle="1" w:styleId="style21">
    <w:name w:val="style21"/>
    <w:qFormat/>
    <w:rPr>
      <w:color w:val="0000A0"/>
      <w:sz w:val="33"/>
    </w:rPr>
  </w:style>
  <w:style w:type="character" w:customStyle="1" w:styleId="title41">
    <w:name w:val="title41"/>
    <w:qFormat/>
    <w:rPr>
      <w:rFonts w:ascii="宋体" w:eastAsia="宋体" w:hAnsi="宋体" w:hint="eastAsia"/>
      <w:i w:val="0"/>
      <w:iCs w:val="0"/>
      <w:color w:val="194F95"/>
      <w:sz w:val="23"/>
      <w:szCs w:val="23"/>
    </w:rPr>
  </w:style>
  <w:style w:type="character" w:customStyle="1" w:styleId="-MHZ-Char">
    <w:name w:val="标准正文样式-MHZ-标准正文段落 Char"/>
    <w:link w:val="-MHZ-"/>
    <w:rPr>
      <w:rFonts w:eastAsia="宋体"/>
      <w:kern w:val="24"/>
      <w:sz w:val="24"/>
      <w:szCs w:val="24"/>
      <w:lang w:val="en-US" w:eastAsia="zh-CN" w:bidi="ar-SA"/>
    </w:rPr>
  </w:style>
  <w:style w:type="paragraph" w:customStyle="1" w:styleId="-MHZ-">
    <w:name w:val="标准正文样式-MHZ-标准正文段落"/>
    <w:basedOn w:val="a0"/>
    <w:link w:val="-MHZ-Char"/>
    <w:pPr>
      <w:spacing w:line="312" w:lineRule="auto"/>
      <w:ind w:firstLineChars="200" w:firstLine="480"/>
      <w:jc w:val="left"/>
    </w:pPr>
    <w:rPr>
      <w:kern w:val="24"/>
      <w:sz w:val="24"/>
    </w:rPr>
  </w:style>
  <w:style w:type="character" w:customStyle="1" w:styleId="bt11">
    <w:name w:val="bt11"/>
    <w:rPr>
      <w:rFonts w:ascii="黑体" w:eastAsia="黑体" w:cs="Times New Roman"/>
      <w:color w:val="000000"/>
      <w:sz w:val="28"/>
      <w:szCs w:val="28"/>
    </w:rPr>
  </w:style>
  <w:style w:type="character" w:customStyle="1" w:styleId="zhenwen141">
    <w:name w:val="zhenwen141"/>
    <w:qFormat/>
    <w:rPr>
      <w:rFonts w:ascii="ˎ̥" w:hAnsi="ˎ̥" w:hint="default"/>
      <w:sz w:val="21"/>
      <w:szCs w:val="21"/>
    </w:rPr>
  </w:style>
  <w:style w:type="character" w:customStyle="1" w:styleId="Charffc">
    <w:name w:val="正文 Char"/>
    <w:rPr>
      <w:rFonts w:ascii="宋体" w:eastAsia="宋体" w:hAnsi="宋体"/>
      <w:bCs/>
      <w:sz w:val="28"/>
      <w:szCs w:val="28"/>
      <w:lang w:val="en-US" w:eastAsia="zh-CN" w:bidi="ar-SA"/>
    </w:rPr>
  </w:style>
  <w:style w:type="character" w:customStyle="1" w:styleId="2CharChar3">
    <w:name w:val="正文2缩进主要格式 Char Char"/>
    <w:link w:val="2Char6"/>
    <w:rPr>
      <w:rFonts w:eastAsia="宋体" w:cs="宋体"/>
      <w:kern w:val="2"/>
      <w:sz w:val="28"/>
      <w:szCs w:val="24"/>
      <w:lang w:val="en-US" w:eastAsia="zh-CN" w:bidi="ar-SA"/>
    </w:rPr>
  </w:style>
  <w:style w:type="paragraph" w:customStyle="1" w:styleId="2Char6">
    <w:name w:val="正文2缩进主要格式 Char"/>
    <w:basedOn w:val="a0"/>
    <w:link w:val="2CharChar3"/>
    <w:semiHidden/>
    <w:pPr>
      <w:spacing w:line="360" w:lineRule="auto"/>
      <w:ind w:firstLineChars="200" w:firstLine="480"/>
    </w:pPr>
    <w:rPr>
      <w:rFonts w:cs="宋体"/>
      <w:sz w:val="28"/>
    </w:rPr>
  </w:style>
  <w:style w:type="character" w:customStyle="1" w:styleId="Charffd">
    <w:name w:val="正文  居中 Char"/>
    <w:link w:val="afffff2"/>
    <w:rPr>
      <w:rFonts w:eastAsia="宋体"/>
      <w:sz w:val="24"/>
      <w:szCs w:val="24"/>
      <w:lang w:val="en-US" w:eastAsia="zh-CN" w:bidi="ar-SA"/>
    </w:rPr>
  </w:style>
  <w:style w:type="paragraph" w:customStyle="1" w:styleId="afffff2">
    <w:name w:val="正文  居中"/>
    <w:basedOn w:val="a0"/>
    <w:link w:val="Charffd"/>
    <w:pPr>
      <w:tabs>
        <w:tab w:val="left" w:pos="1020"/>
        <w:tab w:val="left" w:pos="3478"/>
      </w:tabs>
      <w:adjustRightInd w:val="0"/>
      <w:snapToGrid w:val="0"/>
      <w:spacing w:line="360" w:lineRule="auto"/>
      <w:jc w:val="center"/>
    </w:pPr>
    <w:rPr>
      <w:kern w:val="0"/>
      <w:sz w:val="24"/>
    </w:rPr>
  </w:style>
  <w:style w:type="character" w:customStyle="1" w:styleId="111Char">
    <w:name w:val="附件1.1.1 Char"/>
    <w:link w:val="1110"/>
    <w:rPr>
      <w:rFonts w:ascii="黑体" w:eastAsia="黑体" w:hAnsi="Arial"/>
      <w:b/>
      <w:bCs/>
      <w:kern w:val="2"/>
      <w:sz w:val="28"/>
      <w:szCs w:val="28"/>
    </w:rPr>
  </w:style>
  <w:style w:type="paragraph" w:customStyle="1" w:styleId="1110">
    <w:name w:val="附件1.1.1"/>
    <w:basedOn w:val="2130"/>
    <w:link w:val="111Char"/>
    <w:qFormat/>
  </w:style>
  <w:style w:type="character" w:customStyle="1" w:styleId="tdword">
    <w:name w:val="tdword"/>
    <w:qFormat/>
  </w:style>
  <w:style w:type="character" w:customStyle="1" w:styleId="ttag">
    <w:name w:val="t_tag"/>
  </w:style>
  <w:style w:type="character" w:customStyle="1" w:styleId="label1">
    <w:name w:val="label1"/>
  </w:style>
  <w:style w:type="character" w:customStyle="1" w:styleId="CharCharCharCharChar">
    <w:name w:val="普通文字 Char Char Char Char Char"/>
    <w:rPr>
      <w:rFonts w:ascii="宋体" w:eastAsia="宋体" w:hAnsi="Courier New" w:cs="Courier New"/>
      <w:szCs w:val="21"/>
    </w:rPr>
  </w:style>
  <w:style w:type="character" w:customStyle="1" w:styleId="121Char">
    <w:name w:val="附件1.2.1 Char"/>
    <w:link w:val="1210"/>
    <w:qFormat/>
    <w:rPr>
      <w:rFonts w:ascii="黑体" w:eastAsia="黑体" w:hAnsi="Arial"/>
      <w:b/>
      <w:bCs/>
      <w:kern w:val="2"/>
      <w:sz w:val="28"/>
      <w:szCs w:val="32"/>
    </w:rPr>
  </w:style>
  <w:style w:type="paragraph" w:customStyle="1" w:styleId="1210">
    <w:name w:val="附件1.2.1"/>
    <w:basedOn w:val="2113"/>
    <w:link w:val="121Char"/>
    <w:qFormat/>
    <w:pPr>
      <w:numPr>
        <w:numId w:val="10"/>
      </w:numPr>
      <w:tabs>
        <w:tab w:val="left" w:pos="420"/>
      </w:tabs>
    </w:pPr>
  </w:style>
  <w:style w:type="character" w:customStyle="1" w:styleId="style9">
    <w:name w:val="style9"/>
  </w:style>
  <w:style w:type="character" w:customStyle="1" w:styleId="size11">
    <w:name w:val="size_11"/>
    <w:rPr>
      <w:rFonts w:ascii="ˎ̥" w:hAnsi="ˎ̥" w:hint="default"/>
      <w:color w:val="302E38"/>
      <w:sz w:val="24"/>
    </w:rPr>
  </w:style>
  <w:style w:type="character" w:customStyle="1" w:styleId="2Char7">
    <w:name w:val="标题 2 Char"/>
    <w:aliases w:val="1 Char,标题 2 Char2 Char1,标题 2 Char Char Char1,标题 2 Char1 Char Char Char1,标题 2 Char Char Char Char Char1,标题 2 Char1 Char Char Char Char Char1,标题 2 Char Char Char Char Char Char Char1,标题 2 Char2 Char Char Char1,标题 2 Char1 Char1 Char Char Char1"/>
    <w:uiPriority w:val="9"/>
    <w:qFormat/>
    <w:rPr>
      <w:rFonts w:ascii="楷体_GB2312" w:eastAsia="楷体_GB2312" w:hAnsi="Arial"/>
      <w:b/>
      <w:bCs/>
      <w:sz w:val="32"/>
      <w:szCs w:val="32"/>
    </w:rPr>
  </w:style>
  <w:style w:type="character" w:customStyle="1" w:styleId="2413Char">
    <w:name w:val="附件2.4.1样式3 Char"/>
    <w:link w:val="2413"/>
    <w:qFormat/>
    <w:rPr>
      <w:rFonts w:ascii="黑体" w:eastAsia="黑体" w:hAnsi="Arial"/>
      <w:b/>
      <w:bCs/>
      <w:kern w:val="2"/>
      <w:sz w:val="28"/>
      <w:szCs w:val="32"/>
    </w:rPr>
  </w:style>
  <w:style w:type="paragraph" w:customStyle="1" w:styleId="2413">
    <w:name w:val="附件2.4.1样式3"/>
    <w:basedOn w:val="2113"/>
    <w:link w:val="2413Char"/>
    <w:qFormat/>
    <w:pPr>
      <w:numPr>
        <w:numId w:val="11"/>
      </w:numPr>
    </w:pPr>
  </w:style>
  <w:style w:type="character" w:customStyle="1" w:styleId="font81">
    <w:name w:val="font81"/>
    <w:rPr>
      <w:rFonts w:ascii="Arial" w:hAnsi="Arial" w:cs="Arial" w:hint="default"/>
      <w:i w:val="0"/>
      <w:color w:val="FF0000"/>
      <w:sz w:val="18"/>
      <w:szCs w:val="18"/>
      <w:u w:val="none"/>
    </w:rPr>
  </w:style>
  <w:style w:type="character" w:customStyle="1" w:styleId="style91">
    <w:name w:val="style91"/>
    <w:rPr>
      <w:color w:val="333333"/>
      <w:sz w:val="24"/>
      <w:szCs w:val="24"/>
    </w:rPr>
  </w:style>
  <w:style w:type="character" w:customStyle="1" w:styleId="bold1">
    <w:name w:val="bold1"/>
    <w:qFormat/>
    <w:rPr>
      <w:rFonts w:cs="Times New Roman"/>
      <w:b/>
      <w:bCs/>
    </w:rPr>
  </w:style>
  <w:style w:type="character" w:customStyle="1" w:styleId="Charffe">
    <w:name w:val="批注主题 Char"/>
    <w:qFormat/>
    <w:rPr>
      <w:rFonts w:ascii="Times New Roman" w:eastAsia="宋体" w:hAnsi="Times New Roman" w:cs="Times New Roman"/>
      <w:b/>
      <w:bCs/>
      <w:szCs w:val="20"/>
    </w:rPr>
  </w:style>
  <w:style w:type="character" w:customStyle="1" w:styleId="grame">
    <w:name w:val="grame"/>
  </w:style>
  <w:style w:type="character" w:customStyle="1" w:styleId="content1">
    <w:name w:val="content1"/>
    <w:rPr>
      <w:sz w:val="18"/>
      <w:szCs w:val="18"/>
    </w:rPr>
  </w:style>
  <w:style w:type="character" w:customStyle="1" w:styleId="1fa">
    <w:name w:val="标题1"/>
  </w:style>
  <w:style w:type="character" w:customStyle="1" w:styleId="2Char8">
    <w:name w:val="表格文字2 Char"/>
    <w:rPr>
      <w:rFonts w:eastAsia="宋体"/>
      <w:sz w:val="21"/>
      <w:lang w:val="en-US" w:eastAsia="zh-CN" w:bidi="ar-SA"/>
    </w:rPr>
  </w:style>
  <w:style w:type="character" w:customStyle="1" w:styleId="afffff3">
    <w:name w:val="样式 黑体 四号"/>
    <w:rPr>
      <w:rFonts w:ascii="黑体" w:eastAsia="黑体" w:hAnsi="黑体" w:hint="eastAsia"/>
      <w:sz w:val="28"/>
    </w:rPr>
  </w:style>
  <w:style w:type="character" w:customStyle="1" w:styleId="CharCharc">
    <w:name w:val="页眉 Char Char"/>
    <w:rPr>
      <w:rFonts w:ascii="Times New Roman" w:eastAsia="宋体" w:hAnsi="Times New Roman" w:cs="Times New Roman"/>
      <w:sz w:val="18"/>
      <w:szCs w:val="18"/>
    </w:rPr>
  </w:style>
  <w:style w:type="character" w:customStyle="1" w:styleId="21013Char">
    <w:name w:val="附件2.10.1样式3 Char"/>
    <w:link w:val="21013"/>
    <w:qFormat/>
    <w:rPr>
      <w:rFonts w:ascii="黑体" w:eastAsia="黑体" w:hAnsi="宋体"/>
      <w:b/>
      <w:kern w:val="2"/>
      <w:sz w:val="28"/>
      <w:szCs w:val="28"/>
    </w:rPr>
  </w:style>
  <w:style w:type="paragraph" w:customStyle="1" w:styleId="21013">
    <w:name w:val="附件2.10.1样式3"/>
    <w:basedOn w:val="a0"/>
    <w:link w:val="21013Char"/>
    <w:qFormat/>
    <w:pPr>
      <w:numPr>
        <w:numId w:val="12"/>
      </w:numPr>
      <w:spacing w:line="360" w:lineRule="auto"/>
    </w:pPr>
    <w:rPr>
      <w:rFonts w:ascii="黑体" w:eastAsia="黑体" w:hAnsi="宋体"/>
      <w:b/>
      <w:sz w:val="28"/>
      <w:szCs w:val="28"/>
      <w:lang w:val="x-none" w:eastAsia="x-none"/>
    </w:rPr>
  </w:style>
  <w:style w:type="character" w:customStyle="1" w:styleId="font71">
    <w:name w:val="font71"/>
    <w:rPr>
      <w:rFonts w:ascii="宋体" w:eastAsia="宋体" w:hAnsi="宋体" w:cs="宋体" w:hint="eastAsia"/>
      <w:i w:val="0"/>
      <w:color w:val="000000"/>
      <w:sz w:val="18"/>
      <w:szCs w:val="18"/>
      <w:u w:val="none"/>
    </w:rPr>
  </w:style>
  <w:style w:type="character" w:customStyle="1" w:styleId="--Char">
    <w:name w:val="张--正文 Char"/>
    <w:link w:val="--"/>
    <w:qFormat/>
    <w:rPr>
      <w:kern w:val="2"/>
      <w:sz w:val="28"/>
      <w:szCs w:val="28"/>
    </w:rPr>
  </w:style>
  <w:style w:type="paragraph" w:customStyle="1" w:styleId="--">
    <w:name w:val="张--正文"/>
    <w:basedOn w:val="a0"/>
    <w:link w:val="--Char"/>
    <w:pPr>
      <w:adjustRightInd w:val="0"/>
      <w:snapToGrid w:val="0"/>
      <w:spacing w:line="360" w:lineRule="auto"/>
      <w:ind w:firstLineChars="200" w:firstLine="200"/>
    </w:pPr>
    <w:rPr>
      <w:sz w:val="28"/>
      <w:szCs w:val="28"/>
      <w:lang w:val="x-none" w:eastAsia="x-none"/>
    </w:rPr>
  </w:style>
  <w:style w:type="character" w:customStyle="1" w:styleId="710">
    <w:name w:val="标题 7 字符1"/>
    <w:aliases w:val="标题 7 表 字符,无节条 字符,标题 7 表1 字符,无级项 字符,项标题(1) 字符,可研-标题 7 字符,表格标题1 Char 字符,表格标题1 字符,无节条 Char Char 字符,标7 字符,H7 字符,H71 字符,标题 7 表 字符1,无节条 字符1,表头标准 字符1,标题 7 表1 字符1,无级项 字符1,表格标题1 Char 字符1,无节条 Char Char 字符1,标7 字符1,可研-标题 7 字符1,标7 Char 字符1,项标题(1) 字符1,H7 字符1"/>
    <w:rPr>
      <w:rFonts w:ascii="Times New Roman" w:eastAsia="宋体" w:hAnsi="Times New Roman" w:cs="Times New Roman"/>
      <w:b/>
      <w:bCs/>
      <w:kern w:val="2"/>
      <w:sz w:val="24"/>
      <w:szCs w:val="24"/>
    </w:rPr>
  </w:style>
  <w:style w:type="character" w:customStyle="1" w:styleId="2CharChar4">
    <w:name w:val="2缩进正文 Char Char"/>
    <w:link w:val="2Char9"/>
    <w:rPr>
      <w:rFonts w:eastAsia="宋体"/>
      <w:kern w:val="2"/>
      <w:sz w:val="24"/>
      <w:szCs w:val="24"/>
      <w:lang w:val="en-US" w:eastAsia="zh-CN" w:bidi="ar-SA"/>
    </w:rPr>
  </w:style>
  <w:style w:type="paragraph" w:customStyle="1" w:styleId="2Char9">
    <w:name w:val="2缩进正文 Char"/>
    <w:basedOn w:val="a0"/>
    <w:link w:val="2CharChar4"/>
    <w:semiHidden/>
    <w:pPr>
      <w:spacing w:line="360" w:lineRule="auto"/>
      <w:ind w:firstLineChars="200" w:firstLine="200"/>
    </w:pPr>
    <w:rPr>
      <w:sz w:val="24"/>
    </w:rPr>
  </w:style>
  <w:style w:type="character" w:customStyle="1" w:styleId="moresmall1">
    <w:name w:val="more_small1"/>
    <w:qFormat/>
    <w:rPr>
      <w:rFonts w:ascii="Arial" w:hAnsi="Arial" w:cs="Arial"/>
      <w:sz w:val="12"/>
      <w:szCs w:val="12"/>
    </w:rPr>
  </w:style>
  <w:style w:type="character" w:customStyle="1" w:styleId="textcontents">
    <w:name w:val="textcontents"/>
  </w:style>
  <w:style w:type="character" w:customStyle="1" w:styleId="3Char2">
    <w:name w:val="正文文本 3 Char"/>
    <w:aliases w:val="正文文字 3 Char"/>
    <w:qFormat/>
    <w:rPr>
      <w:rFonts w:ascii="Times New Roman" w:eastAsia="宋体" w:hAnsi="Times New Roman" w:cs="Times New Roman"/>
      <w:sz w:val="16"/>
      <w:szCs w:val="16"/>
    </w:rPr>
  </w:style>
  <w:style w:type="character" w:customStyle="1" w:styleId="1fb">
    <w:name w:val="批注文字 字符1"/>
    <w:uiPriority w:val="99"/>
    <w:semiHidden/>
    <w:rPr>
      <w:kern w:val="2"/>
      <w:sz w:val="21"/>
      <w:szCs w:val="24"/>
    </w:rPr>
  </w:style>
  <w:style w:type="character" w:customStyle="1" w:styleId="style441">
    <w:name w:val="style441"/>
    <w:rPr>
      <w:sz w:val="18"/>
    </w:rPr>
  </w:style>
  <w:style w:type="character" w:customStyle="1" w:styleId="1fc">
    <w:name w:val="注释标题 字符1"/>
    <w:aliases w:val="注释标题1 字符1"/>
    <w:qFormat/>
    <w:rPr>
      <w:kern w:val="2"/>
      <w:sz w:val="21"/>
      <w:szCs w:val="24"/>
    </w:rPr>
  </w:style>
  <w:style w:type="character" w:customStyle="1" w:styleId="font31">
    <w:name w:val="font31"/>
    <w:qFormat/>
    <w:rPr>
      <w:rFonts w:ascii="仿宋" w:eastAsia="仿宋" w:hAnsi="仿宋" w:cs="仿宋" w:hint="eastAsia"/>
      <w:i w:val="0"/>
      <w:color w:val="000000"/>
      <w:sz w:val="22"/>
      <w:szCs w:val="22"/>
      <w:u w:val="none"/>
    </w:rPr>
  </w:style>
  <w:style w:type="character" w:customStyle="1" w:styleId="CharChard">
    <w:name w:val="表格 Char Char"/>
    <w:rPr>
      <w:rFonts w:ascii="Times New Roman" w:eastAsia="宋体" w:hAnsi="Times New Roman" w:cs="Times New Roman"/>
      <w:kern w:val="0"/>
      <w:szCs w:val="21"/>
    </w:rPr>
  </w:style>
  <w:style w:type="character" w:customStyle="1" w:styleId="1Char10">
    <w:name w:val="1 Char1"/>
    <w:aliases w:val="1.1标题 2 Char1,1.1 Char1,标题2 Char1,节 Char1,二级标题，黑粗，小三，序号 Char1,HD2 Char1,Heading 2 Hidden Char1,Heading 2 CCBS Char1,sect 1.2 Char1,H2 Char1,Reset numbering Char1,H21 Char1,R2 Char1,heading 2 Char1,h2 Char1,2 Char1,sub-sect Char1,1 Cha"/>
    <w:qFormat/>
    <w:rPr>
      <w:rFonts w:ascii="Arial" w:eastAsia="黑体" w:hAnsi="Arial" w:cs="Times New Roman"/>
      <w:b/>
      <w:bCs/>
      <w:kern w:val="2"/>
      <w:sz w:val="32"/>
      <w:szCs w:val="32"/>
      <w:lang w:val="en-US" w:eastAsia="zh-CN" w:bidi="ar-SA"/>
    </w:rPr>
  </w:style>
  <w:style w:type="character" w:customStyle="1" w:styleId="2Chara">
    <w:name w:val="样式 首行缩进:  2 字符 Char"/>
    <w:rPr>
      <w:rFonts w:eastAsia="楷体_GB2312" w:cs="宋体"/>
      <w:spacing w:val="6"/>
      <w:sz w:val="28"/>
      <w:szCs w:val="28"/>
      <w:lang w:val="en-US" w:eastAsia="zh-CN" w:bidi="ar-SA"/>
    </w:rPr>
  </w:style>
  <w:style w:type="character" w:customStyle="1" w:styleId="313Char0">
    <w:name w:val="附件3.1 样式3 Char"/>
    <w:link w:val="3130"/>
    <w:qFormat/>
    <w:rPr>
      <w:rFonts w:ascii="黑体" w:eastAsia="黑体" w:hAnsi="Arial"/>
      <w:b/>
      <w:bCs/>
      <w:kern w:val="2"/>
      <w:sz w:val="28"/>
      <w:szCs w:val="32"/>
    </w:rPr>
  </w:style>
  <w:style w:type="paragraph" w:customStyle="1" w:styleId="3130">
    <w:name w:val="附件3.1 样式3"/>
    <w:basedOn w:val="313"/>
    <w:link w:val="313Char0"/>
    <w:qFormat/>
  </w:style>
  <w:style w:type="character" w:customStyle="1" w:styleId="bold">
    <w:name w:val="bold"/>
  </w:style>
  <w:style w:type="character" w:customStyle="1" w:styleId="Char21">
    <w:name w:val="正文缩进 Char2"/>
    <w:rPr>
      <w:rFonts w:eastAsia="宋体"/>
      <w:kern w:val="2"/>
      <w:sz w:val="21"/>
      <w:lang w:val="en-US" w:eastAsia="zh-CN" w:bidi="ar-SA"/>
    </w:rPr>
  </w:style>
  <w:style w:type="character" w:customStyle="1" w:styleId="Charfff">
    <w:name w:val="预评价 Char"/>
    <w:aliases w:val="标题 1 Char1,章标题 Char,标题 1 预评价 Char,H1 Char,H11 Char,H12 Char,b1 Char,1.标题 1 Char,标题 1 Char Char Char,§1. Char,标题 1 Char Char1,Heading 1p Char,标1 Char,可研-标题 1 Char,Part Char,H13 Char,H111 Char,H121 Char,H14 Char,H15 Char,H16 Char,H17 Char,章 Char"/>
    <w:qFormat/>
    <w:rPr>
      <w:rFonts w:ascii="黑体" w:eastAsia="黑体" w:hAnsi="Times New Roman" w:cs="Times New Roman"/>
      <w:b/>
      <w:bCs/>
      <w:kern w:val="44"/>
      <w:sz w:val="32"/>
      <w:szCs w:val="44"/>
    </w:rPr>
  </w:style>
  <w:style w:type="character" w:customStyle="1" w:styleId="apple-converted-space">
    <w:name w:val="apple-converted-space"/>
    <w:qFormat/>
  </w:style>
  <w:style w:type="character" w:customStyle="1" w:styleId="1101Char">
    <w:name w:val="附件1.10.1 Char"/>
    <w:link w:val="1101"/>
    <w:qFormat/>
    <w:rPr>
      <w:rFonts w:ascii="黑体" w:eastAsia="黑体" w:hAnsi="宋体"/>
      <w:b/>
      <w:kern w:val="2"/>
      <w:sz w:val="28"/>
      <w:szCs w:val="28"/>
    </w:rPr>
  </w:style>
  <w:style w:type="paragraph" w:customStyle="1" w:styleId="1101">
    <w:name w:val="附件1.10.1"/>
    <w:basedOn w:val="21313"/>
    <w:link w:val="1101Char"/>
    <w:qFormat/>
    <w:pPr>
      <w:numPr>
        <w:numId w:val="0"/>
      </w:numPr>
      <w:jc w:val="left"/>
      <w:outlineLvl w:val="2"/>
    </w:pPr>
  </w:style>
  <w:style w:type="character" w:customStyle="1" w:styleId="HTMLChar0">
    <w:name w:val="HTML 预设格式 Char"/>
    <w:qFormat/>
    <w:rPr>
      <w:rFonts w:ascii="宋体" w:eastAsia="宋体" w:hAnsi="宋体" w:cs="宋体"/>
      <w:kern w:val="0"/>
      <w:sz w:val="24"/>
      <w:szCs w:val="24"/>
    </w:rPr>
  </w:style>
  <w:style w:type="character" w:customStyle="1" w:styleId="5Char">
    <w:name w:val="标题 5 Char"/>
    <w:rPr>
      <w:rFonts w:ascii="宋体" w:eastAsia="宋体" w:hAnsi="宋体" w:cs="Times New Roman"/>
      <w:b/>
      <w:bCs/>
      <w:sz w:val="28"/>
      <w:szCs w:val="20"/>
    </w:rPr>
  </w:style>
  <w:style w:type="character" w:customStyle="1" w:styleId="CharCharChar1">
    <w:name w:val="Char Char Char1"/>
    <w:aliases w:val="正文缩进 Char1 Char1,正文缩进 Char Char Char Char, Char Char Char1,题注 Char2 Char,题注 Char Char Char Char Char Char Char Char Char Char Char,正文（首行缩进两字） Char Char1,正文缩进 Char Char1,正文（首行缩进两字） Char1"/>
    <w:qFormat/>
    <w:rPr>
      <w:rFonts w:ascii="宋体" w:eastAsia="宋体"/>
      <w:kern w:val="2"/>
      <w:sz w:val="21"/>
      <w:lang w:val="en-US" w:eastAsia="zh-CN" w:bidi="ar-SA"/>
    </w:rPr>
  </w:style>
  <w:style w:type="character" w:customStyle="1" w:styleId="tpccontent1">
    <w:name w:val="tpc_content1"/>
    <w:qFormat/>
    <w:rPr>
      <w:sz w:val="20"/>
      <w:szCs w:val="20"/>
    </w:rPr>
  </w:style>
  <w:style w:type="character" w:customStyle="1" w:styleId="CharCharChar">
    <w:name w:val="Char Char Char"/>
    <w:rPr>
      <w:rFonts w:ascii="宋体" w:eastAsia="宋体"/>
      <w:kern w:val="2"/>
      <w:sz w:val="21"/>
      <w:lang w:val="en-US" w:eastAsia="zh-CN" w:bidi="ar-SA"/>
    </w:rPr>
  </w:style>
  <w:style w:type="character" w:customStyle="1" w:styleId="z-0">
    <w:name w:val="z-窗体顶端 字符"/>
    <w:link w:val="HTMLTopofForm"/>
    <w:rPr>
      <w:rFonts w:ascii="Arial" w:hAnsi="Arial" w:cs="Arial"/>
      <w:vanish/>
      <w:kern w:val="2"/>
      <w:sz w:val="16"/>
      <w:szCs w:val="16"/>
    </w:rPr>
  </w:style>
  <w:style w:type="paragraph" w:customStyle="1" w:styleId="HTMLTopofForm">
    <w:name w:val="HTML Top of Form"/>
    <w:basedOn w:val="a0"/>
    <w:next w:val="a0"/>
    <w:link w:val="z-0"/>
    <w:pPr>
      <w:pBdr>
        <w:bottom w:val="single" w:sz="6" w:space="1" w:color="auto"/>
      </w:pBdr>
      <w:jc w:val="center"/>
    </w:pPr>
    <w:rPr>
      <w:rFonts w:ascii="Arial" w:hAnsi="Arial"/>
      <w:vanish/>
      <w:sz w:val="16"/>
      <w:szCs w:val="16"/>
      <w:lang w:val="x-none" w:eastAsia="x-none"/>
    </w:rPr>
  </w:style>
  <w:style w:type="character" w:customStyle="1" w:styleId="Charfff0">
    <w:name w:val="简单回函地址 Char"/>
    <w:link w:val="afffff4"/>
    <w:rPr>
      <w:rFonts w:eastAsia="楷体_GB2312"/>
      <w:kern w:val="2"/>
      <w:sz w:val="28"/>
      <w:lang w:val="en-US" w:eastAsia="zh-CN" w:bidi="ar-SA"/>
    </w:rPr>
  </w:style>
  <w:style w:type="paragraph" w:customStyle="1" w:styleId="afffff4">
    <w:name w:val="简单回函地址"/>
    <w:basedOn w:val="a0"/>
    <w:link w:val="Charfff0"/>
    <w:qFormat/>
    <w:pPr>
      <w:autoSpaceDE w:val="0"/>
      <w:autoSpaceDN w:val="0"/>
      <w:adjustRightInd w:val="0"/>
      <w:textAlignment w:val="baseline"/>
    </w:pPr>
    <w:rPr>
      <w:rFonts w:eastAsia="楷体_GB2312"/>
      <w:sz w:val="28"/>
      <w:szCs w:val="20"/>
    </w:rPr>
  </w:style>
  <w:style w:type="character" w:customStyle="1" w:styleId="CharChare">
    <w:name w:val="！！表格文字 Char Char"/>
    <w:link w:val="afffff5"/>
    <w:qFormat/>
    <w:rPr>
      <w:rFonts w:eastAsia="宋体"/>
      <w:kern w:val="2"/>
      <w:sz w:val="21"/>
      <w:lang w:val="en-US" w:eastAsia="zh-CN" w:bidi="ar-SA"/>
    </w:rPr>
  </w:style>
  <w:style w:type="paragraph" w:customStyle="1" w:styleId="afffff5">
    <w:name w:val="！！表格文字"/>
    <w:basedOn w:val="a0"/>
    <w:link w:val="CharChare"/>
    <w:qFormat/>
    <w:pPr>
      <w:tabs>
        <w:tab w:val="left" w:pos="0"/>
      </w:tabs>
      <w:spacing w:before="24" w:line="288" w:lineRule="auto"/>
      <w:jc w:val="left"/>
    </w:pPr>
    <w:rPr>
      <w:szCs w:val="20"/>
    </w:rPr>
  </w:style>
  <w:style w:type="paragraph" w:customStyle="1" w:styleId="59">
    <w:name w:val="标题5"/>
    <w:basedOn w:val="a0"/>
    <w:next w:val="a0"/>
    <w:pPr>
      <w:jc w:val="center"/>
    </w:pPr>
    <w:rPr>
      <w:rFonts w:ascii="黑体" w:eastAsia="黑体"/>
      <w:b/>
      <w:bCs/>
      <w:kern w:val="0"/>
      <w:sz w:val="24"/>
    </w:rPr>
  </w:style>
  <w:style w:type="paragraph" w:customStyle="1" w:styleId="msonormal0">
    <w:name w:val="msonormal"/>
    <w:basedOn w:val="a0"/>
    <w:pPr>
      <w:widowControl/>
      <w:spacing w:before="100" w:beforeAutospacing="1" w:after="100" w:afterAutospacing="1"/>
      <w:jc w:val="left"/>
    </w:pPr>
    <w:rPr>
      <w:rFonts w:ascii="宋体" w:hAnsi="宋体" w:cs="宋体"/>
      <w:kern w:val="0"/>
      <w:sz w:val="24"/>
    </w:rPr>
  </w:style>
  <w:style w:type="paragraph" w:customStyle="1" w:styleId="afffff6">
    <w:name w:val="插图标题"/>
    <w:basedOn w:val="a0"/>
    <w:pPr>
      <w:tabs>
        <w:tab w:val="left" w:pos="1134"/>
        <w:tab w:val="right" w:pos="7371"/>
      </w:tabs>
      <w:overflowPunct w:val="0"/>
      <w:adjustRightInd w:val="0"/>
      <w:ind w:firstLine="567"/>
      <w:jc w:val="center"/>
      <w:textAlignment w:val="baseline"/>
    </w:pPr>
    <w:rPr>
      <w:rFonts w:ascii="黑体" w:eastAsia="黑体"/>
      <w:kern w:val="0"/>
      <w:sz w:val="28"/>
      <w:szCs w:val="20"/>
    </w:rPr>
  </w:style>
  <w:style w:type="paragraph" w:customStyle="1" w:styleId="CharCharCharCharCharCharCharCharCharChar1">
    <w:name w:val="Char Char Char Char Char Char Char Char Char Char1"/>
    <w:basedOn w:val="a0"/>
    <w:qFormat/>
    <w:pPr>
      <w:spacing w:line="360" w:lineRule="auto"/>
    </w:pPr>
    <w:rPr>
      <w:rFonts w:ascii="宋体" w:hAnsi="宋体"/>
      <w:sz w:val="22"/>
      <w:szCs w:val="20"/>
    </w:rPr>
  </w:style>
  <w:style w:type="paragraph" w:customStyle="1" w:styleId="xl289">
    <w:name w:val="xl289"/>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1">
    <w:name w:val="样式 表11-1 + 居中"/>
    <w:basedOn w:val="11-10"/>
    <w:pPr>
      <w:jc w:val="center"/>
    </w:pPr>
  </w:style>
  <w:style w:type="paragraph" w:customStyle="1" w:styleId="11-10">
    <w:name w:val="表11-1"/>
    <w:basedOn w:val="a9"/>
    <w:qFormat/>
    <w:pPr>
      <w:tabs>
        <w:tab w:val="left" w:pos="2210"/>
      </w:tabs>
      <w:adjustRightInd w:val="0"/>
      <w:spacing w:line="300" w:lineRule="auto"/>
      <w:ind w:left="1622" w:hanging="132"/>
      <w:jc w:val="left"/>
      <w:textAlignment w:val="baseline"/>
    </w:pPr>
    <w:rPr>
      <w:rFonts w:ascii="Times New Roman"/>
      <w:kern w:val="2"/>
    </w:rPr>
  </w:style>
  <w:style w:type="paragraph" w:customStyle="1" w:styleId="2f8">
    <w:name w:val="评价项目名称2"/>
    <w:basedOn w:val="a0"/>
    <w:qFormat/>
    <w:pPr>
      <w:spacing w:line="360" w:lineRule="auto"/>
      <w:jc w:val="center"/>
    </w:pPr>
    <w:rPr>
      <w:b/>
      <w:sz w:val="32"/>
      <w:szCs w:val="28"/>
    </w:rPr>
  </w:style>
  <w:style w:type="paragraph" w:customStyle="1" w:styleId="xl47">
    <w:name w:val="xl47"/>
    <w:basedOn w:val="a0"/>
    <w:qFormat/>
    <w:pPr>
      <w:widowControl/>
      <w:pBdr>
        <w:top w:val="single" w:sz="4" w:space="0" w:color="auto"/>
        <w:bottom w:val="single" w:sz="4" w:space="0" w:color="auto"/>
      </w:pBdr>
      <w:spacing w:before="100" w:beforeAutospacing="1" w:after="100" w:afterAutospacing="1"/>
      <w:jc w:val="center"/>
    </w:pPr>
    <w:rPr>
      <w:rFonts w:ascii="Arial Unicode MS" w:hAnsi="Arial Unicode MS"/>
      <w:b/>
      <w:kern w:val="0"/>
      <w:sz w:val="48"/>
      <w:szCs w:val="20"/>
    </w:rPr>
  </w:style>
  <w:style w:type="paragraph" w:customStyle="1" w:styleId="1049">
    <w:name w:val="样式 标题1 + 段后: 0.49 行"/>
    <w:basedOn w:val="a0"/>
    <w:pPr>
      <w:keepNext/>
      <w:keepLines/>
      <w:tabs>
        <w:tab w:val="left" w:pos="900"/>
        <w:tab w:val="left" w:pos="992"/>
        <w:tab w:val="left" w:pos="1440"/>
      </w:tabs>
      <w:adjustRightInd w:val="0"/>
      <w:spacing w:before="360" w:afterLines="100" w:after="100"/>
      <w:ind w:left="672" w:hanging="132"/>
      <w:jc w:val="center"/>
      <w:textAlignment w:val="baseline"/>
      <w:outlineLvl w:val="0"/>
    </w:pPr>
    <w:rPr>
      <w:rFonts w:ascii="黑体" w:hAnsi="Arial"/>
      <w:kern w:val="44"/>
      <w:sz w:val="44"/>
      <w:szCs w:val="20"/>
    </w:rPr>
  </w:style>
  <w:style w:type="paragraph" w:customStyle="1" w:styleId="afffff7">
    <w:name w:val="报告书表格"/>
    <w:basedOn w:val="a0"/>
    <w:pPr>
      <w:adjustRightInd w:val="0"/>
      <w:spacing w:before="60" w:after="60" w:line="240" w:lineRule="atLeast"/>
      <w:jc w:val="center"/>
      <w:textAlignment w:val="baseline"/>
    </w:pPr>
    <w:rPr>
      <w:kern w:val="0"/>
      <w:szCs w:val="20"/>
    </w:rPr>
  </w:style>
  <w:style w:type="paragraph" w:customStyle="1" w:styleId="xl120">
    <w:name w:val="xl120"/>
    <w:basedOn w:val="a0"/>
    <w:qFormat/>
    <w:pPr>
      <w:widowControl/>
      <w:spacing w:before="100" w:beforeAutospacing="1" w:after="100" w:afterAutospacing="1"/>
      <w:jc w:val="left"/>
      <w:textAlignment w:val="bottom"/>
    </w:pPr>
    <w:rPr>
      <w:rFonts w:ascii="宋体" w:hAnsi="宋体" w:cs="宋体"/>
      <w:kern w:val="0"/>
      <w:sz w:val="18"/>
      <w:szCs w:val="18"/>
    </w:rPr>
  </w:style>
  <w:style w:type="paragraph" w:customStyle="1" w:styleId="CharCharCharCharCharCharCharCharCharCharCharCharCharCharCharCharCharCharChar1">
    <w:name w:val="Char Char Char Char Char Char Char Char Char Char Char Char Char Char Char Char Char Char Char1"/>
    <w:basedOn w:val="a0"/>
  </w:style>
  <w:style w:type="paragraph" w:customStyle="1" w:styleId="font6">
    <w:name w:val="font6"/>
    <w:basedOn w:val="a0"/>
    <w:qFormat/>
    <w:pPr>
      <w:widowControl/>
      <w:spacing w:before="100" w:beforeAutospacing="1" w:after="100" w:afterAutospacing="1"/>
      <w:jc w:val="left"/>
    </w:pPr>
    <w:rPr>
      <w:kern w:val="0"/>
      <w:sz w:val="22"/>
      <w:szCs w:val="22"/>
    </w:rPr>
  </w:style>
  <w:style w:type="paragraph" w:customStyle="1" w:styleId="xl117">
    <w:name w:val="xl11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1fd">
    <w:name w:val="表格1"/>
    <w:link w:val="1CharChar0"/>
    <w:qFormat/>
    <w:pPr>
      <w:adjustRightInd w:val="0"/>
      <w:spacing w:line="360" w:lineRule="auto"/>
      <w:jc w:val="center"/>
      <w:textAlignment w:val="center"/>
    </w:pPr>
    <w:rPr>
      <w:sz w:val="21"/>
    </w:rPr>
  </w:style>
  <w:style w:type="character" w:customStyle="1" w:styleId="1CharChar0">
    <w:name w:val="表格1 Char Char"/>
    <w:link w:val="1fd"/>
    <w:rPr>
      <w:sz w:val="21"/>
      <w:lang w:bidi="ar-SA"/>
    </w:rPr>
  </w:style>
  <w:style w:type="paragraph" w:customStyle="1" w:styleId="p15">
    <w:name w:val="p15"/>
    <w:basedOn w:val="a0"/>
    <w:pPr>
      <w:widowControl/>
    </w:pPr>
    <w:rPr>
      <w:kern w:val="0"/>
      <w:szCs w:val="21"/>
    </w:rPr>
  </w:style>
  <w:style w:type="paragraph" w:customStyle="1" w:styleId="xl106">
    <w:name w:val="xl10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szCs w:val="20"/>
    </w:rPr>
  </w:style>
  <w:style w:type="paragraph" w:customStyle="1" w:styleId="xl69">
    <w:name w:val="xl69"/>
    <w:basedOn w:val="a0"/>
    <w:qFormat/>
    <w:pPr>
      <w:widowControl/>
      <w:pBdr>
        <w:left w:val="single" w:sz="4" w:space="0" w:color="auto"/>
        <w:bottom w:val="single" w:sz="4" w:space="0" w:color="auto"/>
        <w:right w:val="single" w:sz="4" w:space="0" w:color="auto"/>
      </w:pBdr>
      <w:spacing w:before="100" w:beforeAutospacing="1" w:after="100" w:afterAutospacing="1"/>
      <w:jc w:val="center"/>
    </w:pPr>
    <w:rPr>
      <w:kern w:val="0"/>
      <w:sz w:val="15"/>
      <w:szCs w:val="15"/>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0"/>
    <w:pPr>
      <w:spacing w:line="360" w:lineRule="auto"/>
    </w:pPr>
    <w:rPr>
      <w:rFonts w:ascii="宋体" w:hAnsi="宋体"/>
      <w:sz w:val="22"/>
      <w:szCs w:val="20"/>
    </w:rPr>
  </w:style>
  <w:style w:type="paragraph" w:customStyle="1" w:styleId="afffff8">
    <w:name w:val="表中正文居中"/>
    <w:qFormat/>
    <w:pPr>
      <w:spacing w:before="120" w:after="156" w:line="240" w:lineRule="exact"/>
      <w:jc w:val="center"/>
    </w:pPr>
    <w:rPr>
      <w:rFonts w:ascii="宋体"/>
      <w:kern w:val="2"/>
      <w:sz w:val="21"/>
    </w:rPr>
  </w:style>
  <w:style w:type="paragraph" w:customStyle="1" w:styleId="xl281">
    <w:name w:val="xl281"/>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8">
    <w:name w:val="xl2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70">
    <w:name w:val="样式27"/>
    <w:basedOn w:val="a0"/>
    <w:next w:val="a0"/>
    <w:pPr>
      <w:ind w:firstLine="560"/>
    </w:pPr>
  </w:style>
  <w:style w:type="paragraph" w:customStyle="1" w:styleId="CharChar2CharCharCharCharCharCharChar">
    <w:name w:val="Char Char2 Char Char Char Char Char Char Char"/>
    <w:basedOn w:val="a0"/>
    <w:pPr>
      <w:spacing w:line="360" w:lineRule="auto"/>
    </w:pPr>
    <w:rPr>
      <w:rFonts w:ascii="宋体" w:hAnsi="宋体"/>
      <w:sz w:val="22"/>
    </w:rPr>
  </w:style>
  <w:style w:type="paragraph" w:customStyle="1" w:styleId="afffff9">
    <w:name w:val="段标"/>
    <w:basedOn w:val="a0"/>
    <w:qFormat/>
    <w:pPr>
      <w:adjustRightInd w:val="0"/>
      <w:spacing w:line="360" w:lineRule="auto"/>
      <w:ind w:firstLine="567"/>
      <w:jc w:val="left"/>
      <w:textAlignment w:val="baseline"/>
    </w:pPr>
    <w:rPr>
      <w:color w:val="000000"/>
      <w:kern w:val="0"/>
      <w:sz w:val="28"/>
      <w:szCs w:val="20"/>
    </w:rPr>
  </w:style>
  <w:style w:type="paragraph" w:customStyle="1" w:styleId="2f9">
    <w:name w:val="小四正文缩进2"/>
    <w:basedOn w:val="a0"/>
    <w:pPr>
      <w:spacing w:line="360" w:lineRule="auto"/>
      <w:ind w:firstLineChars="200" w:firstLine="200"/>
    </w:pPr>
    <w:rPr>
      <w:sz w:val="24"/>
    </w:rPr>
  </w:style>
  <w:style w:type="paragraph" w:customStyle="1" w:styleId="1fe">
    <w:name w:val="1级标题"/>
    <w:basedOn w:val="a0"/>
    <w:next w:val="a0"/>
    <w:pPr>
      <w:widowControl/>
      <w:tabs>
        <w:tab w:val="left" w:pos="560"/>
      </w:tabs>
      <w:spacing w:line="360" w:lineRule="auto"/>
      <w:ind w:left="560" w:hanging="560"/>
      <w:jc w:val="center"/>
      <w:outlineLvl w:val="0"/>
    </w:pPr>
    <w:rPr>
      <w:rFonts w:ascii="Arial" w:eastAsia="黑体" w:hAnsi="Arial"/>
      <w:smallCaps/>
      <w:color w:val="000000"/>
      <w:sz w:val="32"/>
      <w:szCs w:val="32"/>
    </w:rPr>
  </w:style>
  <w:style w:type="paragraph" w:customStyle="1" w:styleId="xl300">
    <w:name w:val="xl300"/>
    <w:basedOn w:val="a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5">
    <w:name w:val="样式6"/>
    <w:basedOn w:val="a0"/>
    <w:qFormat/>
    <w:pPr>
      <w:spacing w:line="360" w:lineRule="auto"/>
      <w:ind w:firstLineChars="200" w:firstLine="200"/>
    </w:pPr>
    <w:rPr>
      <w:rFonts w:ascii="宋体" w:hAnsi="宋体"/>
      <w:color w:val="000000"/>
      <w:sz w:val="28"/>
    </w:rPr>
  </w:style>
  <w:style w:type="paragraph" w:customStyle="1" w:styleId="001">
    <w:name w:val="表格001"/>
    <w:basedOn w:val="a0"/>
    <w:pPr>
      <w:jc w:val="center"/>
    </w:pPr>
  </w:style>
  <w:style w:type="paragraph" w:customStyle="1" w:styleId="Char2CharCharChar1">
    <w:name w:val="Char2 Char Char Char1"/>
    <w:basedOn w:val="a0"/>
    <w:qFormat/>
    <w:pPr>
      <w:widowControl/>
      <w:spacing w:after="160" w:line="240" w:lineRule="exact"/>
      <w:jc w:val="left"/>
    </w:pPr>
    <w:rPr>
      <w:rFonts w:ascii="Verdana" w:hAnsi="Verdana"/>
      <w:kern w:val="0"/>
      <w:sz w:val="20"/>
      <w:szCs w:val="20"/>
      <w:lang w:eastAsia="en-US"/>
    </w:rPr>
  </w:style>
  <w:style w:type="paragraph" w:customStyle="1" w:styleId="xl121">
    <w:name w:val="xl121"/>
    <w:basedOn w:val="a0"/>
    <w:pPr>
      <w:widowControl/>
      <w:spacing w:before="100" w:beforeAutospacing="1" w:after="100" w:afterAutospacing="1"/>
      <w:jc w:val="left"/>
      <w:textAlignment w:val="bottom"/>
    </w:pPr>
    <w:rPr>
      <w:rFonts w:ascii="宋体" w:hAnsi="宋体" w:cs="宋体"/>
      <w:kern w:val="0"/>
      <w:sz w:val="18"/>
      <w:szCs w:val="18"/>
    </w:rPr>
  </w:style>
  <w:style w:type="paragraph" w:customStyle="1" w:styleId="xl255">
    <w:name w:val="xl25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0010">
    <w:name w:val="正文001"/>
    <w:basedOn w:val="a0"/>
    <w:link w:val="001Char1"/>
    <w:pPr>
      <w:spacing w:line="480" w:lineRule="exact"/>
      <w:ind w:firstLine="482"/>
    </w:pPr>
    <w:rPr>
      <w:sz w:val="24"/>
      <w:lang w:val="x-none" w:eastAsia="x-none"/>
    </w:rPr>
  </w:style>
  <w:style w:type="character" w:customStyle="1" w:styleId="001Char1">
    <w:name w:val="正文001 Char1"/>
    <w:link w:val="0010"/>
    <w:rPr>
      <w:kern w:val="2"/>
      <w:sz w:val="24"/>
      <w:szCs w:val="24"/>
    </w:rPr>
  </w:style>
  <w:style w:type="paragraph" w:customStyle="1" w:styleId="330">
    <w:name w:val="标题33"/>
    <w:basedOn w:val="a9"/>
    <w:qFormat/>
    <w:pPr>
      <w:spacing w:beforeLines="50" w:before="156" w:afterLines="50" w:after="156" w:line="400" w:lineRule="exact"/>
      <w:ind w:firstLine="0"/>
    </w:pPr>
    <w:rPr>
      <w:rFonts w:ascii="仿宋_GB2312" w:eastAsia="仿宋_GB2312" w:hAnsi="宋体"/>
      <w:kern w:val="2"/>
    </w:rPr>
  </w:style>
  <w:style w:type="paragraph" w:customStyle="1" w:styleId="1ff">
    <w:name w:val="样式1"/>
    <w:basedOn w:val="a0"/>
    <w:link w:val="1Char4"/>
    <w:qFormat/>
    <w:pPr>
      <w:spacing w:line="480" w:lineRule="exact"/>
    </w:pPr>
    <w:rPr>
      <w:rFonts w:ascii="宋体" w:hAnsi="宋体"/>
      <w:bCs/>
      <w:snapToGrid w:val="0"/>
      <w:kern w:val="0"/>
      <w:sz w:val="24"/>
      <w:szCs w:val="20"/>
      <w:lang w:val="x-none" w:eastAsia="x-none"/>
    </w:rPr>
  </w:style>
  <w:style w:type="character" w:customStyle="1" w:styleId="1Char4">
    <w:name w:val="样式1 Char"/>
    <w:link w:val="1ff"/>
    <w:rPr>
      <w:rFonts w:ascii="宋体" w:hAnsi="宋体"/>
      <w:bCs/>
      <w:snapToGrid w:val="0"/>
      <w:sz w:val="24"/>
    </w:rPr>
  </w:style>
  <w:style w:type="paragraph" w:customStyle="1" w:styleId="CharChar1CharCharCharChar">
    <w:name w:val="Char Char1 Char Char Char Char"/>
    <w:basedOn w:val="a0"/>
    <w:semiHidden/>
    <w:qFormat/>
    <w:pPr>
      <w:tabs>
        <w:tab w:val="left" w:pos="426"/>
      </w:tabs>
      <w:ind w:left="426" w:hanging="420"/>
    </w:pPr>
    <w:rPr>
      <w:sz w:val="24"/>
    </w:rPr>
  </w:style>
  <w:style w:type="paragraph" w:customStyle="1" w:styleId="xl76">
    <w:name w:val="xl76"/>
    <w:basedOn w:val="a0"/>
    <w:qFormat/>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301">
    <w:name w:val="xl301"/>
    <w:basedOn w:val="a0"/>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003">
    <w:name w:val="标题003"/>
    <w:basedOn w:val="a0"/>
    <w:qFormat/>
    <w:pPr>
      <w:spacing w:before="120" w:line="440" w:lineRule="exact"/>
      <w:outlineLvl w:val="2"/>
    </w:pPr>
    <w:rPr>
      <w:b/>
      <w:sz w:val="27"/>
      <w:szCs w:val="20"/>
    </w:rPr>
  </w:style>
  <w:style w:type="paragraph" w:customStyle="1" w:styleId="Char1CharCharCharCharCharChar2">
    <w:name w:val="Char1 Char Char Char Char Char Char2"/>
    <w:basedOn w:val="a0"/>
    <w:qFormat/>
    <w:rPr>
      <w:sz w:val="24"/>
    </w:rPr>
  </w:style>
  <w:style w:type="paragraph" w:customStyle="1" w:styleId="66">
    <w:name w:val="6"/>
    <w:basedOn w:val="a0"/>
    <w:next w:val="af6"/>
    <w:rPr>
      <w:rFonts w:ascii="宋体" w:hAnsi="Courier New" w:hint="eastAsia"/>
      <w:szCs w:val="20"/>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afffffa">
    <w:name w:val="表格内容"/>
    <w:basedOn w:val="a0"/>
    <w:link w:val="Charfff1"/>
    <w:pPr>
      <w:jc w:val="center"/>
    </w:pPr>
    <w:rPr>
      <w:b/>
      <w:bCs/>
      <w:lang w:val="x-none" w:eastAsia="x-none"/>
    </w:rPr>
  </w:style>
  <w:style w:type="character" w:customStyle="1" w:styleId="Charfff1">
    <w:name w:val="表格内容 Char"/>
    <w:link w:val="afffffa"/>
    <w:rPr>
      <w:b/>
      <w:bCs/>
      <w:kern w:val="2"/>
      <w:sz w:val="21"/>
      <w:szCs w:val="24"/>
    </w:rPr>
  </w:style>
  <w:style w:type="paragraph" w:customStyle="1" w:styleId="5-10505">
    <w:name w:val="样式 表5-1 + 段前: 0.5 行 段后: 0.5 行"/>
    <w:basedOn w:val="5-1"/>
    <w:pPr>
      <w:spacing w:before="50" w:after="50"/>
    </w:pPr>
  </w:style>
  <w:style w:type="paragraph" w:customStyle="1" w:styleId="5-1">
    <w:name w:val="表5-1"/>
    <w:basedOn w:val="aff2"/>
    <w:qFormat/>
    <w:pPr>
      <w:tabs>
        <w:tab w:val="center" w:pos="992"/>
        <w:tab w:val="left" w:pos="1260"/>
      </w:tabs>
      <w:spacing w:beforeLines="50" w:before="120" w:afterLines="50" w:after="120"/>
      <w:ind w:leftChars="0" w:left="960" w:firstLineChars="0" w:firstLine="0"/>
      <w:jc w:val="center"/>
    </w:pPr>
  </w:style>
  <w:style w:type="paragraph" w:customStyle="1" w:styleId="xl249">
    <w:name w:val="xl24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Cs w:val="21"/>
    </w:rPr>
  </w:style>
  <w:style w:type="paragraph" w:customStyle="1" w:styleId="xl279">
    <w:name w:val="xl279"/>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font0">
    <w:name w:val="font0"/>
    <w:basedOn w:val="a0"/>
    <w:qFormat/>
    <w:pPr>
      <w:widowControl/>
      <w:spacing w:before="100" w:beforeAutospacing="1" w:after="100" w:afterAutospacing="1"/>
      <w:jc w:val="left"/>
    </w:pPr>
    <w:rPr>
      <w:rFonts w:ascii="宋体" w:hAnsi="宋体" w:cs="宋体"/>
      <w:kern w:val="0"/>
      <w:sz w:val="24"/>
    </w:rPr>
  </w:style>
  <w:style w:type="paragraph" w:customStyle="1" w:styleId="xl26">
    <w:name w:val="xl26"/>
    <w:basedOn w:val="a0"/>
    <w:qFormat/>
    <w:pPr>
      <w:widowControl/>
      <w:pBdr>
        <w:bottom w:val="single" w:sz="4" w:space="0" w:color="auto"/>
        <w:right w:val="single" w:sz="4" w:space="0" w:color="auto"/>
      </w:pBdr>
      <w:spacing w:before="100" w:beforeAutospacing="1" w:after="100" w:afterAutospacing="1"/>
      <w:jc w:val="center"/>
    </w:pPr>
    <w:rPr>
      <w:kern w:val="0"/>
      <w:szCs w:val="21"/>
    </w:rPr>
  </w:style>
  <w:style w:type="paragraph" w:customStyle="1" w:styleId="afffffb">
    <w:name w:val="第一级标题"/>
    <w:basedOn w:val="a0"/>
    <w:next w:val="23"/>
    <w:qFormat/>
    <w:pPr>
      <w:numPr>
        <w:numId w:val="8"/>
      </w:numPr>
      <w:tabs>
        <w:tab w:val="left" w:pos="0"/>
      </w:tabs>
      <w:outlineLvl w:val="0"/>
    </w:pPr>
    <w:rPr>
      <w:rFonts w:eastAsia="黑体"/>
      <w:sz w:val="24"/>
    </w:rPr>
  </w:style>
  <w:style w:type="paragraph" w:customStyle="1" w:styleId="BodyText23">
    <w:name w:val="Body Text 23"/>
    <w:basedOn w:val="a0"/>
    <w:qFormat/>
    <w:pPr>
      <w:adjustRightInd w:val="0"/>
      <w:spacing w:line="312" w:lineRule="atLeast"/>
      <w:ind w:firstLine="567"/>
      <w:textAlignment w:val="baseline"/>
    </w:pPr>
    <w:rPr>
      <w:kern w:val="0"/>
      <w:sz w:val="28"/>
      <w:szCs w:val="20"/>
    </w:rPr>
  </w:style>
  <w:style w:type="paragraph" w:customStyle="1" w:styleId="CharChar10">
    <w:name w:val="Char Char1"/>
    <w:basedOn w:val="a0"/>
    <w:pPr>
      <w:spacing w:line="360" w:lineRule="auto"/>
      <w:ind w:firstLineChars="200" w:firstLine="200"/>
    </w:pPr>
    <w:rPr>
      <w:rFonts w:eastAsia="仿宋_GB2312"/>
      <w:sz w:val="28"/>
      <w:szCs w:val="20"/>
    </w:rPr>
  </w:style>
  <w:style w:type="paragraph" w:customStyle="1" w:styleId="Main">
    <w:name w:val="Main"/>
    <w:basedOn w:val="a0"/>
    <w:pPr>
      <w:spacing w:line="480" w:lineRule="atLeast"/>
      <w:ind w:leftChars="400" w:left="400" w:right="400" w:firstLine="200"/>
    </w:pPr>
    <w:rPr>
      <w:rFonts w:ascii="Tahoma" w:hAnsi="Tahoma" w:hint="eastAsia"/>
      <w:szCs w:val="20"/>
    </w:rPr>
  </w:style>
  <w:style w:type="paragraph" w:customStyle="1" w:styleId="xl111">
    <w:name w:val="xl11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0">
    <w:name w:val="xl13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0">
    <w:name w:val="xl110"/>
    <w:basedOn w:val="a0"/>
    <w:qFormat/>
    <w:pPr>
      <w:widowControl/>
      <w:pBdr>
        <w:left w:val="single" w:sz="4" w:space="0" w:color="auto"/>
        <w:bottom w:val="single" w:sz="4" w:space="0" w:color="auto"/>
      </w:pBdr>
      <w:shd w:val="clear" w:color="000000" w:fill="CCFFFF"/>
      <w:spacing w:before="100" w:beforeAutospacing="1" w:after="100" w:afterAutospacing="1"/>
      <w:jc w:val="center"/>
    </w:pPr>
    <w:rPr>
      <w:rFonts w:ascii="宋体" w:hAnsi="宋体" w:cs="宋体"/>
      <w:color w:val="0000FF"/>
      <w:kern w:val="0"/>
      <w:sz w:val="20"/>
      <w:szCs w:val="20"/>
    </w:rPr>
  </w:style>
  <w:style w:type="paragraph" w:customStyle="1" w:styleId="xl125">
    <w:name w:val="xl125"/>
    <w:basedOn w:val="a0"/>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CharChar1CharCharChar1">
    <w:name w:val="Char Char1 Char Char Char1"/>
    <w:basedOn w:val="a0"/>
    <w:qFormat/>
    <w:pPr>
      <w:spacing w:line="360" w:lineRule="auto"/>
    </w:pPr>
    <w:rPr>
      <w:rFonts w:ascii="宋体" w:hAnsi="宋体"/>
      <w:sz w:val="22"/>
    </w:rPr>
  </w:style>
  <w:style w:type="paragraph" w:customStyle="1" w:styleId="xl241">
    <w:name w:val="xl241"/>
    <w:basedOn w:val="a0"/>
    <w:qFormat/>
    <w:pPr>
      <w:widowControl/>
      <w:spacing w:before="100" w:beforeAutospacing="1" w:after="100" w:afterAutospacing="1"/>
      <w:jc w:val="center"/>
    </w:pPr>
    <w:rPr>
      <w:rFonts w:ascii="宋体" w:hAnsi="宋体" w:cs="宋体"/>
      <w:kern w:val="0"/>
      <w:sz w:val="20"/>
      <w:szCs w:val="20"/>
    </w:rPr>
  </w:style>
  <w:style w:type="paragraph" w:customStyle="1" w:styleId="4a">
    <w:name w:val="4"/>
    <w:basedOn w:val="a0"/>
    <w:next w:val="aff4"/>
    <w:link w:val="4Char0"/>
    <w:qFormat/>
    <w:pPr>
      <w:widowControl/>
      <w:spacing w:before="100" w:beforeAutospacing="1" w:after="100" w:afterAutospacing="1"/>
      <w:jc w:val="left"/>
    </w:pPr>
    <w:rPr>
      <w:rFonts w:ascii="宋体" w:hAnsi="宋体"/>
      <w:kern w:val="0"/>
      <w:sz w:val="24"/>
      <w:lang w:val="x-none" w:eastAsia="x-none"/>
    </w:rPr>
  </w:style>
  <w:style w:type="character" w:customStyle="1" w:styleId="4Char0">
    <w:name w:val="4 Char"/>
    <w:link w:val="4a"/>
    <w:rPr>
      <w:rFonts w:ascii="宋体" w:hAnsi="宋体"/>
      <w:sz w:val="24"/>
      <w:szCs w:val="24"/>
    </w:rPr>
  </w:style>
  <w:style w:type="paragraph" w:customStyle="1" w:styleId="edri-titlethirdChar1">
    <w:name w:val="edri-title third Char1"/>
    <w:basedOn w:val="a0"/>
    <w:pPr>
      <w:tabs>
        <w:tab w:val="left" w:pos="1680"/>
      </w:tabs>
      <w:spacing w:before="100" w:beforeAutospacing="1" w:after="100" w:afterAutospacing="1"/>
      <w:ind w:left="1680" w:hanging="420"/>
      <w:outlineLvl w:val="2"/>
    </w:pPr>
    <w:rPr>
      <w:rFonts w:ascii="Arial" w:hAnsi="Arial" w:cs="Arial"/>
      <w:b/>
      <w:sz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kern w:val="0"/>
      <w:sz w:val="22"/>
      <w:szCs w:val="22"/>
    </w:rPr>
  </w:style>
  <w:style w:type="paragraph" w:customStyle="1" w:styleId="320">
    <w:name w:val="样式 标题 3 + 首行缩进:  2 字符"/>
    <w:basedOn w:val="3"/>
    <w:qFormat/>
    <w:pPr>
      <w:spacing w:before="100" w:beforeAutospacing="1" w:after="100" w:afterAutospacing="1"/>
      <w:ind w:firstLineChars="200" w:firstLine="200"/>
    </w:pPr>
    <w:rPr>
      <w:rFonts w:ascii="Times New Roman" w:cs="宋体"/>
      <w:b w:val="0"/>
      <w:bCs w:val="0"/>
      <w:sz w:val="28"/>
      <w:szCs w:val="20"/>
    </w:rPr>
  </w:style>
  <w:style w:type="paragraph" w:customStyle="1" w:styleId="215">
    <w:name w:val="目录 21"/>
    <w:basedOn w:val="a0"/>
    <w:next w:val="a0"/>
    <w:uiPriority w:val="1"/>
    <w:qFormat/>
    <w:pPr>
      <w:ind w:left="210"/>
      <w:jc w:val="left"/>
    </w:pPr>
    <w:rPr>
      <w:smallCaps/>
      <w:sz w:val="20"/>
      <w:szCs w:val="20"/>
    </w:rPr>
  </w:style>
  <w:style w:type="paragraph" w:customStyle="1" w:styleId="xl284">
    <w:name w:val="xl284"/>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0">
    <w:name w:val="- 页码 -"/>
    <w:qFormat/>
    <w:pPr>
      <w:widowControl w:val="0"/>
      <w:jc w:val="both"/>
    </w:pPr>
    <w:rPr>
      <w:kern w:val="2"/>
      <w:sz w:val="21"/>
      <w:szCs w:val="24"/>
    </w:rPr>
  </w:style>
  <w:style w:type="paragraph" w:customStyle="1" w:styleId="2fa">
    <w:name w:val="封面标题2"/>
    <w:basedOn w:val="a0"/>
    <w:qFormat/>
    <w:pPr>
      <w:spacing w:line="360" w:lineRule="auto"/>
      <w:jc w:val="center"/>
    </w:pPr>
    <w:rPr>
      <w:color w:val="000000"/>
    </w:rPr>
  </w:style>
  <w:style w:type="paragraph" w:customStyle="1" w:styleId="CharCharCharCharCharCharChar3Char">
    <w:name w:val="Char Char Char Char Char Char Char3 Char"/>
    <w:basedOn w:val="a0"/>
    <w:qFormat/>
    <w:pPr>
      <w:widowControl/>
      <w:spacing w:after="160" w:line="240" w:lineRule="exact"/>
      <w:jc w:val="left"/>
    </w:pPr>
    <w:rPr>
      <w:rFonts w:ascii="Arial" w:eastAsia="Times New Roman" w:hAnsi="Arial" w:cs="Verdana"/>
      <w:b/>
      <w:kern w:val="0"/>
      <w:sz w:val="24"/>
      <w:lang w:eastAsia="en-US"/>
    </w:rPr>
  </w:style>
  <w:style w:type="paragraph" w:customStyle="1" w:styleId="4b">
    <w:name w:val="标题4"/>
    <w:basedOn w:val="a0"/>
    <w:next w:val="a0"/>
    <w:pPr>
      <w:jc w:val="left"/>
    </w:pPr>
    <w:rPr>
      <w:rFonts w:ascii="黑体" w:eastAsia="黑体"/>
      <w:b/>
      <w:snapToGrid w:val="0"/>
      <w:kern w:val="0"/>
      <w:sz w:val="24"/>
    </w:rPr>
  </w:style>
  <w:style w:type="paragraph" w:customStyle="1" w:styleId="Char1CharCharCharCharCharChar1">
    <w:name w:val="Char1 Char Char Char Char Char Char1"/>
    <w:basedOn w:val="a0"/>
    <w:rPr>
      <w:sz w:val="24"/>
    </w:rPr>
  </w:style>
  <w:style w:type="paragraph" w:customStyle="1" w:styleId="2-1">
    <w:name w:val="样式 表2-1 + 两端对齐"/>
    <w:basedOn w:val="2-10"/>
    <w:qFormat/>
    <w:pPr>
      <w:ind w:left="420"/>
      <w:jc w:val="both"/>
    </w:pPr>
    <w:rPr>
      <w:szCs w:val="20"/>
    </w:rPr>
  </w:style>
  <w:style w:type="paragraph" w:customStyle="1" w:styleId="2-10">
    <w:name w:val="表2-1"/>
    <w:basedOn w:val="a0"/>
    <w:qFormat/>
    <w:pPr>
      <w:tabs>
        <w:tab w:val="center" w:pos="1051"/>
        <w:tab w:val="left" w:pos="2251"/>
      </w:tabs>
      <w:adjustRightInd w:val="0"/>
      <w:snapToGrid w:val="0"/>
      <w:spacing w:line="360" w:lineRule="auto"/>
      <w:ind w:left="1951" w:hanging="420"/>
      <w:jc w:val="center"/>
      <w:textAlignment w:val="baseline"/>
    </w:pPr>
    <w:rPr>
      <w:rFonts w:eastAsia="黑体"/>
      <w:sz w:val="28"/>
      <w:szCs w:val="28"/>
    </w:rPr>
  </w:style>
  <w:style w:type="paragraph" w:customStyle="1" w:styleId="xl277">
    <w:name w:val="xl27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c">
    <w:name w:val="质表正文"/>
    <w:basedOn w:val="a0"/>
    <w:qFormat/>
    <w:pPr>
      <w:adjustRightInd w:val="0"/>
      <w:snapToGrid w:val="0"/>
      <w:spacing w:line="0" w:lineRule="atLeast"/>
      <w:jc w:val="center"/>
    </w:pPr>
    <w:rPr>
      <w:rFonts w:ascii="宋体" w:hAnsi="宋体"/>
      <w:spacing w:val="-20"/>
    </w:rPr>
  </w:style>
  <w:style w:type="paragraph" w:customStyle="1" w:styleId="CharChar1CharCharCharCharCharChar1">
    <w:name w:val="Char Char1 Char Char Char Char Char Char1"/>
    <w:basedOn w:val="a0"/>
    <w:qFormat/>
    <w:pPr>
      <w:spacing w:line="360" w:lineRule="auto"/>
    </w:pPr>
    <w:rPr>
      <w:rFonts w:ascii="宋体" w:hAnsi="宋体"/>
      <w:sz w:val="22"/>
    </w:rPr>
  </w:style>
  <w:style w:type="paragraph" w:customStyle="1" w:styleId="261">
    <w:name w:val="样式 正文首行缩进 + 小四 首行缩进:  2 字符 段后: 6 磅1"/>
    <w:basedOn w:val="aff7"/>
    <w:pPr>
      <w:spacing w:after="0"/>
      <w:ind w:firstLineChars="0" w:firstLine="200"/>
    </w:pPr>
    <w:rPr>
      <w:rFonts w:hint="eastAsia"/>
      <w:sz w:val="24"/>
      <w:szCs w:val="20"/>
    </w:rPr>
  </w:style>
  <w:style w:type="paragraph" w:customStyle="1" w:styleId="a90">
    <w:name w:val="a9"/>
    <w:basedOn w:val="a0"/>
    <w:pPr>
      <w:widowControl/>
      <w:spacing w:before="100" w:beforeAutospacing="1" w:after="100" w:afterAutospacing="1"/>
      <w:jc w:val="left"/>
    </w:pPr>
    <w:rPr>
      <w:rFonts w:ascii="宋体" w:hAnsi="宋体"/>
      <w:kern w:val="0"/>
      <w:sz w:val="24"/>
    </w:rPr>
  </w:style>
  <w:style w:type="paragraph" w:customStyle="1" w:styleId="xl22">
    <w:name w:val="xl22"/>
    <w:basedOn w:val="a0"/>
    <w:qFormat/>
    <w:pPr>
      <w:widowControl/>
      <w:pBdr>
        <w:bottom w:val="single" w:sz="4" w:space="0" w:color="auto"/>
        <w:right w:val="single" w:sz="4" w:space="0" w:color="auto"/>
      </w:pBdr>
      <w:spacing w:before="100" w:beforeAutospacing="1" w:after="100" w:afterAutospacing="1"/>
      <w:jc w:val="center"/>
    </w:pPr>
    <w:rPr>
      <w:rFonts w:ascii="仿宋_GB2312" w:eastAsia="仿宋_GB2312" w:hAnsi="宋体" w:hint="eastAsia"/>
      <w:kern w:val="0"/>
      <w:szCs w:val="20"/>
    </w:rPr>
  </w:style>
  <w:style w:type="paragraph" w:customStyle="1" w:styleId="CharChar1CharCharCharCharCharChar2">
    <w:name w:val="Char Char1 Char Char Char Char Char Char2"/>
    <w:basedOn w:val="a0"/>
    <w:qFormat/>
    <w:pPr>
      <w:spacing w:line="360" w:lineRule="auto"/>
    </w:pPr>
    <w:rPr>
      <w:rFonts w:ascii="宋体" w:hAnsi="宋体"/>
      <w:sz w:val="22"/>
    </w:rPr>
  </w:style>
  <w:style w:type="paragraph" w:customStyle="1" w:styleId="afffffd">
    <w:name w:val="评价人员表格"/>
    <w:pPr>
      <w:spacing w:line="360" w:lineRule="auto"/>
      <w:jc w:val="center"/>
    </w:pPr>
    <w:rPr>
      <w:rFonts w:cs="宋体"/>
      <w:bCs/>
      <w:color w:val="000000"/>
      <w:kern w:val="2"/>
      <w:sz w:val="24"/>
      <w:szCs w:val="24"/>
    </w:rPr>
  </w:style>
  <w:style w:type="paragraph" w:customStyle="1" w:styleId="afffffe">
    <w:name w:val="表格标题居中"/>
    <w:basedOn w:val="affff3"/>
    <w:pPr>
      <w:ind w:right="0"/>
    </w:pPr>
    <w:rPr>
      <w:rFonts w:eastAsia="黑体"/>
    </w:rPr>
  </w:style>
  <w:style w:type="paragraph" w:customStyle="1" w:styleId="CharChar1CharCharCharChar1CharCharChar">
    <w:name w:val="Char Char1 Char Char Char Char1 Char Char Char"/>
    <w:basedOn w:val="a0"/>
    <w:pPr>
      <w:spacing w:line="360" w:lineRule="auto"/>
    </w:pPr>
    <w:rPr>
      <w:rFonts w:ascii="宋体" w:hAnsi="宋体"/>
      <w:sz w:val="22"/>
    </w:rPr>
  </w:style>
  <w:style w:type="paragraph" w:customStyle="1" w:styleId="xl65">
    <w:name w:val="xl65"/>
    <w:basedOn w:val="a0"/>
    <w:qFormat/>
    <w:pPr>
      <w:widowControl/>
      <w:spacing w:before="100" w:beforeAutospacing="1" w:after="100" w:afterAutospacing="1"/>
      <w:jc w:val="left"/>
      <w:textAlignment w:val="bottom"/>
    </w:pPr>
    <w:rPr>
      <w:rFonts w:ascii="宋体" w:hAnsi="宋体" w:cs="宋体"/>
      <w:color w:val="000000"/>
      <w:kern w:val="0"/>
      <w:sz w:val="24"/>
    </w:rPr>
  </w:style>
  <w:style w:type="paragraph" w:customStyle="1" w:styleId="xl79">
    <w:name w:val="xl79"/>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color w:val="FF0000"/>
      <w:kern w:val="0"/>
      <w:sz w:val="24"/>
    </w:rPr>
  </w:style>
  <w:style w:type="paragraph" w:customStyle="1" w:styleId="xl64">
    <w:name w:val="xl64"/>
    <w:basedOn w:val="a0"/>
    <w:qFormat/>
    <w:pPr>
      <w:widowControl/>
      <w:spacing w:before="100" w:beforeAutospacing="1" w:after="100" w:afterAutospacing="1"/>
      <w:jc w:val="left"/>
    </w:pPr>
    <w:rPr>
      <w:rFonts w:ascii="宋体" w:hAnsi="宋体" w:cs="宋体"/>
      <w:kern w:val="0"/>
      <w:sz w:val="24"/>
    </w:rPr>
  </w:style>
  <w:style w:type="paragraph" w:customStyle="1" w:styleId="affffff">
    <w:name w:val="评价人员表头"/>
    <w:basedOn w:val="a0"/>
    <w:qFormat/>
    <w:pPr>
      <w:spacing w:line="360" w:lineRule="auto"/>
      <w:jc w:val="center"/>
    </w:pPr>
    <w:rPr>
      <w:b/>
      <w:sz w:val="32"/>
      <w:szCs w:val="28"/>
    </w:rPr>
  </w:style>
  <w:style w:type="paragraph" w:customStyle="1" w:styleId="1211">
    <w:name w:val="表12－1"/>
    <w:basedOn w:val="1-1"/>
    <w:qFormat/>
    <w:pPr>
      <w:tabs>
        <w:tab w:val="center" w:pos="992"/>
        <w:tab w:val="left" w:pos="1490"/>
      </w:tabs>
      <w:adjustRightInd/>
      <w:spacing w:beforeLines="50" w:before="120" w:afterLines="50" w:after="120" w:line="360" w:lineRule="auto"/>
      <w:ind w:left="902" w:hanging="132"/>
      <w:jc w:val="center"/>
      <w:textAlignment w:val="auto"/>
      <w:outlineLvl w:val="9"/>
    </w:pPr>
    <w:rPr>
      <w:rFonts w:ascii="Times New Roman" w:hAnsi="Times New Roman" w:cs="Times New Roman"/>
      <w:szCs w:val="24"/>
    </w:rPr>
  </w:style>
  <w:style w:type="paragraph" w:customStyle="1" w:styleId="1-1">
    <w:name w:val="表1-1"/>
    <w:basedOn w:val="a0"/>
    <w:pPr>
      <w:adjustRightInd w:val="0"/>
      <w:spacing w:before="240" w:after="60"/>
      <w:textAlignment w:val="baseline"/>
      <w:outlineLvl w:val="0"/>
    </w:pPr>
    <w:rPr>
      <w:rFonts w:ascii="宋体" w:hAnsi="Arial" w:cs="Arial"/>
      <w:sz w:val="24"/>
      <w:szCs w:val="32"/>
    </w:rPr>
  </w:style>
  <w:style w:type="paragraph" w:customStyle="1" w:styleId="WW-">
    <w:name w:val="WW-正文首行缩进"/>
    <w:basedOn w:val="af2"/>
    <w:qFormat/>
    <w:pPr>
      <w:suppressAutoHyphens/>
      <w:spacing w:line="312" w:lineRule="auto"/>
      <w:ind w:firstLine="567"/>
      <w:jc w:val="both"/>
      <w:textAlignment w:val="baseline"/>
    </w:pPr>
    <w:rPr>
      <w:kern w:val="17153"/>
      <w:sz w:val="28"/>
      <w:szCs w:val="20"/>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b/>
      <w:bCs/>
      <w:kern w:val="0"/>
      <w:sz w:val="20"/>
      <w:szCs w:val="20"/>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5"/>
      <w:szCs w:val="15"/>
    </w:rPr>
  </w:style>
  <w:style w:type="paragraph" w:customStyle="1" w:styleId="CharChar2CharCharCharCharCharCharCharCharCharChar2">
    <w:name w:val="Char Char2 Char Char Char Char Char Char Char Char Char Char2"/>
    <w:basedOn w:val="a0"/>
    <w:pPr>
      <w:spacing w:line="360" w:lineRule="auto"/>
    </w:pPr>
    <w:rPr>
      <w:rFonts w:ascii="宋体" w:hAnsi="宋体"/>
      <w:sz w:val="22"/>
    </w:rPr>
  </w:style>
  <w:style w:type="paragraph" w:customStyle="1" w:styleId="affffff0">
    <w:name w:val="小四表格"/>
    <w:basedOn w:val="a0"/>
    <w:qFormat/>
    <w:pPr>
      <w:snapToGrid w:val="0"/>
      <w:jc w:val="center"/>
    </w:pPr>
    <w:rPr>
      <w:kern w:val="0"/>
      <w:sz w:val="24"/>
      <w:szCs w:val="20"/>
    </w:rPr>
  </w:style>
  <w:style w:type="paragraph" w:customStyle="1" w:styleId="Char22">
    <w:name w:val="Char2"/>
    <w:basedOn w:val="a0"/>
    <w:next w:val="a0"/>
    <w:qFormat/>
    <w:pPr>
      <w:widowControl/>
      <w:spacing w:after="160" w:line="240" w:lineRule="exact"/>
    </w:pPr>
    <w:rPr>
      <w:rFonts w:ascii="宋体" w:hAnsi="宋体"/>
      <w:kern w:val="0"/>
      <w:sz w:val="28"/>
    </w:rPr>
  </w:style>
  <w:style w:type="paragraph" w:customStyle="1" w:styleId="z-1">
    <w:name w:val="z-窗体底端1"/>
    <w:basedOn w:val="a0"/>
    <w:next w:val="a0"/>
    <w:qFormat/>
    <w:pPr>
      <w:pBdr>
        <w:top w:val="single" w:sz="6" w:space="1" w:color="auto"/>
      </w:pBdr>
      <w:jc w:val="center"/>
    </w:pPr>
    <w:rPr>
      <w:rFonts w:ascii="Arial" w:hAnsi="Arial" w:cs="Arial"/>
      <w:vanish/>
      <w:sz w:val="16"/>
      <w:szCs w:val="16"/>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20"/>
    </w:rPr>
  </w:style>
  <w:style w:type="paragraph" w:customStyle="1" w:styleId="Style10">
    <w:name w:val="Style1"/>
    <w:basedOn w:val="4"/>
    <w:link w:val="Style1Char"/>
    <w:qFormat/>
    <w:pPr>
      <w:tabs>
        <w:tab w:val="left" w:pos="1679"/>
      </w:tabs>
      <w:spacing w:before="240" w:after="120" w:line="360" w:lineRule="auto"/>
      <w:ind w:left="1679" w:hanging="851"/>
      <w:jc w:val="center"/>
    </w:pPr>
    <w:rPr>
      <w:rFonts w:ascii="Arial" w:eastAsia="宋体"/>
      <w:kern w:val="0"/>
      <w:lang w:val="x-none" w:eastAsia="x-none"/>
    </w:rPr>
  </w:style>
  <w:style w:type="character" w:customStyle="1" w:styleId="Style1Char">
    <w:name w:val="Style1 Char"/>
    <w:link w:val="Style10"/>
    <w:qFormat/>
    <w:rPr>
      <w:rFonts w:ascii="Arial" w:hAnsi="Arial"/>
      <w:b/>
      <w:bCs/>
      <w:sz w:val="24"/>
      <w:szCs w:val="28"/>
    </w:rPr>
  </w:style>
  <w:style w:type="paragraph" w:customStyle="1" w:styleId="xl297">
    <w:name w:val="xl297"/>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affffff1">
    <w:name w:val="正文表头"/>
    <w:basedOn w:val="a0"/>
    <w:next w:val="affffff2"/>
    <w:pPr>
      <w:keepNext/>
      <w:tabs>
        <w:tab w:val="center" w:pos="4253"/>
        <w:tab w:val="center" w:pos="6804"/>
        <w:tab w:val="right" w:pos="8505"/>
      </w:tabs>
      <w:overflowPunct w:val="0"/>
      <w:adjustRightInd w:val="0"/>
      <w:spacing w:before="120" w:line="360" w:lineRule="auto"/>
      <w:jc w:val="center"/>
      <w:textAlignment w:val="baseline"/>
    </w:pPr>
    <w:rPr>
      <w:rFonts w:eastAsia="黑体"/>
      <w:kern w:val="0"/>
      <w:sz w:val="28"/>
      <w:szCs w:val="20"/>
    </w:rPr>
  </w:style>
  <w:style w:type="paragraph" w:customStyle="1" w:styleId="affffff2">
    <w:name w:val="正文表格"/>
    <w:basedOn w:val="a0"/>
    <w:pPr>
      <w:keepNext/>
      <w:keepLines/>
      <w:tabs>
        <w:tab w:val="center" w:pos="6804"/>
      </w:tabs>
      <w:overflowPunct w:val="0"/>
      <w:adjustRightInd w:val="0"/>
      <w:spacing w:before="80"/>
      <w:jc w:val="center"/>
      <w:textAlignment w:val="bottom"/>
    </w:pPr>
    <w:rPr>
      <w:kern w:val="0"/>
      <w:sz w:val="28"/>
      <w:szCs w:val="20"/>
    </w:rPr>
  </w:style>
  <w:style w:type="paragraph" w:customStyle="1" w:styleId="xl299">
    <w:name w:val="xl29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CharCharCharCharCharCharCharCharCharChar1">
    <w:name w:val="Char Char Char Char Char Char Char Char Char Char Char1"/>
    <w:basedOn w:val="a0"/>
    <w:qFormat/>
    <w:pPr>
      <w:spacing w:line="360" w:lineRule="auto"/>
    </w:pPr>
    <w:rPr>
      <w:rFonts w:ascii="宋体" w:hAnsi="宋体"/>
      <w:sz w:val="22"/>
    </w:rPr>
  </w:style>
  <w:style w:type="paragraph" w:customStyle="1" w:styleId="CharCharCharChar3">
    <w:name w:val="Char Char Char Char3"/>
    <w:basedOn w:val="a0"/>
    <w:qFormat/>
    <w:rPr>
      <w:sz w:val="24"/>
    </w:rPr>
  </w:style>
  <w:style w:type="paragraph" w:customStyle="1" w:styleId="affffff3">
    <w:name w:val="框图"/>
    <w:basedOn w:val="a0"/>
    <w:pPr>
      <w:autoSpaceDE w:val="0"/>
      <w:autoSpaceDN w:val="0"/>
      <w:adjustRightInd w:val="0"/>
      <w:jc w:val="center"/>
    </w:pPr>
    <w:rPr>
      <w:rFonts w:ascii="宋体" w:hAnsi="宋体" w:hint="eastAsia"/>
    </w:rPr>
  </w:style>
  <w:style w:type="paragraph" w:customStyle="1" w:styleId="xl101">
    <w:name w:val="xl10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12">
    <w:name w:val="font12"/>
    <w:basedOn w:val="a0"/>
    <w:qFormat/>
    <w:pPr>
      <w:widowControl/>
      <w:spacing w:before="100" w:beforeAutospacing="1" w:after="100" w:afterAutospacing="1"/>
      <w:jc w:val="left"/>
    </w:pPr>
    <w:rPr>
      <w:rFonts w:ascii="宋体" w:hAnsi="宋体" w:cs="宋体"/>
      <w:color w:val="000000"/>
      <w:kern w:val="0"/>
      <w:sz w:val="16"/>
      <w:szCs w:val="16"/>
    </w:rPr>
  </w:style>
  <w:style w:type="paragraph" w:customStyle="1" w:styleId="1ff0">
    <w:name w:val="文本编号1"/>
    <w:basedOn w:val="a0"/>
    <w:qFormat/>
    <w:pPr>
      <w:spacing w:line="360" w:lineRule="auto"/>
      <w:jc w:val="right"/>
    </w:pPr>
    <w:rPr>
      <w:rFonts w:eastAsia="Times New Roman" w:cs="宋体"/>
      <w:b/>
      <w:sz w:val="30"/>
      <w:szCs w:val="20"/>
    </w:rPr>
  </w:style>
  <w:style w:type="paragraph" w:customStyle="1" w:styleId="xl270">
    <w:name w:val="xl27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50">
    <w:name w:val="样式 正文缩进正文（首行缩进两字） + 宋体 行距: 1.5 倍行距"/>
    <w:basedOn w:val="a9"/>
    <w:qFormat/>
    <w:pPr>
      <w:adjustRightInd w:val="0"/>
      <w:spacing w:line="300" w:lineRule="auto"/>
      <w:ind w:firstLine="482"/>
      <w:jc w:val="left"/>
      <w:textAlignment w:val="baseline"/>
    </w:pPr>
    <w:rPr>
      <w:rFonts w:hAnsi="宋体"/>
      <w:kern w:val="2"/>
    </w:rPr>
  </w:style>
  <w:style w:type="paragraph" w:customStyle="1" w:styleId="xl273">
    <w:name w:val="xl2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4">
    <w:name w:val="表头格式"/>
    <w:basedOn w:val="a0"/>
    <w:qFormat/>
    <w:pPr>
      <w:spacing w:before="100" w:beforeAutospacing="1" w:after="100" w:afterAutospacing="1" w:line="360" w:lineRule="auto"/>
      <w:jc w:val="center"/>
    </w:pPr>
    <w:rPr>
      <w:rFonts w:ascii="黑体" w:eastAsia="黑体"/>
      <w:b/>
      <w:sz w:val="24"/>
    </w:rPr>
  </w:style>
  <w:style w:type="paragraph" w:customStyle="1" w:styleId="2fb">
    <w:name w:val="首行缩进2个字符"/>
    <w:basedOn w:val="a0"/>
    <w:qFormat/>
    <w:pPr>
      <w:spacing w:line="360" w:lineRule="auto"/>
      <w:ind w:firstLineChars="200" w:firstLine="200"/>
    </w:pPr>
    <w:rPr>
      <w:rFonts w:ascii="宋体" w:hAnsi="宋体"/>
      <w:kern w:val="28"/>
      <w:sz w:val="28"/>
      <w:szCs w:val="28"/>
    </w:rPr>
  </w:style>
  <w:style w:type="paragraph" w:customStyle="1" w:styleId="1ff1">
    <w:name w:val="表格内容1"/>
    <w:basedOn w:val="a0"/>
    <w:link w:val="1Char5"/>
    <w:qFormat/>
    <w:pPr>
      <w:adjustRightInd w:val="0"/>
      <w:snapToGrid w:val="0"/>
      <w:spacing w:line="240" w:lineRule="atLeast"/>
      <w:jc w:val="center"/>
    </w:pPr>
    <w:rPr>
      <w:snapToGrid w:val="0"/>
      <w:kern w:val="0"/>
      <w:lang w:val="x-none" w:eastAsia="x-none"/>
    </w:rPr>
  </w:style>
  <w:style w:type="character" w:customStyle="1" w:styleId="1Char5">
    <w:name w:val="表格内容1 Char"/>
    <w:link w:val="1ff1"/>
    <w:rPr>
      <w:snapToGrid w:val="0"/>
      <w:sz w:val="21"/>
      <w:szCs w:val="24"/>
    </w:rPr>
  </w:style>
  <w:style w:type="paragraph" w:customStyle="1" w:styleId="xl128">
    <w:name w:val="xl1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CharChar1CharCharCharCharCharChar">
    <w:name w:val="Char Char1 Char Char Char Char Char Char"/>
    <w:basedOn w:val="a0"/>
    <w:qFormat/>
    <w:pPr>
      <w:spacing w:line="360" w:lineRule="auto"/>
    </w:pPr>
    <w:rPr>
      <w:rFonts w:ascii="宋体" w:hAnsi="宋体"/>
      <w:sz w:val="22"/>
    </w:rPr>
  </w:style>
  <w:style w:type="paragraph" w:customStyle="1" w:styleId="affffff5">
    <w:name w:val="中文报告书样式"/>
    <w:basedOn w:val="a0"/>
    <w:pPr>
      <w:adjustRightInd w:val="0"/>
      <w:snapToGrid w:val="0"/>
      <w:spacing w:line="480" w:lineRule="atLeast"/>
      <w:ind w:firstLineChars="200" w:firstLine="200"/>
      <w:textAlignment w:val="baseline"/>
    </w:pPr>
    <w:rPr>
      <w:snapToGrid w:val="0"/>
      <w:kern w:val="0"/>
      <w:sz w:val="24"/>
      <w:szCs w:val="20"/>
    </w:rPr>
  </w:style>
  <w:style w:type="paragraph" w:customStyle="1" w:styleId="xl256">
    <w:name w:val="xl25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4-1">
    <w:name w:val="表4-1"/>
    <w:basedOn w:val="a0"/>
    <w:qFormat/>
    <w:pPr>
      <w:tabs>
        <w:tab w:val="left" w:pos="900"/>
      </w:tabs>
      <w:adjustRightInd w:val="0"/>
      <w:ind w:left="672" w:hanging="132"/>
      <w:textAlignment w:val="baseline"/>
    </w:pPr>
    <w:rPr>
      <w:sz w:val="24"/>
      <w:szCs w:val="20"/>
    </w:rPr>
  </w:style>
  <w:style w:type="paragraph" w:customStyle="1" w:styleId="Table-I">
    <w:name w:val="Table-I"/>
    <w:basedOn w:val="Main"/>
    <w:pPr>
      <w:tabs>
        <w:tab w:val="left" w:pos="2160"/>
        <w:tab w:val="left" w:pos="3840"/>
        <w:tab w:val="left" w:pos="5280"/>
      </w:tabs>
      <w:spacing w:beforeLines="10" w:afterLines="30" w:line="0" w:lineRule="atLeast"/>
      <w:ind w:leftChars="0" w:left="0" w:right="0" w:firstLine="0"/>
      <w:jc w:val="center"/>
    </w:pPr>
    <w:rPr>
      <w:rFonts w:eastAsia="华文中宋" w:hint="default"/>
      <w:sz w:val="22"/>
    </w:rPr>
  </w:style>
  <w:style w:type="paragraph" w:customStyle="1" w:styleId="CharCharCharChar2">
    <w:name w:val="Char Char Char Char2"/>
    <w:basedOn w:val="a0"/>
    <w:qFormat/>
    <w:pPr>
      <w:spacing w:line="360" w:lineRule="auto"/>
      <w:ind w:firstLineChars="200" w:firstLine="200"/>
    </w:pPr>
    <w:rPr>
      <w:rFonts w:ascii="宋体" w:hAnsi="宋体"/>
      <w:sz w:val="24"/>
      <w:szCs w:val="20"/>
    </w:rPr>
  </w:style>
  <w:style w:type="paragraph" w:customStyle="1" w:styleId="CharCharChar2">
    <w:name w:val="Char Char Char2"/>
    <w:basedOn w:val="a0"/>
    <w:qFormat/>
    <w:rPr>
      <w:sz w:val="24"/>
      <w:szCs w:val="20"/>
    </w:rPr>
  </w:style>
  <w:style w:type="paragraph" w:customStyle="1" w:styleId="affffff6">
    <w:name w:val="三级标题"/>
    <w:basedOn w:val="a0"/>
    <w:qFormat/>
    <w:pPr>
      <w:spacing w:before="300" w:line="460" w:lineRule="exact"/>
      <w:outlineLvl w:val="2"/>
    </w:pPr>
    <w:rPr>
      <w:b/>
      <w:bCs/>
      <w:sz w:val="24"/>
    </w:rPr>
  </w:style>
  <w:style w:type="paragraph" w:customStyle="1" w:styleId="affffff7">
    <w:name w:val="表格下方正文"/>
    <w:basedOn w:val="a0"/>
    <w:qFormat/>
    <w:pPr>
      <w:spacing w:before="300" w:line="460" w:lineRule="exact"/>
      <w:ind w:firstLineChars="200" w:firstLine="200"/>
    </w:pPr>
    <w:rPr>
      <w:sz w:val="24"/>
    </w:rPr>
  </w:style>
  <w:style w:type="paragraph" w:customStyle="1" w:styleId="xl250">
    <w:name w:val="xl25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8">
    <w:name w:val="表格标题"/>
    <w:basedOn w:val="a0"/>
    <w:pPr>
      <w:jc w:val="center"/>
    </w:pPr>
    <w:rPr>
      <w:rFonts w:ascii="Arial" w:hAnsi="Arial"/>
      <w:sz w:val="24"/>
    </w:rPr>
  </w:style>
  <w:style w:type="paragraph" w:customStyle="1" w:styleId="xl261">
    <w:name w:val="xl261"/>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2">
    <w:name w:val="xl42"/>
    <w:basedOn w:val="a0"/>
    <w:qFormat/>
    <w:pPr>
      <w:widowControl/>
      <w:pBdr>
        <w:left w:val="single" w:sz="4" w:space="0" w:color="auto"/>
        <w:right w:val="single" w:sz="4" w:space="0" w:color="auto"/>
      </w:pBdr>
      <w:spacing w:before="100" w:beforeAutospacing="1" w:after="100" w:afterAutospacing="1"/>
      <w:jc w:val="center"/>
      <w:textAlignment w:val="center"/>
    </w:pPr>
    <w:rPr>
      <w:rFonts w:ascii="Arial Unicode MS" w:hAnsi="Arial Unicode MS"/>
      <w:kern w:val="0"/>
      <w:sz w:val="32"/>
      <w:szCs w:val="20"/>
    </w:rPr>
  </w:style>
  <w:style w:type="paragraph" w:customStyle="1" w:styleId="CharChar2CharCharCharChar">
    <w:name w:val="Char Char2 Char Char Char Char"/>
    <w:basedOn w:val="a0"/>
    <w:pPr>
      <w:spacing w:line="360" w:lineRule="auto"/>
    </w:pPr>
    <w:rPr>
      <w:rFonts w:ascii="宋体" w:hAnsi="宋体"/>
      <w:sz w:val="22"/>
    </w:rPr>
  </w:style>
  <w:style w:type="paragraph" w:customStyle="1" w:styleId="CharCharCharCharCharCharCharChar2">
    <w:name w:val="Char Char Char Char Char Char Char Char2"/>
    <w:basedOn w:val="a0"/>
    <w:pPr>
      <w:spacing w:line="360" w:lineRule="auto"/>
    </w:pPr>
    <w:rPr>
      <w:rFonts w:ascii="宋体" w:hAnsi="宋体"/>
      <w:sz w:val="2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9">
    <w:name w:val="xl109"/>
    <w:basedOn w:val="a0"/>
    <w:qFormat/>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pPr>
    <w:rPr>
      <w:rFonts w:ascii="宋体" w:hAnsi="宋体" w:cs="宋体"/>
      <w:color w:val="0000FF"/>
      <w:kern w:val="0"/>
      <w:sz w:val="20"/>
      <w:szCs w:val="20"/>
    </w:rPr>
  </w:style>
  <w:style w:type="paragraph" w:customStyle="1" w:styleId="xl66">
    <w:name w:val="xl66"/>
    <w:basedOn w:val="a0"/>
    <w:qFormat/>
    <w:pPr>
      <w:widowControl/>
      <w:spacing w:before="100" w:beforeAutospacing="1" w:after="100" w:afterAutospacing="1"/>
      <w:jc w:val="center"/>
    </w:pPr>
    <w:rPr>
      <w:rFonts w:ascii="宋体" w:hAnsi="宋体" w:cs="宋体"/>
      <w:color w:val="000000"/>
      <w:kern w:val="0"/>
      <w:sz w:val="24"/>
    </w:rPr>
  </w:style>
  <w:style w:type="paragraph" w:customStyle="1" w:styleId="xl248">
    <w:name w:val="xl2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26">
    <w:name w:val="xl1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9">
    <w:name w:val="封面落款"/>
    <w:basedOn w:val="a0"/>
    <w:pPr>
      <w:tabs>
        <w:tab w:val="center" w:pos="6804"/>
        <w:tab w:val="right" w:pos="7371"/>
      </w:tabs>
      <w:overflowPunct w:val="0"/>
      <w:adjustRightInd w:val="0"/>
      <w:spacing w:line="360" w:lineRule="auto"/>
      <w:jc w:val="center"/>
      <w:textAlignment w:val="baseline"/>
    </w:pPr>
    <w:rPr>
      <w:rFonts w:eastAsia="黑体"/>
      <w:color w:val="0000FF"/>
      <w:spacing w:val="20"/>
      <w:kern w:val="0"/>
      <w:sz w:val="44"/>
      <w:szCs w:val="20"/>
    </w:rPr>
  </w:style>
  <w:style w:type="paragraph" w:customStyle="1" w:styleId="Char110">
    <w:name w:val="Char11"/>
    <w:basedOn w:val="a0"/>
    <w:pPr>
      <w:spacing w:line="360" w:lineRule="auto"/>
      <w:ind w:firstLineChars="200" w:firstLine="200"/>
    </w:pPr>
    <w:rPr>
      <w:rFonts w:ascii="宋体" w:hAnsi="宋体"/>
      <w:sz w:val="24"/>
      <w:szCs w:val="20"/>
    </w:rPr>
  </w:style>
  <w:style w:type="paragraph" w:customStyle="1" w:styleId="xl247">
    <w:name w:val="xl247"/>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411">
    <w:name w:val="目录 41"/>
    <w:basedOn w:val="a0"/>
    <w:next w:val="a0"/>
    <w:uiPriority w:val="1"/>
    <w:qFormat/>
    <w:pPr>
      <w:ind w:left="630"/>
      <w:jc w:val="left"/>
    </w:pPr>
    <w:rPr>
      <w:sz w:val="18"/>
      <w:szCs w:val="18"/>
    </w:rPr>
  </w:style>
  <w:style w:type="paragraph" w:customStyle="1" w:styleId="xl142">
    <w:name w:val="xl142"/>
    <w:basedOn w:val="a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b/>
      <w:bCs/>
      <w:color w:val="000000"/>
      <w:kern w:val="0"/>
      <w:sz w:val="18"/>
      <w:szCs w:val="18"/>
    </w:rPr>
  </w:style>
  <w:style w:type="paragraph" w:customStyle="1" w:styleId="CharChar2CharCharCharChar2">
    <w:name w:val="Char Char2 Char Char Char Char2"/>
    <w:basedOn w:val="a0"/>
    <w:pPr>
      <w:spacing w:line="360" w:lineRule="auto"/>
    </w:pPr>
    <w:rPr>
      <w:rFonts w:ascii="宋体" w:hAnsi="宋体"/>
      <w:sz w:val="22"/>
    </w:rPr>
  </w:style>
  <w:style w:type="paragraph" w:customStyle="1" w:styleId="xl108">
    <w:name w:val="xl108"/>
    <w:basedOn w:val="a0"/>
    <w:qFormat/>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宋体" w:hAnsi="宋体" w:cs="宋体"/>
      <w:color w:val="0000FF"/>
      <w:kern w:val="0"/>
      <w:sz w:val="20"/>
      <w:szCs w:val="20"/>
    </w:rPr>
  </w:style>
  <w:style w:type="paragraph" w:customStyle="1" w:styleId="affffffa">
    <w:name w:val="表格格式"/>
    <w:basedOn w:val="a0"/>
    <w:qFormat/>
    <w:pPr>
      <w:jc w:val="center"/>
    </w:pPr>
    <w:rPr>
      <w:szCs w:val="21"/>
    </w:rPr>
  </w:style>
  <w:style w:type="paragraph" w:customStyle="1" w:styleId="xl73">
    <w:name w:val="xl73"/>
    <w:basedOn w:val="a0"/>
    <w:qFormat/>
    <w:pPr>
      <w:widowControl/>
      <w:pBdr>
        <w:top w:val="single" w:sz="4" w:space="0" w:color="auto"/>
        <w:bottom w:val="single" w:sz="4" w:space="0" w:color="auto"/>
        <w:right w:val="single" w:sz="4" w:space="0" w:color="auto"/>
      </w:pBdr>
      <w:spacing w:before="100" w:beforeAutospacing="1" w:after="100" w:afterAutospacing="1"/>
      <w:jc w:val="center"/>
    </w:pPr>
    <w:rPr>
      <w:kern w:val="0"/>
      <w:sz w:val="15"/>
      <w:szCs w:val="15"/>
    </w:rPr>
  </w:style>
  <w:style w:type="paragraph" w:customStyle="1" w:styleId="xl252">
    <w:name w:val="xl25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FF0000"/>
      <w:kern w:val="0"/>
      <w:sz w:val="24"/>
    </w:rPr>
  </w:style>
  <w:style w:type="paragraph" w:customStyle="1" w:styleId="3205">
    <w:name w:val="样式 标题 3 + 首行缩进:  2.05 字符"/>
    <w:basedOn w:val="3"/>
    <w:pPr>
      <w:widowControl/>
      <w:spacing w:after="60" w:line="460" w:lineRule="exact"/>
      <w:ind w:firstLineChars="200" w:firstLine="200"/>
      <w:jc w:val="both"/>
    </w:pPr>
    <w:rPr>
      <w:rFonts w:ascii="Times New Roman" w:cs="宋体"/>
      <w:b w:val="0"/>
      <w:bCs w:val="0"/>
      <w:spacing w:val="-4"/>
      <w:sz w:val="28"/>
      <w:szCs w:val="28"/>
    </w:rPr>
  </w:style>
  <w:style w:type="paragraph" w:customStyle="1" w:styleId="xl113">
    <w:name w:val="xl11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36">
    <w:name w:val="xl36"/>
    <w:basedOn w:val="a0"/>
    <w:qFormat/>
    <w:pPr>
      <w:widowControl/>
      <w:pBdr>
        <w:top w:val="single" w:sz="4" w:space="0" w:color="auto"/>
        <w:left w:val="single" w:sz="4" w:space="0" w:color="auto"/>
      </w:pBdr>
      <w:spacing w:before="100" w:beforeAutospacing="1" w:after="100" w:afterAutospacing="1"/>
      <w:jc w:val="center"/>
    </w:pPr>
    <w:rPr>
      <w:rFonts w:ascii="Arial Unicode MS" w:hAnsi="Arial Unicode MS"/>
      <w:kern w:val="0"/>
      <w:sz w:val="32"/>
      <w:szCs w:val="20"/>
    </w:rPr>
  </w:style>
  <w:style w:type="paragraph" w:customStyle="1" w:styleId="xl267">
    <w:name w:val="xl26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1">
    <w:name w:val="xl1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z-10">
    <w:name w:val="z-窗体顶端1"/>
    <w:basedOn w:val="a0"/>
    <w:next w:val="a0"/>
    <w:pPr>
      <w:pBdr>
        <w:bottom w:val="single" w:sz="6" w:space="1" w:color="auto"/>
      </w:pBdr>
      <w:jc w:val="center"/>
    </w:pPr>
    <w:rPr>
      <w:rFonts w:ascii="Arial" w:hAnsi="Arial" w:cs="Arial"/>
      <w:vanish/>
      <w:sz w:val="16"/>
      <w:szCs w:val="16"/>
    </w:rPr>
  </w:style>
  <w:style w:type="paragraph" w:customStyle="1" w:styleId="Table-II">
    <w:name w:val="Table-II"/>
    <w:basedOn w:val="Table-I"/>
    <w:pPr>
      <w:ind w:leftChars="20" w:left="48"/>
      <w:jc w:val="left"/>
    </w:pPr>
  </w:style>
  <w:style w:type="paragraph" w:customStyle="1" w:styleId="4c">
    <w:name w:val="样式4"/>
    <w:basedOn w:val="a0"/>
    <w:qFormat/>
    <w:pPr>
      <w:adjustRightInd w:val="0"/>
      <w:snapToGrid w:val="0"/>
      <w:spacing w:line="60" w:lineRule="atLeast"/>
      <w:jc w:val="center"/>
    </w:pPr>
    <w:rPr>
      <w:snapToGrid w:val="0"/>
      <w:spacing w:val="4"/>
      <w:kern w:val="24"/>
      <w:sz w:val="24"/>
    </w:rPr>
  </w:style>
  <w:style w:type="paragraph" w:customStyle="1" w:styleId="CharChar2Char">
    <w:name w:val="Char Char2 Char"/>
    <w:basedOn w:val="a0"/>
    <w:pPr>
      <w:spacing w:line="360" w:lineRule="auto"/>
    </w:pPr>
    <w:rPr>
      <w:rFonts w:ascii="宋体" w:hAnsi="宋体"/>
      <w:sz w:val="22"/>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REP-RepText">
    <w:name w:val="_REP-RepText"/>
    <w:basedOn w:val="a0"/>
    <w:qFormat/>
    <w:pPr>
      <w:tabs>
        <w:tab w:val="left" w:pos="1134"/>
        <w:tab w:val="left" w:pos="1701"/>
        <w:tab w:val="left" w:pos="2268"/>
        <w:tab w:val="right" w:pos="9072"/>
      </w:tabs>
      <w:spacing w:after="40"/>
      <w:ind w:left="1134"/>
    </w:pPr>
    <w:rPr>
      <w:rFonts w:ascii="Frutiger 45 Light" w:hAnsi="Frutiger 45 Light"/>
      <w:kern w:val="0"/>
      <w:sz w:val="22"/>
      <w:szCs w:val="22"/>
      <w:lang w:eastAsia="en-US" w:bidi="he-IL"/>
    </w:rPr>
  </w:style>
  <w:style w:type="paragraph" w:customStyle="1" w:styleId="xl25">
    <w:name w:val="xl25"/>
    <w:basedOn w:val="a0"/>
    <w:qFormat/>
    <w:pPr>
      <w:widowControl/>
      <w:pBdr>
        <w:left w:val="single" w:sz="8" w:space="0" w:color="auto"/>
        <w:right w:val="single" w:sz="8" w:space="0" w:color="auto"/>
      </w:pBdr>
      <w:spacing w:before="100" w:beforeAutospacing="1" w:after="100" w:afterAutospacing="1"/>
      <w:jc w:val="center"/>
    </w:pPr>
    <w:rPr>
      <w:rFonts w:ascii="宋体" w:hAnsi="宋体"/>
      <w:kern w:val="0"/>
      <w:sz w:val="24"/>
    </w:rPr>
  </w:style>
  <w:style w:type="paragraph" w:customStyle="1" w:styleId="xl271">
    <w:name w:val="xl271"/>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szCs w:val="20"/>
    </w:rPr>
  </w:style>
  <w:style w:type="paragraph" w:styleId="affffffb">
    <w:name w:val="No Spacing"/>
    <w:qFormat/>
    <w:pPr>
      <w:widowControl w:val="0"/>
      <w:jc w:val="both"/>
    </w:pPr>
    <w:rPr>
      <w:kern w:val="2"/>
      <w:sz w:val="21"/>
      <w:szCs w:val="24"/>
    </w:rPr>
  </w:style>
  <w:style w:type="paragraph" w:customStyle="1" w:styleId="xl24">
    <w:name w:val="xl24"/>
    <w:basedOn w:val="a0"/>
    <w:qFormat/>
    <w:pPr>
      <w:widowControl/>
      <w:spacing w:before="100" w:beforeAutospacing="1" w:after="100" w:afterAutospacing="1"/>
      <w:jc w:val="center"/>
    </w:pPr>
    <w:rPr>
      <w:rFonts w:ascii="宋体" w:hAnsi="宋体"/>
      <w:kern w:val="0"/>
      <w:sz w:val="24"/>
    </w:rPr>
  </w:style>
  <w:style w:type="paragraph" w:customStyle="1" w:styleId="141">
    <w:name w:val="表14－1"/>
    <w:basedOn w:val="a0"/>
    <w:pPr>
      <w:tabs>
        <w:tab w:val="left" w:pos="1490"/>
      </w:tabs>
      <w:adjustRightInd w:val="0"/>
      <w:spacing w:beforeLines="50" w:before="120" w:line="360" w:lineRule="auto"/>
      <w:ind w:left="902" w:hanging="132"/>
      <w:jc w:val="center"/>
      <w:textAlignment w:val="baseline"/>
    </w:pPr>
    <w:rPr>
      <w:sz w:val="24"/>
      <w:szCs w:val="20"/>
    </w:rPr>
  </w:style>
  <w:style w:type="paragraph" w:customStyle="1" w:styleId="cd5">
    <w:name w:val="cd5"/>
    <w:basedOn w:val="a0"/>
    <w:pPr>
      <w:spacing w:before="120"/>
    </w:pPr>
    <w:rPr>
      <w:sz w:val="24"/>
      <w:szCs w:val="20"/>
    </w:rPr>
  </w:style>
  <w:style w:type="paragraph" w:customStyle="1" w:styleId="xl269">
    <w:name w:val="xl26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2CharCharCharCharChar1Char1">
    <w:name w:val="Char2 Char Char Char Char Char1 Char1"/>
    <w:basedOn w:val="a0"/>
    <w:pPr>
      <w:widowControl/>
      <w:spacing w:after="160" w:line="240" w:lineRule="exact"/>
      <w:jc w:val="left"/>
    </w:pPr>
    <w:rPr>
      <w:rFonts w:ascii="Verdana" w:hAnsi="Verdana" w:cs="Verdana"/>
      <w:kern w:val="0"/>
      <w:sz w:val="20"/>
      <w:szCs w:val="20"/>
      <w:lang w:eastAsia="en-US"/>
    </w:rPr>
  </w:style>
  <w:style w:type="paragraph" w:customStyle="1" w:styleId="c">
    <w:name w:val="c"/>
    <w:qFormat/>
    <w:pPr>
      <w:widowControl w:val="0"/>
      <w:autoSpaceDE w:val="0"/>
      <w:autoSpaceDN w:val="0"/>
      <w:adjustRightInd w:val="0"/>
      <w:jc w:val="both"/>
    </w:pPr>
    <w:rPr>
      <w:rFonts w:ascii="Arial" w:hAnsi="Arial"/>
      <w:sz w:val="24"/>
    </w:rPr>
  </w:style>
  <w:style w:type="paragraph" w:customStyle="1" w:styleId="4d">
    <w:name w:val="样式 标题 4 + 宋体"/>
    <w:basedOn w:val="4"/>
    <w:pPr>
      <w:spacing w:line="360" w:lineRule="auto"/>
      <w:jc w:val="both"/>
    </w:pPr>
    <w:rPr>
      <w:rFonts w:ascii="宋体" w:eastAsia="宋体" w:hAnsi="宋体"/>
      <w:sz w:val="28"/>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2"/>
      <w:szCs w:val="22"/>
    </w:rPr>
  </w:style>
  <w:style w:type="paragraph" w:customStyle="1" w:styleId="xl116">
    <w:name w:val="xl11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fffffc">
    <w:name w:val="新正文"/>
    <w:basedOn w:val="a0"/>
    <w:pPr>
      <w:spacing w:before="60" w:line="460" w:lineRule="exact"/>
      <w:ind w:firstLineChars="200" w:firstLine="200"/>
    </w:pPr>
    <w:rPr>
      <w:sz w:val="24"/>
    </w:rPr>
  </w:style>
  <w:style w:type="paragraph" w:customStyle="1" w:styleId="rev">
    <w:name w:val="#rev#"/>
    <w:basedOn w:val="a0"/>
    <w:qFormat/>
    <w:pPr>
      <w:widowControl/>
      <w:tabs>
        <w:tab w:val="center" w:pos="2880"/>
        <w:tab w:val="right" w:pos="9630"/>
        <w:tab w:val="right" w:pos="9810"/>
      </w:tabs>
      <w:overflowPunct w:val="0"/>
      <w:autoSpaceDE w:val="0"/>
      <w:autoSpaceDN w:val="0"/>
      <w:adjustRightInd w:val="0"/>
      <w:ind w:left="720" w:hanging="720"/>
      <w:jc w:val="left"/>
      <w:textAlignment w:val="baseline"/>
    </w:pPr>
    <w:rPr>
      <w:rFonts w:ascii="Arial" w:hAnsi="Arial"/>
      <w:kern w:val="0"/>
      <w:sz w:val="20"/>
      <w:szCs w:val="20"/>
      <w:lang w:eastAsia="en-US"/>
    </w:rPr>
  </w:style>
  <w:style w:type="paragraph" w:customStyle="1" w:styleId="5a">
    <w:name w:val="危化5"/>
    <w:basedOn w:val="5"/>
    <w:next w:val="affffffd"/>
    <w:qFormat/>
    <w:pPr>
      <w:keepNext w:val="0"/>
      <w:keepLines w:val="0"/>
      <w:spacing w:line="360" w:lineRule="auto"/>
      <w:ind w:firstLineChars="200" w:firstLine="200"/>
      <w:jc w:val="both"/>
    </w:pPr>
    <w:rPr>
      <w:b w:val="0"/>
      <w:lang w:val="zh-CN"/>
    </w:rPr>
  </w:style>
  <w:style w:type="paragraph" w:customStyle="1" w:styleId="affffffd">
    <w:name w:val="危化正文"/>
    <w:basedOn w:val="a0"/>
    <w:link w:val="Charfff2"/>
    <w:qFormat/>
    <w:pPr>
      <w:spacing w:line="360" w:lineRule="auto"/>
      <w:ind w:firstLineChars="200" w:firstLine="200"/>
    </w:pPr>
    <w:rPr>
      <w:sz w:val="28"/>
      <w:lang w:val="x-none" w:eastAsia="x-none"/>
    </w:rPr>
  </w:style>
  <w:style w:type="character" w:customStyle="1" w:styleId="Charfff2">
    <w:name w:val="危化正文 Char"/>
    <w:link w:val="affffffd"/>
    <w:rPr>
      <w:kern w:val="2"/>
      <w:sz w:val="28"/>
      <w:szCs w:val="24"/>
    </w:rPr>
  </w:style>
  <w:style w:type="paragraph" w:customStyle="1" w:styleId="222">
    <w:name w:val="样式 样式 正文缩进 + 小四 首行缩进:  2 字符 + 首行缩进:  2 字符 + 首行缩进:  2 字符"/>
    <w:basedOn w:val="a0"/>
    <w:pPr>
      <w:spacing w:line="324" w:lineRule="auto"/>
      <w:ind w:firstLineChars="200" w:firstLine="200"/>
    </w:pPr>
    <w:rPr>
      <w:sz w:val="24"/>
      <w:szCs w:val="20"/>
    </w:rPr>
  </w:style>
  <w:style w:type="paragraph" w:customStyle="1" w:styleId="xl280">
    <w:name w:val="xl280"/>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45">
    <w:name w:val="xl145"/>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260">
    <w:name w:val="xl26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f2">
    <w:name w:val="节标题1"/>
    <w:basedOn w:val="a0"/>
    <w:pPr>
      <w:spacing w:line="700" w:lineRule="exact"/>
      <w:outlineLvl w:val="2"/>
    </w:pPr>
    <w:rPr>
      <w:rFonts w:ascii="Arial" w:eastAsia="仿宋_GB2312" w:hAnsi="Arial"/>
      <w:b/>
      <w:sz w:val="28"/>
      <w:szCs w:val="20"/>
    </w:rPr>
  </w:style>
  <w:style w:type="paragraph" w:customStyle="1" w:styleId="1ff3">
    <w:name w:val="安全现状评价1"/>
    <w:basedOn w:val="a0"/>
    <w:qFormat/>
    <w:pPr>
      <w:spacing w:beforeLines="100" w:afterLines="100" w:line="360" w:lineRule="auto"/>
      <w:jc w:val="center"/>
    </w:pPr>
    <w:rPr>
      <w:rFonts w:eastAsia="黑体"/>
      <w:b/>
      <w:sz w:val="52"/>
      <w:szCs w:val="28"/>
    </w:rPr>
  </w:style>
  <w:style w:type="paragraph" w:customStyle="1" w:styleId="xl124">
    <w:name w:val="xl124"/>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11">
    <w:name w:val="目录 91"/>
    <w:basedOn w:val="a0"/>
    <w:next w:val="a0"/>
    <w:uiPriority w:val="39"/>
    <w:pPr>
      <w:ind w:left="1680"/>
      <w:jc w:val="left"/>
    </w:pPr>
    <w:rPr>
      <w:sz w:val="18"/>
      <w:szCs w:val="18"/>
    </w:rPr>
  </w:style>
  <w:style w:type="paragraph" w:customStyle="1" w:styleId="-20">
    <w:name w:val="表格正文-2"/>
    <w:basedOn w:val="a0"/>
    <w:qFormat/>
    <w:pPr>
      <w:spacing w:line="360" w:lineRule="exact"/>
      <w:jc w:val="center"/>
    </w:pPr>
    <w:rPr>
      <w:snapToGrid w:val="0"/>
      <w:kern w:val="0"/>
      <w:szCs w:val="21"/>
    </w:rPr>
  </w:style>
  <w:style w:type="paragraph" w:customStyle="1" w:styleId="edri-titlefirst">
    <w:name w:val="edri-title first"/>
    <w:basedOn w:val="a0"/>
    <w:qFormat/>
    <w:pPr>
      <w:tabs>
        <w:tab w:val="left" w:pos="945"/>
      </w:tabs>
      <w:spacing w:beforeLines="400" w:before="960" w:afterLines="200" w:after="480" w:line="360" w:lineRule="auto"/>
      <w:jc w:val="center"/>
      <w:outlineLvl w:val="0"/>
    </w:pPr>
    <w:rPr>
      <w:rFonts w:ascii="Arial" w:hAnsi="Arial" w:cs="Arial"/>
      <w:b/>
      <w:bCs/>
      <w:kern w:val="0"/>
      <w:sz w:val="28"/>
      <w:szCs w:val="28"/>
    </w:rPr>
  </w:style>
  <w:style w:type="paragraph" w:customStyle="1" w:styleId="xl290">
    <w:name w:val="xl290"/>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affffffe">
    <w:name w:val="领结"/>
    <w:basedOn w:val="a0"/>
    <w:pPr>
      <w:adjustRightInd w:val="0"/>
      <w:snapToGrid w:val="0"/>
      <w:jc w:val="center"/>
    </w:pPr>
    <w:rPr>
      <w:rFonts w:ascii="宋体" w:hAnsi="宋体"/>
      <w:szCs w:val="20"/>
    </w:rPr>
  </w:style>
  <w:style w:type="paragraph" w:customStyle="1" w:styleId="1ff4">
    <w:name w:val="正文文字缩进1"/>
    <w:basedOn w:val="a0"/>
    <w:qFormat/>
    <w:pPr>
      <w:autoSpaceDE w:val="0"/>
      <w:autoSpaceDN w:val="0"/>
      <w:adjustRightInd w:val="0"/>
      <w:textAlignment w:val="baseline"/>
    </w:pPr>
    <w:rPr>
      <w:spacing w:val="-20"/>
      <w:sz w:val="24"/>
      <w:szCs w:val="20"/>
    </w:rPr>
  </w:style>
  <w:style w:type="paragraph" w:customStyle="1" w:styleId="afffffff">
    <w:name w:val="标题符"/>
    <w:basedOn w:val="a0"/>
    <w:pPr>
      <w:tabs>
        <w:tab w:val="left" w:pos="360"/>
      </w:tabs>
      <w:overflowPunct w:val="0"/>
      <w:snapToGrid w:val="0"/>
      <w:spacing w:line="480" w:lineRule="exact"/>
      <w:ind w:firstLineChars="200" w:firstLine="560"/>
    </w:pPr>
    <w:rPr>
      <w:rFonts w:ascii="Arial" w:eastAsia="仿宋_GB2312" w:hAnsi="Arial"/>
      <w:sz w:val="28"/>
      <w:szCs w:val="20"/>
    </w:rPr>
  </w:style>
  <w:style w:type="paragraph" w:customStyle="1" w:styleId="216">
    <w:name w:val="表格21"/>
    <w:basedOn w:val="a0"/>
    <w:qFormat/>
    <w:pPr>
      <w:adjustRightInd w:val="0"/>
      <w:snapToGrid w:val="0"/>
      <w:spacing w:line="480" w:lineRule="exact"/>
      <w:jc w:val="center"/>
    </w:pPr>
    <w:rPr>
      <w:rFonts w:eastAsia="仿宋" w:hAnsi="宋体"/>
      <w:szCs w:val="21"/>
    </w:rPr>
  </w:style>
  <w:style w:type="paragraph" w:customStyle="1" w:styleId="CharCharChar1CharCharCharCharCharCharCharCharCharCharCharCharCharCharCharChar">
    <w:name w:val="Char Char Char1 Char Char Char Char Char Char Char Char Char Char Char Char Char Char Char Char"/>
    <w:basedOn w:val="a0"/>
  </w:style>
  <w:style w:type="paragraph" w:customStyle="1" w:styleId="2150">
    <w:name w:val="样式 正文缩进 + 首行缩进:  2 字符 行距: 1.5 倍行距"/>
    <w:basedOn w:val="a9"/>
    <w:pPr>
      <w:adjustRightInd w:val="0"/>
      <w:spacing w:line="300" w:lineRule="auto"/>
      <w:ind w:firstLineChars="200" w:firstLine="200"/>
      <w:textAlignment w:val="baseline"/>
    </w:pPr>
    <w:rPr>
      <w:rFonts w:ascii="Times New Roman"/>
      <w:kern w:val="2"/>
    </w:rPr>
  </w:style>
  <w:style w:type="paragraph" w:customStyle="1" w:styleId="4e">
    <w:name w:val="4级标题"/>
    <w:basedOn w:val="01"/>
    <w:qFormat/>
    <w:pPr>
      <w:snapToGrid w:val="0"/>
    </w:pPr>
    <w:rPr>
      <w:bCs/>
      <w:snapToGrid w:val="0"/>
      <w:color w:val="000000"/>
      <w:kern w:val="0"/>
    </w:rPr>
  </w:style>
  <w:style w:type="paragraph" w:customStyle="1" w:styleId="afffffff0">
    <w:name w:val="表格式"/>
    <w:basedOn w:val="aff0"/>
    <w:pPr>
      <w:spacing w:before="60" w:after="100" w:line="320" w:lineRule="exact"/>
      <w:ind w:left="0" w:firstLineChars="0" w:firstLine="0"/>
      <w:jc w:val="center"/>
    </w:pPr>
    <w:rPr>
      <w:rFonts w:ascii="宋体" w:hAnsi="Brush Script MT"/>
    </w:rPr>
  </w:style>
  <w:style w:type="paragraph" w:customStyle="1" w:styleId="xl272">
    <w:name w:val="xl272"/>
    <w:basedOn w:val="a0"/>
    <w:pPr>
      <w:widowControl/>
      <w:spacing w:before="100" w:beforeAutospacing="1" w:after="100" w:afterAutospacing="1"/>
      <w:jc w:val="center"/>
    </w:pPr>
    <w:rPr>
      <w:rFonts w:ascii="宋体" w:hAnsi="宋体" w:cs="宋体"/>
      <w:kern w:val="0"/>
      <w:sz w:val="24"/>
    </w:rPr>
  </w:style>
  <w:style w:type="paragraph" w:customStyle="1" w:styleId="afffffff1">
    <w:name w:val="表内字"/>
    <w:basedOn w:val="af6"/>
    <w:link w:val="Char1d"/>
    <w:qFormat/>
    <w:pPr>
      <w:widowControl w:val="0"/>
      <w:snapToGrid w:val="0"/>
      <w:spacing w:before="0" w:beforeAutospacing="0" w:after="0" w:afterAutospacing="0" w:line="300" w:lineRule="auto"/>
      <w:jc w:val="center"/>
    </w:pPr>
    <w:rPr>
      <w:rFonts w:ascii="Arial" w:hAnsi="Arial"/>
      <w:sz w:val="21"/>
      <w:lang w:val="x-none" w:eastAsia="x-none"/>
    </w:rPr>
  </w:style>
  <w:style w:type="character" w:customStyle="1" w:styleId="Char1d">
    <w:name w:val="表内字 Char1"/>
    <w:link w:val="afffffff1"/>
    <w:rPr>
      <w:rFonts w:ascii="Arial" w:hAnsi="Arial"/>
      <w:sz w:val="21"/>
      <w:szCs w:val="24"/>
    </w:rPr>
  </w:style>
  <w:style w:type="paragraph" w:customStyle="1" w:styleId="220">
    <w:name w:val="样式 样式 首行缩进:  2 字符 + 首行缩进:  2 字符"/>
    <w:basedOn w:val="2"/>
    <w:pPr>
      <w:keepNext w:val="0"/>
      <w:keepLines/>
      <w:widowControl/>
      <w:spacing w:before="120" w:after="120" w:line="460" w:lineRule="exact"/>
      <w:ind w:firstLineChars="200" w:firstLine="544"/>
      <w:jc w:val="both"/>
    </w:pPr>
    <w:rPr>
      <w:rFonts w:ascii="Times New Roman" w:eastAsia="汉鼎简特宋" w:hAnsi="Times New Roman" w:cs="Arial"/>
      <w:b w:val="0"/>
      <w:spacing w:val="-4"/>
      <w:sz w:val="28"/>
    </w:rPr>
  </w:style>
  <w:style w:type="paragraph" w:customStyle="1" w:styleId="2fc">
    <w:name w:val="安全设施竣工验收评价报告2"/>
    <w:basedOn w:val="a0"/>
    <w:pPr>
      <w:spacing w:beforeLines="100" w:before="100" w:afterLines="300" w:after="300" w:line="360" w:lineRule="auto"/>
      <w:jc w:val="center"/>
    </w:pPr>
    <w:rPr>
      <w:b/>
      <w:sz w:val="44"/>
      <w:szCs w:val="28"/>
    </w:rPr>
  </w:style>
  <w:style w:type="paragraph" w:customStyle="1" w:styleId="afffffff2">
    <w:name w:val="说明书标题"/>
    <w:basedOn w:val="afffffff3"/>
    <w:next w:val="afffffff3"/>
  </w:style>
  <w:style w:type="paragraph" w:customStyle="1" w:styleId="afffffff3">
    <w:name w:val="说明书正文"/>
    <w:basedOn w:val="a0"/>
    <w:pPr>
      <w:spacing w:line="520" w:lineRule="exact"/>
      <w:ind w:firstLineChars="200" w:firstLine="200"/>
    </w:pPr>
    <w:rPr>
      <w:rFonts w:ascii="Trebuchet MS" w:hAnsi="Trebuchet MS"/>
      <w:sz w:val="28"/>
    </w:rPr>
  </w:style>
  <w:style w:type="paragraph" w:customStyle="1" w:styleId="5b">
    <w:name w:val="5"/>
    <w:basedOn w:val="a0"/>
    <w:pPr>
      <w:spacing w:line="360" w:lineRule="auto"/>
    </w:pPr>
    <w:rPr>
      <w:rFonts w:ascii="宋体" w:hAnsi="宋体"/>
      <w:sz w:val="22"/>
    </w:rPr>
  </w:style>
  <w:style w:type="paragraph" w:customStyle="1" w:styleId="Char30">
    <w:name w:val="Char3"/>
    <w:basedOn w:val="a0"/>
    <w:next w:val="a0"/>
    <w:qFormat/>
    <w:pPr>
      <w:widowControl/>
      <w:spacing w:after="160" w:line="240" w:lineRule="exact"/>
    </w:pPr>
    <w:rPr>
      <w:rFonts w:ascii="宋体" w:hAnsi="宋体"/>
      <w:kern w:val="0"/>
      <w:sz w:val="28"/>
    </w:rPr>
  </w:style>
  <w:style w:type="paragraph" w:customStyle="1" w:styleId="xl132">
    <w:name w:val="xl132"/>
    <w:basedOn w:val="a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b/>
      <w:bCs/>
      <w:color w:val="000000"/>
      <w:kern w:val="0"/>
      <w:sz w:val="20"/>
      <w:szCs w:val="20"/>
    </w:rPr>
  </w:style>
  <w:style w:type="paragraph" w:customStyle="1" w:styleId="ParaCharCharCharChar">
    <w:name w:val="默认段落字体 Para Char Char Char Char"/>
    <w:basedOn w:val="a0"/>
    <w:qFormat/>
    <w:pPr>
      <w:spacing w:line="360" w:lineRule="auto"/>
      <w:ind w:firstLineChars="200" w:firstLine="200"/>
    </w:pPr>
    <w:rPr>
      <w:rFonts w:ascii="宋体" w:hAnsi="宋体" w:cs="宋体"/>
      <w:sz w:val="24"/>
    </w:rPr>
  </w:style>
  <w:style w:type="paragraph" w:customStyle="1" w:styleId="InTableII">
    <w:name w:val="In Table (II)"/>
    <w:basedOn w:val="InTable"/>
    <w:qFormat/>
    <w:pPr>
      <w:spacing w:before="60" w:after="60"/>
      <w:ind w:leftChars="20" w:left="52" w:right="-588"/>
      <w:jc w:val="both"/>
    </w:pPr>
    <w:rPr>
      <w:sz w:val="18"/>
    </w:rPr>
  </w:style>
  <w:style w:type="paragraph" w:customStyle="1" w:styleId="InTable">
    <w:name w:val="In Table"/>
    <w:basedOn w:val="a0"/>
    <w:qFormat/>
    <w:pPr>
      <w:tabs>
        <w:tab w:val="left" w:pos="2200"/>
        <w:tab w:val="left" w:pos="3960"/>
        <w:tab w:val="left" w:pos="5280"/>
      </w:tabs>
      <w:spacing w:before="96" w:after="96" w:line="0" w:lineRule="atLeast"/>
      <w:jc w:val="center"/>
    </w:pPr>
    <w:rPr>
      <w:rFonts w:ascii="Tahoma" w:eastAsia="华文中宋" w:hAnsi="Tahoma" w:hint="eastAsia"/>
      <w:szCs w:val="20"/>
    </w:rPr>
  </w:style>
  <w:style w:type="paragraph" w:customStyle="1" w:styleId="1ff5">
    <w:name w:val="中文表内容1"/>
    <w:basedOn w:val="a0"/>
    <w:next w:val="a0"/>
    <w:pPr>
      <w:tabs>
        <w:tab w:val="left" w:pos="5775"/>
      </w:tabs>
      <w:spacing w:after="120" w:line="500" w:lineRule="exact"/>
      <w:jc w:val="center"/>
      <w:outlineLvl w:val="0"/>
    </w:pPr>
    <w:rPr>
      <w:rFonts w:ascii="宋体" w:eastAsia="仿宋_GB2312" w:hAnsi="宋体"/>
      <w:sz w:val="24"/>
      <w:szCs w:val="20"/>
    </w:rPr>
  </w:style>
  <w:style w:type="paragraph" w:customStyle="1" w:styleId="CharCharCharCharCharCharCharCharCharCharChar">
    <w:name w:val="Char Char Char Char Char Char Char Char Char Char Char"/>
    <w:basedOn w:val="a0"/>
    <w:pPr>
      <w:spacing w:line="360" w:lineRule="auto"/>
    </w:pPr>
    <w:rPr>
      <w:rFonts w:ascii="宋体" w:hAnsi="宋体"/>
      <w:sz w:val="22"/>
    </w:rPr>
  </w:style>
  <w:style w:type="paragraph" w:customStyle="1" w:styleId="afffffff4">
    <w:name w:val="楷体"/>
    <w:qFormat/>
    <w:pPr>
      <w:widowControl w:val="0"/>
      <w:adjustRightInd w:val="0"/>
      <w:snapToGrid w:val="0"/>
      <w:spacing w:line="360" w:lineRule="auto"/>
      <w:ind w:firstLineChars="200" w:firstLine="200"/>
      <w:jc w:val="both"/>
    </w:pPr>
    <w:rPr>
      <w:rFonts w:eastAsia="楷体_GB2312"/>
      <w:sz w:val="32"/>
    </w:rPr>
  </w:style>
  <w:style w:type="paragraph" w:customStyle="1" w:styleId="afffffff5">
    <w:name w:val="目次、标准名称标题"/>
    <w:basedOn w:val="a0"/>
    <w:next w:val="3"/>
    <w:qFormat/>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IDCA-Head2ndLine">
    <w:name w:val="IDC A-Head (2nd Line)"/>
    <w:basedOn w:val="a0"/>
    <w:next w:val="a0"/>
    <w:pPr>
      <w:widowControl/>
      <w:jc w:val="center"/>
    </w:pPr>
    <w:rPr>
      <w:rFonts w:ascii="宋体" w:hAnsi="宋体"/>
      <w:caps/>
      <w:kern w:val="0"/>
      <w:sz w:val="24"/>
      <w:szCs w:val="20"/>
    </w:rPr>
  </w:style>
  <w:style w:type="paragraph" w:customStyle="1" w:styleId="0">
    <w:name w:val="样式 首行缩进:  0 字符"/>
    <w:basedOn w:val="a0"/>
    <w:pPr>
      <w:spacing w:line="360" w:lineRule="auto"/>
      <w:ind w:firstLineChars="200" w:firstLine="200"/>
    </w:pPr>
    <w:rPr>
      <w:sz w:val="24"/>
      <w:szCs w:val="20"/>
    </w:rPr>
  </w:style>
  <w:style w:type="paragraph" w:customStyle="1" w:styleId="afffffff6">
    <w:name w:val="实施日期"/>
    <w:basedOn w:val="a0"/>
    <w:pPr>
      <w:framePr w:w="4000" w:h="473" w:hRule="exact" w:vSpace="180" w:wrap="around" w:hAnchor="margin" w:xAlign="right" w:y="13511" w:anchorLock="1"/>
      <w:widowControl/>
      <w:jc w:val="right"/>
    </w:pPr>
    <w:rPr>
      <w:rFonts w:eastAsia="黑体"/>
      <w:kern w:val="0"/>
      <w:sz w:val="28"/>
      <w:szCs w:val="20"/>
    </w:rPr>
  </w:style>
  <w:style w:type="paragraph" w:customStyle="1" w:styleId="PlainText1">
    <w:name w:val="Plain Text1"/>
    <w:basedOn w:val="a0"/>
    <w:qFormat/>
    <w:pPr>
      <w:adjustRightInd w:val="0"/>
      <w:jc w:val="left"/>
      <w:textAlignment w:val="baseline"/>
    </w:pPr>
    <w:rPr>
      <w:rFonts w:ascii="宋体" w:hAnsi="Courier New"/>
      <w:sz w:val="24"/>
    </w:rPr>
  </w:style>
  <w:style w:type="paragraph" w:customStyle="1" w:styleId="BodyText22">
    <w:name w:val="Body Text 22"/>
    <w:basedOn w:val="a0"/>
    <w:pPr>
      <w:wordWrap w:val="0"/>
      <w:overflowPunct w:val="0"/>
      <w:autoSpaceDE w:val="0"/>
      <w:autoSpaceDN w:val="0"/>
      <w:adjustRightInd w:val="0"/>
      <w:spacing w:line="480" w:lineRule="exact"/>
      <w:ind w:firstLine="600"/>
      <w:jc w:val="left"/>
      <w:textAlignment w:val="baseline"/>
    </w:pPr>
    <w:rPr>
      <w:rFonts w:ascii="宋体"/>
      <w:color w:val="000000"/>
      <w:kern w:val="0"/>
      <w:sz w:val="28"/>
      <w:szCs w:val="28"/>
    </w:rPr>
  </w:style>
  <w:style w:type="paragraph" w:customStyle="1" w:styleId="6-1">
    <w:name w:val="表6-1"/>
    <w:basedOn w:val="aff2"/>
    <w:pPr>
      <w:tabs>
        <w:tab w:val="center" w:pos="992"/>
        <w:tab w:val="left" w:pos="1620"/>
      </w:tabs>
      <w:spacing w:beforeLines="50" w:before="120" w:afterLines="50" w:after="120"/>
      <w:ind w:leftChars="0" w:left="960" w:firstLineChars="0" w:firstLine="0"/>
      <w:jc w:val="center"/>
    </w:pPr>
  </w:style>
  <w:style w:type="paragraph" w:customStyle="1" w:styleId="afffffff7">
    <w:name w:val="表格编号"/>
    <w:basedOn w:val="a0"/>
    <w:next w:val="a0"/>
    <w:pPr>
      <w:tabs>
        <w:tab w:val="left" w:pos="360"/>
      </w:tabs>
      <w:spacing w:before="300" w:after="200"/>
      <w:ind w:left="360" w:hanging="360"/>
      <w:jc w:val="center"/>
    </w:pPr>
    <w:rPr>
      <w:sz w:val="24"/>
      <w:szCs w:val="20"/>
    </w:rPr>
  </w:style>
  <w:style w:type="paragraph" w:customStyle="1" w:styleId="xl266">
    <w:name w:val="xl26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4">
    <w:name w:val="xl144"/>
    <w:basedOn w:val="a0"/>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611">
    <w:name w:val="目录 61"/>
    <w:basedOn w:val="a0"/>
    <w:next w:val="a0"/>
    <w:uiPriority w:val="39"/>
    <w:pPr>
      <w:ind w:left="1050"/>
      <w:jc w:val="left"/>
    </w:pPr>
    <w:rPr>
      <w:sz w:val="18"/>
      <w:szCs w:val="18"/>
    </w:rPr>
  </w:style>
  <w:style w:type="paragraph" w:customStyle="1" w:styleId="2fd">
    <w:name w:val="2缩进正文"/>
    <w:basedOn w:val="a0"/>
    <w:qFormat/>
    <w:pPr>
      <w:spacing w:line="360" w:lineRule="auto"/>
      <w:ind w:firstLineChars="200" w:firstLine="200"/>
    </w:pPr>
    <w:rPr>
      <w:sz w:val="24"/>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CharCharChar1Char">
    <w:name w:val="正文1 Char Char Char1 Char"/>
    <w:basedOn w:val="a0"/>
    <w:pPr>
      <w:jc w:val="center"/>
    </w:pPr>
    <w:rPr>
      <w:rFonts w:ascii="宋体" w:hAnsi="宋体"/>
      <w:szCs w:val="20"/>
    </w:rPr>
  </w:style>
  <w:style w:type="paragraph" w:customStyle="1" w:styleId="3f5">
    <w:name w:val="样式3"/>
    <w:basedOn w:val="a0"/>
    <w:link w:val="3Char3"/>
    <w:qFormat/>
    <w:pPr>
      <w:ind w:leftChars="200" w:left="200"/>
      <w:jc w:val="left"/>
    </w:pPr>
    <w:rPr>
      <w:rFonts w:ascii="宋体" w:eastAsia="黑体"/>
      <w:sz w:val="28"/>
      <w:szCs w:val="21"/>
      <w:lang w:val="x-none" w:eastAsia="x-none"/>
    </w:rPr>
  </w:style>
  <w:style w:type="character" w:customStyle="1" w:styleId="3Char3">
    <w:name w:val="样式3 Char"/>
    <w:link w:val="3f5"/>
    <w:qFormat/>
    <w:rPr>
      <w:rFonts w:ascii="宋体" w:eastAsia="黑体"/>
      <w:kern w:val="2"/>
      <w:sz w:val="28"/>
      <w:szCs w:val="21"/>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3">
    <w:name w:val="xl43"/>
    <w:basedOn w:val="a0"/>
    <w:qFormat/>
    <w:pPr>
      <w:widowControl/>
      <w:spacing w:before="100" w:beforeAutospacing="1" w:after="100" w:afterAutospacing="1"/>
      <w:jc w:val="left"/>
    </w:pPr>
    <w:rPr>
      <w:rFonts w:ascii="宋体" w:hAnsi="宋体"/>
      <w:kern w:val="0"/>
      <w:sz w:val="32"/>
      <w:szCs w:val="20"/>
    </w:rPr>
  </w:style>
  <w:style w:type="paragraph" w:customStyle="1" w:styleId="PlainText2">
    <w:name w:val="Plain Text2"/>
    <w:basedOn w:val="a0"/>
    <w:pPr>
      <w:adjustRightInd w:val="0"/>
      <w:textAlignment w:val="baseline"/>
    </w:pPr>
    <w:rPr>
      <w:rFonts w:ascii="宋体" w:hAnsi="Courier New"/>
      <w:szCs w:val="20"/>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74">
    <w:name w:val="xl74"/>
    <w:basedOn w:val="a0"/>
    <w:qFormat/>
    <w:pPr>
      <w:widowControl/>
      <w:pBdr>
        <w:top w:val="single" w:sz="4" w:space="0" w:color="auto"/>
        <w:left w:val="single" w:sz="4" w:space="0" w:color="auto"/>
        <w:bottom w:val="single" w:sz="4" w:space="0" w:color="auto"/>
      </w:pBdr>
      <w:spacing w:before="100" w:beforeAutospacing="1" w:after="100" w:afterAutospacing="1"/>
      <w:jc w:val="center"/>
    </w:pPr>
    <w:rPr>
      <w:kern w:val="0"/>
      <w:sz w:val="15"/>
      <w:szCs w:val="15"/>
    </w:rPr>
  </w:style>
  <w:style w:type="paragraph" w:customStyle="1" w:styleId="CharCharCharCharChar12">
    <w:name w:val="Char Char Char Char Char12"/>
    <w:basedOn w:val="a0"/>
    <w:qFormat/>
    <w:pPr>
      <w:spacing w:line="360" w:lineRule="auto"/>
    </w:pPr>
    <w:rPr>
      <w:rFonts w:ascii="宋体" w:hAnsi="宋体"/>
      <w:sz w:val="22"/>
    </w:rPr>
  </w:style>
  <w:style w:type="paragraph" w:customStyle="1" w:styleId="1ff6">
    <w:name w:val="1名"/>
    <w:basedOn w:val="a0"/>
    <w:pPr>
      <w:spacing w:before="120"/>
    </w:pPr>
    <w:rPr>
      <w:rFonts w:ascii="宋体"/>
      <w:sz w:val="28"/>
      <w:szCs w:val="20"/>
    </w:rPr>
  </w:style>
  <w:style w:type="paragraph" w:customStyle="1" w:styleId="Char3CharCharCharCharCharChar1">
    <w:name w:val="Char3 Char Char Char Char Char Char1"/>
    <w:basedOn w:val="a0"/>
    <w:rPr>
      <w:sz w:val="24"/>
    </w:rPr>
  </w:style>
  <w:style w:type="paragraph" w:customStyle="1" w:styleId="10491">
    <w:name w:val="样式 样式 标题1 + 段后: 0.49 行 + 段后: 1 行"/>
    <w:basedOn w:val="1049"/>
    <w:pPr>
      <w:spacing w:after="312"/>
    </w:pPr>
    <w:rPr>
      <w:b/>
    </w:rPr>
  </w:style>
  <w:style w:type="paragraph" w:customStyle="1" w:styleId="CharCharCharChar1">
    <w:name w:val="Char Char Char Char1"/>
    <w:basedOn w:val="a0"/>
    <w:qFormat/>
    <w:pPr>
      <w:spacing w:line="360" w:lineRule="auto"/>
      <w:ind w:firstLineChars="200" w:firstLine="200"/>
    </w:pPr>
    <w:rPr>
      <w:rFonts w:ascii="宋体" w:hAnsi="宋体" w:cs="宋体"/>
      <w:sz w:val="24"/>
    </w:rPr>
  </w:style>
  <w:style w:type="paragraph" w:customStyle="1" w:styleId="010">
    <w:name w:val="样式_正文_01"/>
    <w:basedOn w:val="a0"/>
    <w:pPr>
      <w:adjustRightInd w:val="0"/>
      <w:snapToGrid w:val="0"/>
      <w:spacing w:line="360" w:lineRule="auto"/>
      <w:jc w:val="center"/>
    </w:pPr>
    <w:rPr>
      <w:rFonts w:ascii="Arial" w:hAnsi="Arial" w:cs="Arial"/>
      <w:bCs/>
      <w:kern w:val="0"/>
      <w:sz w:val="28"/>
      <w:szCs w:val="28"/>
    </w:rPr>
  </w:style>
  <w:style w:type="paragraph" w:customStyle="1" w:styleId="2fe">
    <w:name w:val="封面2中评价机构名称等"/>
    <w:basedOn w:val="a0"/>
    <w:pPr>
      <w:spacing w:line="360" w:lineRule="auto"/>
      <w:ind w:firstLineChars="400" w:firstLine="400"/>
    </w:pPr>
    <w:rPr>
      <w:sz w:val="28"/>
      <w:szCs w:val="28"/>
    </w:rPr>
  </w:style>
  <w:style w:type="paragraph" w:customStyle="1" w:styleId="CharCharChar2CharCharCharCharCharCharCharCharCharChar">
    <w:name w:val="Char Char Char2 Char Char Char Char Char Char Char Char Char Char"/>
    <w:basedOn w:val="a0"/>
    <w:qFormat/>
    <w:pPr>
      <w:spacing w:line="360" w:lineRule="auto"/>
      <w:ind w:firstLineChars="200" w:firstLine="200"/>
    </w:pPr>
    <w:rPr>
      <w:rFonts w:ascii="宋体" w:hAnsi="宋体" w:cs="宋体"/>
      <w:sz w:val="24"/>
    </w:rPr>
  </w:style>
  <w:style w:type="paragraph" w:customStyle="1" w:styleId="2ff">
    <w:name w:val="2"/>
    <w:basedOn w:val="a0"/>
    <w:next w:val="aff4"/>
    <w:pPr>
      <w:widowControl/>
      <w:spacing w:before="100" w:beforeAutospacing="1" w:after="100" w:afterAutospacing="1"/>
      <w:jc w:val="left"/>
    </w:pPr>
    <w:rPr>
      <w:rFonts w:ascii="宋体" w:hAnsi="宋体" w:hint="eastAsia"/>
      <w:kern w:val="0"/>
      <w:sz w:val="24"/>
    </w:rPr>
  </w:style>
  <w:style w:type="paragraph" w:customStyle="1" w:styleId="xl136">
    <w:name w:val="xl136"/>
    <w:basedOn w:val="a0"/>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12">
    <w:name w:val="xl11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20015">
    <w:name w:val="样式 标题 2 + 段前: 0 磅 段后: 0 磅 行距: 1.5 倍行距"/>
    <w:basedOn w:val="2"/>
    <w:qFormat/>
    <w:pPr>
      <w:keepLines/>
      <w:ind w:left="295" w:firstLine="556"/>
      <w:jc w:val="both"/>
    </w:pPr>
    <w:rPr>
      <w:sz w:val="28"/>
      <w:szCs w:val="20"/>
    </w:rPr>
  </w:style>
  <w:style w:type="paragraph" w:customStyle="1" w:styleId="8-1">
    <w:name w:val="表8-1"/>
    <w:basedOn w:val="aff2"/>
    <w:pPr>
      <w:tabs>
        <w:tab w:val="center" w:pos="992"/>
      </w:tabs>
      <w:spacing w:beforeLines="50" w:before="120" w:afterLines="50" w:after="120"/>
      <w:ind w:leftChars="0" w:left="0" w:firstLineChars="0" w:firstLine="0"/>
      <w:jc w:val="center"/>
    </w:pPr>
  </w:style>
  <w:style w:type="paragraph" w:customStyle="1" w:styleId="511">
    <w:name w:val="目录 51"/>
    <w:basedOn w:val="a0"/>
    <w:next w:val="a0"/>
    <w:uiPriority w:val="39"/>
    <w:pPr>
      <w:ind w:left="840"/>
      <w:jc w:val="left"/>
    </w:pPr>
    <w:rPr>
      <w:sz w:val="18"/>
      <w:szCs w:val="18"/>
    </w:rPr>
  </w:style>
  <w:style w:type="paragraph" w:customStyle="1" w:styleId="afffffff8">
    <w:name w:val="篇"/>
    <w:basedOn w:val="aff5"/>
    <w:pPr>
      <w:spacing w:line="360" w:lineRule="auto"/>
    </w:pPr>
    <w:rPr>
      <w:rFonts w:eastAsia="黑体"/>
      <w:sz w:val="52"/>
      <w:szCs w:val="52"/>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olor w:val="0000FF"/>
      <w:kern w:val="0"/>
      <w:sz w:val="32"/>
      <w:szCs w:val="20"/>
    </w:rPr>
  </w:style>
  <w:style w:type="paragraph" w:customStyle="1" w:styleId="84">
    <w:name w:val="8"/>
    <w:basedOn w:val="af2"/>
    <w:next w:val="1f5"/>
    <w:qFormat/>
    <w:pPr>
      <w:spacing w:after="120" w:line="240" w:lineRule="auto"/>
      <w:ind w:firstLineChars="100" w:firstLine="420"/>
      <w:jc w:val="both"/>
    </w:pPr>
    <w:rPr>
      <w:rFonts w:ascii="Calibri" w:hAnsi="Calibri"/>
    </w:rPr>
  </w:style>
  <w:style w:type="paragraph" w:customStyle="1" w:styleId="afffffff9">
    <w:name w:val="封面中建设单位法定代表人等"/>
    <w:basedOn w:val="a0"/>
    <w:qFormat/>
    <w:pPr>
      <w:spacing w:line="360" w:lineRule="auto"/>
      <w:ind w:firstLineChars="400" w:firstLine="400"/>
    </w:pPr>
    <w:rPr>
      <w:sz w:val="28"/>
      <w:szCs w:val="28"/>
    </w:rPr>
  </w:style>
  <w:style w:type="paragraph" w:customStyle="1" w:styleId="xl123">
    <w:name w:val="xl123"/>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CharCharCharChar2">
    <w:name w:val="Char Char Char Char Char Char Char Char Char Char2"/>
    <w:basedOn w:val="a0"/>
    <w:qFormat/>
    <w:pPr>
      <w:spacing w:line="360" w:lineRule="auto"/>
    </w:pPr>
    <w:rPr>
      <w:rFonts w:ascii="宋体" w:hAnsi="宋体"/>
      <w:sz w:val="22"/>
      <w:szCs w:val="20"/>
    </w:rPr>
  </w:style>
  <w:style w:type="paragraph" w:customStyle="1" w:styleId="afffffffa">
    <w:name w:val="表文"/>
    <w:qFormat/>
    <w:pPr>
      <w:spacing w:line="400" w:lineRule="exact"/>
      <w:jc w:val="center"/>
    </w:pPr>
    <w:rPr>
      <w:sz w:val="21"/>
    </w:rPr>
  </w:style>
  <w:style w:type="paragraph" w:customStyle="1" w:styleId="912">
    <w:name w:val="表9－1"/>
    <w:basedOn w:val="1-1"/>
    <w:pPr>
      <w:tabs>
        <w:tab w:val="left" w:pos="1620"/>
      </w:tabs>
      <w:ind w:left="1032" w:hanging="132"/>
      <w:jc w:val="center"/>
    </w:pPr>
  </w:style>
  <w:style w:type="paragraph" w:customStyle="1" w:styleId="1111">
    <w:name w:val="样式111"/>
    <w:qFormat/>
    <w:pPr>
      <w:adjustRightInd w:val="0"/>
      <w:snapToGrid w:val="0"/>
      <w:jc w:val="both"/>
    </w:pPr>
    <w:rPr>
      <w:rFonts w:ascii="宋体"/>
      <w:sz w:val="21"/>
    </w:rPr>
  </w:style>
  <w:style w:type="paragraph" w:customStyle="1" w:styleId="2ff0">
    <w:name w:val="安全现状评价报告2"/>
    <w:basedOn w:val="a0"/>
    <w:pPr>
      <w:spacing w:beforeLines="100" w:afterLines="100" w:line="360" w:lineRule="auto"/>
      <w:jc w:val="center"/>
    </w:pPr>
    <w:rPr>
      <w:b/>
      <w:sz w:val="44"/>
      <w:szCs w:val="28"/>
    </w:rPr>
  </w:style>
  <w:style w:type="paragraph" w:customStyle="1" w:styleId="xl44">
    <w:name w:val="xl44"/>
    <w:basedOn w:val="a0"/>
    <w:pPr>
      <w:widowControl/>
      <w:shd w:val="clear" w:color="auto" w:fill="FFFFFF"/>
      <w:spacing w:before="100" w:beforeAutospacing="1" w:after="100" w:afterAutospacing="1"/>
      <w:jc w:val="left"/>
    </w:pPr>
    <w:rPr>
      <w:rFonts w:ascii="Arial Unicode MS" w:hAnsi="Arial Unicode MS"/>
      <w:kern w:val="0"/>
      <w:sz w:val="32"/>
      <w:szCs w:val="20"/>
    </w:rPr>
  </w:style>
  <w:style w:type="paragraph" w:customStyle="1" w:styleId="CharChar2CharCharCharCharCharCharChar2">
    <w:name w:val="Char Char2 Char Char Char Char Char Char Char2"/>
    <w:basedOn w:val="a0"/>
    <w:qFormat/>
    <w:pPr>
      <w:spacing w:line="360" w:lineRule="auto"/>
    </w:pPr>
    <w:rPr>
      <w:rFonts w:ascii="宋体" w:hAnsi="宋体"/>
      <w:sz w:val="22"/>
    </w:rPr>
  </w:style>
  <w:style w:type="paragraph" w:customStyle="1" w:styleId="afffffffb">
    <w:name w:val="封面标题"/>
    <w:basedOn w:val="a0"/>
    <w:next w:val="a0"/>
    <w:pPr>
      <w:tabs>
        <w:tab w:val="center" w:pos="6804"/>
        <w:tab w:val="right" w:pos="7371"/>
      </w:tabs>
      <w:overflowPunct w:val="0"/>
      <w:adjustRightInd w:val="0"/>
      <w:spacing w:line="360" w:lineRule="auto"/>
      <w:jc w:val="center"/>
      <w:textAlignment w:val="baseline"/>
    </w:pPr>
    <w:rPr>
      <w:rFonts w:ascii="Arial" w:eastAsia="黑体"/>
      <w:color w:val="FF0000"/>
      <w:spacing w:val="20"/>
      <w:kern w:val="52"/>
      <w:sz w:val="72"/>
      <w:szCs w:val="20"/>
    </w:rPr>
  </w:style>
  <w:style w:type="paragraph" w:customStyle="1" w:styleId="2ff1">
    <w:name w:val="正文2缩进主要格式"/>
    <w:basedOn w:val="a0"/>
    <w:pPr>
      <w:ind w:firstLineChars="200" w:firstLine="200"/>
    </w:pPr>
    <w:rPr>
      <w:rFonts w:ascii="宋体" w:hAnsi="宋体" w:cs="宋体"/>
      <w:sz w:val="28"/>
      <w:szCs w:val="20"/>
    </w:rPr>
  </w:style>
  <w:style w:type="paragraph" w:customStyle="1" w:styleId="xl139">
    <w:name w:val="xl139"/>
    <w:basedOn w:val="a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18"/>
      <w:szCs w:val="18"/>
    </w:rPr>
  </w:style>
  <w:style w:type="paragraph" w:customStyle="1" w:styleId="xl287">
    <w:name w:val="xl287"/>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afffffffc">
    <w:name w:val="封面标准文稿类别"/>
    <w:qFormat/>
    <w:pPr>
      <w:widowControl w:val="0"/>
      <w:suppressAutoHyphens/>
      <w:spacing w:before="440" w:line="400" w:lineRule="exact"/>
      <w:jc w:val="center"/>
    </w:pPr>
    <w:rPr>
      <w:rFonts w:ascii="宋体" w:hAnsi="宋体"/>
      <w:sz w:val="24"/>
      <w:lang w:eastAsia="ar-SA"/>
    </w:rPr>
  </w:style>
  <w:style w:type="paragraph" w:customStyle="1" w:styleId="CharCharCharCharCharCharCharCharCharChar">
    <w:name w:val="Char Char Char Char Char Char Char Char Char Char"/>
    <w:basedOn w:val="a0"/>
    <w:pPr>
      <w:spacing w:line="360" w:lineRule="auto"/>
    </w:pPr>
    <w:rPr>
      <w:rFonts w:ascii="宋体" w:hAnsi="宋体"/>
      <w:sz w:val="22"/>
    </w:rPr>
  </w:style>
  <w:style w:type="paragraph" w:customStyle="1" w:styleId="xl147">
    <w:name w:val="xl147"/>
    <w:basedOn w:val="a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19">
    <w:name w:val="xl119"/>
    <w:basedOn w:val="a0"/>
    <w:qFormat/>
    <w:pPr>
      <w:widowControl/>
      <w:shd w:val="clear" w:color="000000" w:fill="FF0000"/>
      <w:spacing w:before="100" w:beforeAutospacing="1" w:after="100" w:afterAutospacing="1"/>
      <w:jc w:val="left"/>
    </w:pPr>
    <w:rPr>
      <w:rFonts w:ascii="宋体" w:hAnsi="宋体" w:cs="宋体"/>
      <w:color w:val="000000"/>
      <w:kern w:val="0"/>
      <w:sz w:val="24"/>
    </w:rPr>
  </w:style>
  <w:style w:type="paragraph" w:customStyle="1" w:styleId="afffffffd">
    <w:name w:val="四级标题"/>
    <w:link w:val="Charfff3"/>
    <w:qFormat/>
    <w:pPr>
      <w:keepNext/>
      <w:widowControl w:val="0"/>
      <w:tabs>
        <w:tab w:val="left" w:pos="0"/>
      </w:tabs>
      <w:adjustRightInd w:val="0"/>
      <w:snapToGrid w:val="0"/>
      <w:spacing w:line="360" w:lineRule="auto"/>
      <w:jc w:val="both"/>
      <w:outlineLvl w:val="3"/>
    </w:pPr>
    <w:rPr>
      <w:rFonts w:ascii="Arial" w:eastAsia="黑体" w:hAnsi="Arial"/>
      <w:spacing w:val="20"/>
      <w:sz w:val="28"/>
      <w:szCs w:val="28"/>
    </w:rPr>
  </w:style>
  <w:style w:type="character" w:customStyle="1" w:styleId="Charfff3">
    <w:name w:val="四级标题 Char"/>
    <w:link w:val="afffffffd"/>
    <w:rPr>
      <w:rFonts w:ascii="Arial" w:eastAsia="黑体" w:hAnsi="Arial"/>
      <w:spacing w:val="20"/>
      <w:sz w:val="28"/>
      <w:szCs w:val="28"/>
      <w:lang w:bidi="ar-SA"/>
    </w:rPr>
  </w:style>
  <w:style w:type="paragraph" w:customStyle="1" w:styleId="afffffffe">
    <w:name w:val="文章标题"/>
    <w:basedOn w:val="1"/>
    <w:next w:val="a0"/>
    <w:qFormat/>
    <w:pPr>
      <w:keepLines/>
      <w:tabs>
        <w:tab w:val="center" w:pos="6804"/>
        <w:tab w:val="right" w:pos="7371"/>
      </w:tabs>
      <w:overflowPunct w:val="0"/>
      <w:adjustRightInd w:val="0"/>
      <w:spacing w:beforeLines="0" w:afterLines="0"/>
      <w:textAlignment w:val="baseline"/>
      <w:outlineLvl w:val="9"/>
    </w:pPr>
    <w:rPr>
      <w:b w:val="0"/>
      <w:spacing w:val="-20"/>
      <w:kern w:val="44"/>
      <w:sz w:val="52"/>
      <w:szCs w:val="20"/>
    </w:rPr>
  </w:style>
  <w:style w:type="paragraph" w:customStyle="1" w:styleId="314">
    <w:name w:val="标题31"/>
    <w:basedOn w:val="a0"/>
    <w:qFormat/>
    <w:rPr>
      <w:rFonts w:ascii="宋体" w:hAnsi="宋体"/>
      <w:color w:val="000000"/>
      <w:sz w:val="24"/>
      <w:szCs w:val="20"/>
    </w:rPr>
  </w:style>
  <w:style w:type="paragraph" w:customStyle="1" w:styleId="xl286">
    <w:name w:val="xl286"/>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CharChar1CharCharCharChar1CharCharChar1">
    <w:name w:val="Char Char1 Char Char Char Char1 Char Char Char1"/>
    <w:basedOn w:val="a0"/>
    <w:pPr>
      <w:spacing w:line="360" w:lineRule="auto"/>
    </w:pPr>
    <w:rPr>
      <w:rFonts w:ascii="宋体" w:hAnsi="宋体"/>
      <w:sz w:val="22"/>
    </w:rPr>
  </w:style>
  <w:style w:type="paragraph" w:customStyle="1" w:styleId="xl85">
    <w:name w:val="xl85"/>
    <w:basedOn w:val="a0"/>
    <w:qFormat/>
    <w:pPr>
      <w:widowControl/>
      <w:spacing w:before="100" w:beforeAutospacing="1" w:after="100" w:afterAutospacing="1"/>
      <w:jc w:val="left"/>
    </w:pPr>
    <w:rPr>
      <w:rFonts w:ascii="宋体" w:hAnsi="宋体" w:cs="宋体"/>
      <w:kern w:val="0"/>
      <w:sz w:val="20"/>
      <w:szCs w:val="20"/>
    </w:rPr>
  </w:style>
  <w:style w:type="paragraph" w:customStyle="1" w:styleId="p16">
    <w:name w:val="p16"/>
    <w:basedOn w:val="a0"/>
    <w:pPr>
      <w:widowControl/>
      <w:spacing w:line="360" w:lineRule="auto"/>
      <w:ind w:firstLine="420"/>
    </w:pPr>
    <w:rPr>
      <w:rFonts w:ascii="宋体" w:hAnsi="宋体" w:cs="宋体"/>
      <w:color w:val="FF0000"/>
      <w:kern w:val="0"/>
      <w:sz w:val="24"/>
    </w:rPr>
  </w:style>
  <w:style w:type="paragraph" w:customStyle="1" w:styleId="CharCharChar1Char">
    <w:name w:val="Char Char Char1 Char"/>
    <w:basedOn w:val="a0"/>
    <w:qFormat/>
    <w:pPr>
      <w:widowControl/>
      <w:spacing w:after="160" w:line="240" w:lineRule="exact"/>
      <w:jc w:val="left"/>
    </w:pPr>
    <w:rPr>
      <w:rFonts w:ascii="Arial" w:eastAsia="Times New Roman" w:hAnsi="Arial" w:cs="Verdana"/>
      <w:b/>
      <w:kern w:val="0"/>
      <w:sz w:val="24"/>
      <w:lang w:eastAsia="en-US"/>
    </w:rPr>
  </w:style>
  <w:style w:type="paragraph" w:customStyle="1" w:styleId="xl257">
    <w:name w:val="xl25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3CharCharCharCharCharChar">
    <w:name w:val="Char3 Char Char Char Char Char Char"/>
    <w:basedOn w:val="a0"/>
    <w:rPr>
      <w:sz w:val="24"/>
    </w:rPr>
  </w:style>
  <w:style w:type="paragraph" w:customStyle="1" w:styleId="font7">
    <w:name w:val="font7"/>
    <w:basedOn w:val="a0"/>
    <w:qFormat/>
    <w:pPr>
      <w:widowControl/>
      <w:spacing w:before="100" w:beforeAutospacing="1" w:after="100" w:afterAutospacing="1"/>
      <w:jc w:val="left"/>
    </w:pPr>
    <w:rPr>
      <w:rFonts w:ascii="宋体" w:hAnsi="宋体" w:hint="eastAsia"/>
      <w:kern w:val="0"/>
      <w:sz w:val="22"/>
      <w:szCs w:val="22"/>
    </w:rPr>
  </w:style>
  <w:style w:type="paragraph" w:customStyle="1" w:styleId="affffffff">
    <w:name w:val="表"/>
    <w:basedOn w:val="a0"/>
    <w:link w:val="CharCharf"/>
    <w:qFormat/>
    <w:pPr>
      <w:adjustRightInd w:val="0"/>
      <w:snapToGrid w:val="0"/>
      <w:spacing w:line="240" w:lineRule="exact"/>
      <w:jc w:val="center"/>
    </w:pPr>
    <w:rPr>
      <w:rFonts w:ascii="宋体" w:hAnsi="宋体"/>
      <w:color w:val="000000"/>
      <w:szCs w:val="21"/>
      <w:lang w:val="x-none" w:eastAsia="x-none"/>
    </w:rPr>
  </w:style>
  <w:style w:type="character" w:customStyle="1" w:styleId="CharCharf">
    <w:name w:val="表 Char Char"/>
    <w:link w:val="affffffff"/>
    <w:rPr>
      <w:rFonts w:ascii="宋体" w:hAnsi="宋体"/>
      <w:color w:val="000000"/>
      <w:kern w:val="2"/>
      <w:sz w:val="21"/>
      <w:szCs w:val="21"/>
    </w:rPr>
  </w:style>
  <w:style w:type="paragraph" w:customStyle="1" w:styleId="5c">
    <w:name w:val="样式5"/>
    <w:basedOn w:val="a0"/>
    <w:next w:val="a0"/>
    <w:qFormat/>
    <w:rPr>
      <w:rFonts w:eastAsia="黑体"/>
      <w:sz w:val="32"/>
      <w:szCs w:val="20"/>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4">
    <w:name w:val="xl134"/>
    <w:basedOn w:val="a0"/>
    <w:pPr>
      <w:widowControl/>
      <w:shd w:val="clear" w:color="000000" w:fill="FFFF00"/>
      <w:spacing w:before="100" w:beforeAutospacing="1" w:after="100" w:afterAutospacing="1"/>
      <w:jc w:val="left"/>
    </w:pPr>
    <w:rPr>
      <w:rFonts w:ascii="宋体" w:hAnsi="宋体" w:cs="宋体"/>
      <w:color w:val="000000"/>
      <w:kern w:val="0"/>
      <w:sz w:val="24"/>
    </w:rPr>
  </w:style>
  <w:style w:type="paragraph" w:customStyle="1" w:styleId="xl263">
    <w:name w:val="xl2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
    <w:name w:val="默认段落字体 Para Char"/>
    <w:basedOn w:val="a0"/>
    <w:qFormat/>
    <w:pPr>
      <w:spacing w:line="360" w:lineRule="auto"/>
      <w:ind w:firstLineChars="200" w:firstLine="200"/>
    </w:pPr>
    <w:rPr>
      <w:rFonts w:ascii="宋体" w:hAnsi="宋体" w:cs="宋体"/>
      <w:sz w:val="24"/>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3CharCharCharCharCharChar2">
    <w:name w:val="Char3 Char Char Char Char Char Char2"/>
    <w:basedOn w:val="a0"/>
    <w:rPr>
      <w:sz w:val="24"/>
    </w:rPr>
  </w:style>
  <w:style w:type="paragraph" w:customStyle="1" w:styleId="CharCharCharCharCharCharCharChar">
    <w:name w:val="Char Char Char Char Char Char Char Char"/>
    <w:basedOn w:val="a0"/>
    <w:qFormat/>
    <w:pPr>
      <w:spacing w:line="360" w:lineRule="auto"/>
    </w:pPr>
    <w:rPr>
      <w:rFonts w:ascii="宋体" w:hAnsi="宋体"/>
      <w:sz w:val="22"/>
    </w:rPr>
  </w:style>
  <w:style w:type="paragraph" w:customStyle="1" w:styleId="conttitle">
    <w:name w:val="conttitle"/>
    <w:basedOn w:val="a0"/>
    <w:pPr>
      <w:widowControl/>
      <w:spacing w:before="100" w:beforeAutospacing="1" w:after="100" w:afterAutospacing="1"/>
      <w:jc w:val="left"/>
    </w:pPr>
    <w:rPr>
      <w:rFonts w:ascii="宋体" w:hAnsi="宋体" w:cs="宋体"/>
      <w:b/>
      <w:bCs/>
      <w:color w:val="000000"/>
      <w:kern w:val="0"/>
      <w:sz w:val="28"/>
      <w:szCs w:val="28"/>
    </w:rPr>
  </w:style>
  <w:style w:type="paragraph" w:customStyle="1" w:styleId="xl114">
    <w:name w:val="xl11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Char2CharCharCharCharChar1Char">
    <w:name w:val="Char2 Char Char Char Char Char1 Char"/>
    <w:basedOn w:val="a0"/>
    <w:qFormat/>
    <w:pPr>
      <w:widowControl/>
      <w:spacing w:after="160" w:line="240" w:lineRule="exact"/>
      <w:jc w:val="left"/>
    </w:pPr>
    <w:rPr>
      <w:rFonts w:ascii="Verdana" w:hAnsi="Verdana" w:cs="Verdana"/>
      <w:kern w:val="0"/>
      <w:sz w:val="20"/>
      <w:szCs w:val="20"/>
      <w:lang w:eastAsia="en-US"/>
    </w:rPr>
  </w:style>
  <w:style w:type="paragraph" w:customStyle="1" w:styleId="151">
    <w:name w:val="15"/>
    <w:basedOn w:val="a0"/>
    <w:pPr>
      <w:widowControl/>
      <w:spacing w:before="100" w:beforeAutospacing="1" w:after="100" w:afterAutospacing="1"/>
      <w:jc w:val="left"/>
    </w:pPr>
    <w:rPr>
      <w:rFonts w:ascii="宋体" w:hAnsi="宋体"/>
      <w:kern w:val="0"/>
      <w:sz w:val="24"/>
    </w:rPr>
  </w:style>
  <w:style w:type="paragraph" w:customStyle="1" w:styleId="affffffff0">
    <w:name w:val="自动更正"/>
    <w:qFormat/>
    <w:pPr>
      <w:widowControl w:val="0"/>
      <w:jc w:val="both"/>
    </w:pPr>
    <w:rPr>
      <w:kern w:val="2"/>
      <w:sz w:val="21"/>
      <w:szCs w:val="24"/>
    </w:rPr>
  </w:style>
  <w:style w:type="paragraph" w:customStyle="1" w:styleId="3f6">
    <w:name w:val="3"/>
    <w:basedOn w:val="a0"/>
    <w:pPr>
      <w:widowControl/>
      <w:spacing w:before="100" w:beforeAutospacing="1" w:after="100" w:afterAutospacing="1"/>
      <w:jc w:val="left"/>
    </w:pPr>
    <w:rPr>
      <w:rFonts w:ascii="宋体" w:hAnsi="宋体"/>
      <w:kern w:val="0"/>
      <w:sz w:val="24"/>
    </w:rPr>
  </w:style>
  <w:style w:type="paragraph" w:customStyle="1" w:styleId="1ff7">
    <w:name w:val="內文1"/>
    <w:basedOn w:val="a0"/>
    <w:pPr>
      <w:adjustRightInd w:val="0"/>
      <w:spacing w:before="40" w:after="40" w:line="320" w:lineRule="atLeast"/>
      <w:jc w:val="center"/>
      <w:textAlignment w:val="baseline"/>
    </w:pPr>
    <w:rPr>
      <w:rFonts w:eastAsia="華康中楷體"/>
      <w:kern w:val="0"/>
      <w:sz w:val="28"/>
      <w:szCs w:val="20"/>
      <w:lang w:eastAsia="zh-TW"/>
    </w:rPr>
  </w:style>
  <w:style w:type="paragraph" w:customStyle="1" w:styleId="td2">
    <w:name w:val="td2"/>
    <w:basedOn w:val="a0"/>
    <w:pPr>
      <w:widowControl/>
      <w:spacing w:before="100" w:beforeAutospacing="1" w:after="100" w:afterAutospacing="1"/>
      <w:jc w:val="right"/>
    </w:pPr>
    <w:rPr>
      <w:rFonts w:ascii="Arial Unicode MS" w:eastAsia="Arial Unicode MS" w:hAnsi="Arial Unicode MS" w:cs="Arial Unicode MS"/>
      <w:color w:val="0000FF"/>
      <w:kern w:val="0"/>
      <w:sz w:val="20"/>
      <w:szCs w:val="20"/>
    </w:rPr>
  </w:style>
  <w:style w:type="paragraph" w:customStyle="1" w:styleId="1CharCharCharCharCharCharChar">
    <w:name w:val="1 Char Char Char Char Char Char Char"/>
    <w:basedOn w:val="a0"/>
    <w:next w:val="a0"/>
    <w:pPr>
      <w:spacing w:line="360" w:lineRule="auto"/>
      <w:ind w:firstLineChars="200" w:firstLine="200"/>
    </w:pPr>
    <w:rPr>
      <w:rFonts w:ascii="宋体" w:hAnsi="宋体"/>
      <w:sz w:val="24"/>
      <w:szCs w:val="20"/>
    </w:rPr>
  </w:style>
  <w:style w:type="paragraph" w:customStyle="1" w:styleId="xl45">
    <w:name w:val="xl45"/>
    <w:basedOn w:val="a0"/>
    <w:qFormat/>
    <w:pPr>
      <w:widowControl/>
      <w:spacing w:before="100" w:beforeAutospacing="1" w:after="100" w:afterAutospacing="1"/>
      <w:jc w:val="left"/>
    </w:pPr>
    <w:rPr>
      <w:rFonts w:ascii="宋体" w:hAnsi="宋体"/>
      <w:kern w:val="0"/>
      <w:sz w:val="24"/>
      <w:szCs w:val="20"/>
    </w:rPr>
  </w:style>
  <w:style w:type="paragraph" w:customStyle="1" w:styleId="xl107">
    <w:name w:val="xl10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f8">
    <w:name w:val="宁波寰球安全科技有限公司1"/>
    <w:basedOn w:val="a0"/>
    <w:pPr>
      <w:spacing w:line="360" w:lineRule="auto"/>
      <w:jc w:val="center"/>
    </w:pPr>
    <w:rPr>
      <w:b/>
      <w:sz w:val="44"/>
      <w:szCs w:val="28"/>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2"/>
      <w:szCs w:val="22"/>
    </w:rPr>
  </w:style>
  <w:style w:type="paragraph" w:customStyle="1" w:styleId="1CharCharCharChar">
    <w:name w:val="1 Char Char Char Char"/>
    <w:basedOn w:val="a0"/>
    <w:next w:val="a0"/>
    <w:qFormat/>
    <w:pPr>
      <w:spacing w:line="360" w:lineRule="auto"/>
      <w:ind w:firstLineChars="200" w:firstLine="200"/>
    </w:pPr>
    <w:rPr>
      <w:rFonts w:ascii="宋体" w:hAnsi="宋体" w:cs="宋体"/>
      <w:sz w:val="24"/>
    </w:rPr>
  </w:style>
  <w:style w:type="paragraph" w:customStyle="1" w:styleId="xl245">
    <w:name w:val="xl245"/>
    <w:basedOn w:val="a0"/>
    <w:qFormat/>
    <w:pPr>
      <w:widowControl/>
      <w:spacing w:before="100" w:beforeAutospacing="1" w:after="100" w:afterAutospacing="1"/>
      <w:jc w:val="left"/>
    </w:pPr>
    <w:rPr>
      <w:rFonts w:ascii="宋体" w:hAnsi="宋体" w:cs="宋体"/>
      <w:kern w:val="0"/>
      <w:sz w:val="20"/>
      <w:szCs w:val="20"/>
    </w:rPr>
  </w:style>
  <w:style w:type="paragraph" w:customStyle="1" w:styleId="xl242">
    <w:name w:val="xl2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1">
    <w:name w:val="xl141"/>
    <w:basedOn w:val="a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b/>
      <w:bCs/>
      <w:color w:val="FF0000"/>
      <w:kern w:val="0"/>
      <w:sz w:val="22"/>
      <w:szCs w:val="22"/>
    </w:rPr>
  </w:style>
  <w:style w:type="paragraph" w:customStyle="1" w:styleId="xl56">
    <w:name w:val="xl56"/>
    <w:basedOn w:val="a0"/>
    <w:pPr>
      <w:widowControl/>
      <w:pBdr>
        <w:left w:val="single" w:sz="4" w:space="0" w:color="auto"/>
        <w:right w:val="single" w:sz="4" w:space="0" w:color="auto"/>
      </w:pBdr>
      <w:spacing w:before="100" w:beforeAutospacing="1" w:after="100" w:afterAutospacing="1"/>
      <w:jc w:val="center"/>
      <w:textAlignment w:val="center"/>
    </w:pPr>
    <w:rPr>
      <w:rFonts w:ascii="宋体" w:hAnsi="宋体"/>
      <w:color w:val="000000"/>
      <w:kern w:val="0"/>
      <w:szCs w:val="21"/>
    </w:rPr>
  </w:style>
  <w:style w:type="paragraph" w:customStyle="1" w:styleId="2TimesNewRomanChar0">
    <w:name w:val="样式 正文首行缩进 2 + Times New Roman Char"/>
    <w:basedOn w:val="a0"/>
    <w:qFormat/>
    <w:pPr>
      <w:tabs>
        <w:tab w:val="left" w:pos="0"/>
        <w:tab w:val="left" w:pos="870"/>
        <w:tab w:val="left" w:pos="3150"/>
      </w:tabs>
      <w:autoSpaceDE w:val="0"/>
      <w:autoSpaceDN w:val="0"/>
      <w:adjustRightInd w:val="0"/>
      <w:spacing w:line="360" w:lineRule="auto"/>
      <w:ind w:firstLine="527"/>
      <w:textAlignment w:val="baseline"/>
    </w:pPr>
    <w:rPr>
      <w:sz w:val="24"/>
      <w:szCs w:val="20"/>
    </w:rPr>
  </w:style>
  <w:style w:type="paragraph" w:customStyle="1" w:styleId="edri-titlethirdChar1CharCharChar">
    <w:name w:val="edri-title third Char1 Char Char Char"/>
    <w:basedOn w:val="a0"/>
    <w:pPr>
      <w:tabs>
        <w:tab w:val="left" w:pos="945"/>
      </w:tabs>
      <w:spacing w:beforeLines="50" w:before="156" w:line="300" w:lineRule="auto"/>
      <w:ind w:left="966" w:firstLine="474"/>
      <w:outlineLvl w:val="2"/>
    </w:pPr>
    <w:rPr>
      <w:rFonts w:cs="CommercialPi BT"/>
      <w:bCs/>
      <w:sz w:val="24"/>
    </w:rPr>
  </w:style>
  <w:style w:type="paragraph" w:customStyle="1" w:styleId="xl75">
    <w:name w:val="xl75"/>
    <w:basedOn w:val="a0"/>
    <w:qFormat/>
    <w:pPr>
      <w:widowControl/>
      <w:pBdr>
        <w:top w:val="single" w:sz="4" w:space="0" w:color="auto"/>
        <w:left w:val="single" w:sz="4" w:space="0" w:color="auto"/>
        <w:right w:val="single" w:sz="4" w:space="0" w:color="auto"/>
      </w:pBdr>
      <w:spacing w:before="100" w:beforeAutospacing="1" w:after="100" w:afterAutospacing="1"/>
      <w:jc w:val="center"/>
    </w:pPr>
    <w:rPr>
      <w:kern w:val="0"/>
      <w:sz w:val="15"/>
      <w:szCs w:val="15"/>
    </w:rPr>
  </w:style>
  <w:style w:type="paragraph" w:customStyle="1" w:styleId="2-11">
    <w:name w:val="样式 样式 表2-1 + 两端对齐 + (中文) 宋体 小四 居中"/>
    <w:basedOn w:val="2-1"/>
    <w:pPr>
      <w:spacing w:beforeLines="50" w:before="50" w:afterLines="50" w:after="50" w:line="240" w:lineRule="auto"/>
      <w:ind w:left="1951"/>
      <w:jc w:val="center"/>
    </w:pPr>
    <w:rPr>
      <w:rFonts w:eastAsia="宋体"/>
      <w:sz w:val="24"/>
    </w:rPr>
  </w:style>
  <w:style w:type="paragraph" w:customStyle="1" w:styleId="Char2CharChar2">
    <w:name w:val="Char2 Char Char2"/>
    <w:basedOn w:val="a0"/>
    <w:qFormat/>
    <w:rPr>
      <w:rFonts w:ascii="宋体" w:hAnsi="宋体" w:cs="Courier New"/>
      <w:sz w:val="32"/>
      <w:szCs w:val="32"/>
    </w:rPr>
  </w:style>
  <w:style w:type="paragraph" w:customStyle="1" w:styleId="CharCharCharCharCharCharChar1">
    <w:name w:val="Char Char Char Char Char Char Char1"/>
    <w:basedOn w:val="a0"/>
    <w:qFormat/>
    <w:pPr>
      <w:spacing w:line="360" w:lineRule="auto"/>
    </w:pPr>
    <w:rPr>
      <w:rFonts w:ascii="宋体" w:hAnsi="宋体"/>
      <w:sz w:val="22"/>
      <w:szCs w:val="20"/>
    </w:rPr>
  </w:style>
  <w:style w:type="paragraph" w:customStyle="1" w:styleId="Table-IS">
    <w:name w:val="Table-I(S)"/>
    <w:basedOn w:val="a0"/>
    <w:pPr>
      <w:tabs>
        <w:tab w:val="left" w:pos="2160"/>
        <w:tab w:val="left" w:pos="3840"/>
        <w:tab w:val="left" w:pos="5280"/>
      </w:tabs>
      <w:spacing w:line="0" w:lineRule="atLeast"/>
      <w:jc w:val="center"/>
    </w:pPr>
    <w:rPr>
      <w:rFonts w:ascii="Tahoma" w:eastAsia="华文中宋" w:hAnsi="Tahoma" w:hint="eastAsia"/>
      <w:sz w:val="18"/>
      <w:szCs w:val="20"/>
    </w:rPr>
  </w:style>
  <w:style w:type="paragraph" w:customStyle="1" w:styleId="xl48">
    <w:name w:val="xl48"/>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b/>
      <w:kern w:val="0"/>
      <w:sz w:val="48"/>
      <w:szCs w:val="20"/>
    </w:rPr>
  </w:style>
  <w:style w:type="paragraph" w:customStyle="1" w:styleId="xl246">
    <w:name w:val="xl246"/>
    <w:basedOn w:val="a0"/>
    <w:pPr>
      <w:widowControl/>
      <w:spacing w:before="100" w:beforeAutospacing="1" w:after="100" w:afterAutospacing="1"/>
      <w:jc w:val="center"/>
    </w:pPr>
    <w:rPr>
      <w:rFonts w:ascii="宋体" w:hAnsi="宋体" w:cs="宋体"/>
      <w:kern w:val="0"/>
      <w:sz w:val="20"/>
      <w:szCs w:val="20"/>
    </w:rPr>
  </w:style>
  <w:style w:type="paragraph" w:customStyle="1" w:styleId="CharCharf0">
    <w:name w:val="Char Char"/>
    <w:basedOn w:val="a0"/>
    <w:qFormat/>
    <w:pPr>
      <w:spacing w:line="360" w:lineRule="auto"/>
      <w:ind w:firstLineChars="200" w:firstLine="200"/>
    </w:pPr>
    <w:rPr>
      <w:rFonts w:eastAsia="仿宋_GB2312"/>
      <w:sz w:val="28"/>
      <w:szCs w:val="20"/>
    </w:rPr>
  </w:style>
  <w:style w:type="paragraph" w:customStyle="1" w:styleId="bigbold">
    <w:name w:val="bigbold"/>
    <w:basedOn w:val="a0"/>
    <w:qFormat/>
    <w:pPr>
      <w:widowControl/>
      <w:spacing w:before="100" w:beforeAutospacing="1" w:after="100" w:afterAutospacing="1"/>
      <w:jc w:val="left"/>
    </w:pPr>
    <w:rPr>
      <w:rFonts w:ascii="宋体" w:hAnsi="宋体" w:hint="eastAsia"/>
      <w:kern w:val="0"/>
      <w:sz w:val="24"/>
    </w:rPr>
  </w:style>
  <w:style w:type="paragraph" w:customStyle="1" w:styleId="2ff2">
    <w:name w:val="表格2"/>
    <w:basedOn w:val="a0"/>
    <w:link w:val="2CharChar5"/>
    <w:qFormat/>
    <w:pPr>
      <w:spacing w:line="360" w:lineRule="atLeast"/>
      <w:jc w:val="center"/>
    </w:pPr>
    <w:rPr>
      <w:szCs w:val="21"/>
      <w:lang w:val="x-none" w:eastAsia="x-none"/>
    </w:rPr>
  </w:style>
  <w:style w:type="character" w:customStyle="1" w:styleId="2CharChar5">
    <w:name w:val="表格2 Char Char"/>
    <w:link w:val="2ff2"/>
    <w:rPr>
      <w:kern w:val="2"/>
      <w:sz w:val="21"/>
      <w:szCs w:val="21"/>
    </w:rPr>
  </w:style>
  <w:style w:type="paragraph" w:customStyle="1" w:styleId="2ff3">
    <w:name w:val="委托单位名称2"/>
    <w:basedOn w:val="a0"/>
    <w:qFormat/>
    <w:pPr>
      <w:spacing w:beforeLines="100" w:line="360" w:lineRule="auto"/>
      <w:jc w:val="center"/>
    </w:pPr>
    <w:rPr>
      <w:b/>
      <w:sz w:val="32"/>
      <w:szCs w:val="28"/>
    </w:rPr>
  </w:style>
  <w:style w:type="paragraph" w:customStyle="1" w:styleId="affffffff1">
    <w:name w:val="标准"/>
    <w:basedOn w:val="a0"/>
    <w:qFormat/>
    <w:pPr>
      <w:tabs>
        <w:tab w:val="left" w:pos="720"/>
      </w:tabs>
      <w:adjustRightInd w:val="0"/>
      <w:spacing w:line="312" w:lineRule="atLeast"/>
      <w:textAlignment w:val="baseline"/>
    </w:pPr>
    <w:rPr>
      <w:kern w:val="0"/>
      <w:szCs w:val="20"/>
    </w:rPr>
  </w:style>
  <w:style w:type="paragraph" w:customStyle="1" w:styleId="xl140">
    <w:name w:val="xl140"/>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b/>
      <w:bCs/>
      <w:color w:val="000000"/>
      <w:kern w:val="0"/>
      <w:sz w:val="18"/>
      <w:szCs w:val="18"/>
    </w:rPr>
  </w:style>
  <w:style w:type="paragraph" w:customStyle="1" w:styleId="affffffff2">
    <w:name w:val="注"/>
    <w:basedOn w:val="aff0"/>
    <w:qFormat/>
    <w:pPr>
      <w:spacing w:before="120"/>
      <w:ind w:left="0" w:firstLineChars="0" w:firstLine="0"/>
    </w:pPr>
    <w:rPr>
      <w:rFonts w:ascii="宋体" w:hAnsi="宋体"/>
      <w:b/>
      <w:bCs/>
      <w:color w:val="000000"/>
      <w:szCs w:val="28"/>
    </w:rPr>
  </w:style>
  <w:style w:type="paragraph" w:customStyle="1" w:styleId="Char2CharCharChar">
    <w:name w:val="Char2 Char Char Char"/>
    <w:basedOn w:val="a0"/>
    <w:pPr>
      <w:widowControl/>
      <w:spacing w:after="160" w:line="240" w:lineRule="exact"/>
      <w:jc w:val="left"/>
    </w:pPr>
    <w:rPr>
      <w:rFonts w:ascii="Verdana" w:hAnsi="Verdana"/>
      <w:kern w:val="0"/>
      <w:sz w:val="20"/>
      <w:szCs w:val="20"/>
      <w:lang w:eastAsia="en-US"/>
    </w:rPr>
  </w:style>
  <w:style w:type="paragraph" w:customStyle="1" w:styleId="affffffff3">
    <w:name w:val="第三级标题"/>
    <w:basedOn w:val="a0"/>
    <w:next w:val="23"/>
    <w:qFormat/>
    <w:pPr>
      <w:numPr>
        <w:ilvl w:val="3"/>
        <w:numId w:val="8"/>
      </w:numPr>
      <w:tabs>
        <w:tab w:val="left" w:pos="0"/>
      </w:tabs>
      <w:spacing w:line="360" w:lineRule="auto"/>
      <w:ind w:left="709" w:hanging="709"/>
      <w:outlineLvl w:val="2"/>
    </w:pPr>
    <w:rPr>
      <w:sz w:val="24"/>
    </w:rPr>
  </w:style>
  <w:style w:type="paragraph" w:customStyle="1" w:styleId="xl291">
    <w:name w:val="xl291"/>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0061">
    <w:name w:val="样式 表格文字居中 + 右侧:  -0.06 字符1"/>
    <w:basedOn w:val="affff3"/>
    <w:pPr>
      <w:keepNext/>
      <w:tabs>
        <w:tab w:val="clear" w:pos="180"/>
        <w:tab w:val="clear" w:pos="279"/>
      </w:tabs>
      <w:adjustRightInd w:val="0"/>
      <w:spacing w:after="120"/>
      <w:ind w:rightChars="-6" w:right="-17"/>
    </w:pPr>
    <w:rPr>
      <w:rFonts w:ascii="宋体" w:cs="宋体"/>
      <w:color w:val="000000"/>
      <w:kern w:val="0"/>
      <w:sz w:val="24"/>
    </w:rPr>
  </w:style>
  <w:style w:type="paragraph" w:customStyle="1" w:styleId="DefaultParagraphStyle">
    <w:name w:val="DefaultParagraphStyle"/>
    <w:pPr>
      <w:spacing w:line="360" w:lineRule="auto"/>
      <w:ind w:firstLineChars="200" w:firstLine="420"/>
    </w:pPr>
    <w:rPr>
      <w:rFonts w:ascii="Arial" w:hAnsi="Arial" w:cs="Arial"/>
    </w:rPr>
  </w:style>
  <w:style w:type="paragraph" w:customStyle="1" w:styleId="114">
    <w:name w:val="列出段落11"/>
    <w:basedOn w:val="a0"/>
    <w:qFormat/>
    <w:pPr>
      <w:ind w:firstLineChars="200" w:firstLine="420"/>
      <w:jc w:val="left"/>
    </w:pPr>
    <w:rPr>
      <w:rFonts w:ascii="Courier New" w:hAnsi="Courier New" w:cs="Courier New"/>
      <w:color w:val="000000"/>
      <w:kern w:val="0"/>
      <w:sz w:val="24"/>
      <w:lang w:val="zh-TW" w:eastAsia="zh-TW"/>
    </w:rPr>
  </w:style>
  <w:style w:type="paragraph" w:customStyle="1" w:styleId="xl41">
    <w:name w:val="xl41"/>
    <w:basedOn w:val="a0"/>
    <w:qFormat/>
    <w:pPr>
      <w:widowControl/>
      <w:pBdr>
        <w:left w:val="single" w:sz="4" w:space="0" w:color="auto"/>
        <w:right w:val="single" w:sz="4" w:space="0" w:color="auto"/>
      </w:pBdr>
      <w:spacing w:before="100" w:beforeAutospacing="1" w:after="100" w:afterAutospacing="1"/>
      <w:jc w:val="center"/>
    </w:pPr>
    <w:rPr>
      <w:rFonts w:ascii="Arial Unicode MS" w:hAnsi="Arial Unicode MS"/>
      <w:color w:val="0000FF"/>
      <w:kern w:val="0"/>
      <w:sz w:val="32"/>
      <w:szCs w:val="20"/>
    </w:rPr>
  </w:style>
  <w:style w:type="paragraph" w:customStyle="1" w:styleId="xl84">
    <w:name w:val="xl84"/>
    <w:basedOn w:val="a0"/>
    <w:qFormat/>
    <w:pPr>
      <w:widowControl/>
      <w:pBdr>
        <w:top w:val="single" w:sz="4" w:space="0" w:color="auto"/>
        <w:left w:val="single" w:sz="4" w:space="0" w:color="auto"/>
        <w:bottom w:val="single" w:sz="4" w:space="0" w:color="auto"/>
      </w:pBdr>
      <w:shd w:val="clear" w:color="000000" w:fill="FF0000"/>
      <w:spacing w:before="100" w:beforeAutospacing="1" w:after="100" w:afterAutospacing="1"/>
      <w:jc w:val="center"/>
    </w:pPr>
    <w:rPr>
      <w:rFonts w:ascii="宋体" w:hAnsi="宋体" w:cs="宋体"/>
      <w:b/>
      <w:bCs/>
      <w:kern w:val="0"/>
      <w:sz w:val="20"/>
      <w:szCs w:val="20"/>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5"/>
      <w:szCs w:val="15"/>
    </w:rPr>
  </w:style>
  <w:style w:type="paragraph" w:customStyle="1" w:styleId="xl262">
    <w:name w:val="xl26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zw">
    <w:name w:val="zw"/>
    <w:basedOn w:val="a0"/>
    <w:qFormat/>
    <w:pPr>
      <w:widowControl/>
      <w:spacing w:before="100" w:beforeAutospacing="1" w:after="100" w:afterAutospacing="1" w:line="440" w:lineRule="atLeast"/>
      <w:jc w:val="left"/>
    </w:pPr>
    <w:rPr>
      <w:rFonts w:ascii="宋体" w:hAnsi="宋体" w:cs="宋体"/>
      <w:kern w:val="0"/>
      <w:sz w:val="22"/>
      <w:szCs w:val="22"/>
    </w:rPr>
  </w:style>
  <w:style w:type="paragraph" w:customStyle="1" w:styleId="affffffff4">
    <w:name w:val="表格内文本"/>
    <w:basedOn w:val="a0"/>
    <w:semiHidden/>
    <w:qFormat/>
    <w:pPr>
      <w:spacing w:line="300" w:lineRule="exact"/>
      <w:jc w:val="center"/>
    </w:pPr>
    <w:rPr>
      <w:kern w:val="0"/>
      <w:sz w:val="18"/>
      <w:szCs w:val="18"/>
    </w:rPr>
  </w:style>
  <w:style w:type="paragraph" w:customStyle="1" w:styleId="affffffff5">
    <w:name w:val="注释"/>
    <w:basedOn w:val="a0"/>
    <w:qFormat/>
    <w:pPr>
      <w:spacing w:line="360" w:lineRule="exact"/>
    </w:p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CharCharChar3Char1">
    <w:name w:val="Char Char Char Char Char Char Char3 Char1"/>
    <w:basedOn w:val="a0"/>
    <w:pPr>
      <w:widowControl/>
      <w:spacing w:after="160" w:line="240" w:lineRule="exact"/>
      <w:jc w:val="left"/>
    </w:pPr>
    <w:rPr>
      <w:rFonts w:ascii="Arial" w:eastAsia="Times New Roman" w:hAnsi="Arial" w:cs="Verdana"/>
      <w:b/>
      <w:kern w:val="0"/>
      <w:sz w:val="24"/>
      <w:lang w:eastAsia="en-US"/>
    </w:rPr>
  </w:style>
  <w:style w:type="paragraph" w:customStyle="1" w:styleId="CharChar2CharCharCharCharCharCharCharCharCharChar1">
    <w:name w:val="Char Char2 Char Char Char Char Char Char Char Char Char Char1"/>
    <w:basedOn w:val="a0"/>
    <w:pPr>
      <w:spacing w:line="360" w:lineRule="auto"/>
    </w:pPr>
    <w:rPr>
      <w:rFonts w:ascii="宋体" w:hAnsi="宋体"/>
      <w:sz w:val="22"/>
    </w:rPr>
  </w:style>
  <w:style w:type="paragraph" w:customStyle="1" w:styleId="xl288">
    <w:name w:val="xl28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2"/>
      <w:szCs w:val="22"/>
    </w:rPr>
  </w:style>
  <w:style w:type="paragraph" w:customStyle="1" w:styleId="CharChar2CharCharCharChar1">
    <w:name w:val="Char Char2 Char Char Char Char1"/>
    <w:basedOn w:val="a0"/>
    <w:pPr>
      <w:spacing w:line="360" w:lineRule="auto"/>
    </w:pPr>
    <w:rPr>
      <w:rFonts w:ascii="宋体" w:hAnsi="宋体"/>
      <w:sz w:val="22"/>
    </w:rPr>
  </w:style>
  <w:style w:type="paragraph" w:customStyle="1" w:styleId="affffffff6">
    <w:name w:val="表格文字左"/>
    <w:basedOn w:val="affff3"/>
    <w:qFormat/>
    <w:pPr>
      <w:ind w:right="0" w:firstLineChars="100" w:firstLine="240"/>
      <w:jc w:val="left"/>
    </w:pPr>
    <w:rPr>
      <w:color w:val="000000"/>
    </w:rPr>
  </w:style>
  <w:style w:type="paragraph" w:customStyle="1" w:styleId="affffffff7">
    <w:name w:val="a)"/>
    <w:basedOn w:val="a0"/>
    <w:qFormat/>
    <w:pPr>
      <w:autoSpaceDE w:val="0"/>
      <w:autoSpaceDN w:val="0"/>
      <w:adjustRightInd w:val="0"/>
      <w:spacing w:line="360" w:lineRule="auto"/>
      <w:ind w:firstLine="567"/>
      <w:jc w:val="left"/>
      <w:textAlignment w:val="baseline"/>
    </w:pPr>
    <w:rPr>
      <w:kern w:val="0"/>
      <w:sz w:val="28"/>
      <w:szCs w:val="20"/>
    </w:rPr>
  </w:style>
  <w:style w:type="paragraph" w:customStyle="1" w:styleId="affffffff8">
    <w:name w:val="样式 宋体 黑色"/>
    <w:basedOn w:val="a0"/>
    <w:qFormat/>
    <w:rPr>
      <w:rFonts w:ascii="宋体" w:hAnsi="宋体" w:cs="宋体"/>
      <w:color w:val="000000"/>
      <w:szCs w:val="20"/>
    </w:rPr>
  </w:style>
  <w:style w:type="paragraph" w:customStyle="1" w:styleId="xl78">
    <w:name w:val="xl78"/>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54">
    <w:name w:val="xl25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9">
    <w:name w:val="表列"/>
    <w:basedOn w:val="afff7"/>
    <w:pPr>
      <w:suppressAutoHyphens w:val="0"/>
      <w:adjustRightInd w:val="0"/>
      <w:spacing w:line="360" w:lineRule="auto"/>
      <w:jc w:val="both"/>
      <w:textAlignment w:val="center"/>
    </w:pPr>
    <w:rPr>
      <w:kern w:val="2"/>
      <w:sz w:val="21"/>
    </w:rPr>
  </w:style>
  <w:style w:type="paragraph" w:customStyle="1" w:styleId="2ff4">
    <w:name w:val="正文2"/>
    <w:basedOn w:val="a0"/>
    <w:qFormat/>
    <w:pPr>
      <w:adjustRightInd w:val="0"/>
      <w:snapToGrid w:val="0"/>
      <w:spacing w:line="500" w:lineRule="atLeast"/>
      <w:ind w:firstLine="567"/>
    </w:pPr>
    <w:rPr>
      <w:sz w:val="28"/>
      <w:szCs w:val="20"/>
    </w:rPr>
  </w:style>
  <w:style w:type="paragraph" w:customStyle="1" w:styleId="xl258">
    <w:name w:val="xl2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92">
    <w:name w:val="9"/>
    <w:basedOn w:val="af2"/>
    <w:next w:val="aff7"/>
    <w:uiPriority w:val="99"/>
    <w:pPr>
      <w:spacing w:after="120" w:line="240" w:lineRule="auto"/>
      <w:ind w:firstLineChars="100" w:firstLine="420"/>
      <w:jc w:val="both"/>
    </w:pPr>
    <w:rPr>
      <w:rFonts w:ascii="Calibri" w:hAnsi="Calibri"/>
    </w:rPr>
  </w:style>
  <w:style w:type="paragraph" w:customStyle="1" w:styleId="affffffffa">
    <w:name w:val="资质证书"/>
    <w:basedOn w:val="a0"/>
    <w:pPr>
      <w:spacing w:line="360" w:lineRule="auto"/>
      <w:jc w:val="center"/>
    </w:pPr>
    <w:rPr>
      <w:rFonts w:ascii="宋体" w:hAnsi="宋体"/>
      <w:b/>
      <w:color w:val="000000"/>
      <w:sz w:val="32"/>
      <w:szCs w:val="32"/>
    </w:rPr>
  </w:style>
  <w:style w:type="paragraph" w:customStyle="1" w:styleId="affffffffb">
    <w:name w:val="奉读大示，心折殊深。"/>
    <w:pPr>
      <w:widowControl w:val="0"/>
      <w:jc w:val="both"/>
    </w:pPr>
    <w:rPr>
      <w:kern w:val="2"/>
      <w:sz w:val="21"/>
    </w:rPr>
  </w:style>
  <w:style w:type="paragraph" w:customStyle="1" w:styleId="affffffffc">
    <w:name w:val="正文图"/>
    <w:basedOn w:val="a0"/>
    <w:pPr>
      <w:adjustRightInd w:val="0"/>
      <w:snapToGrid w:val="0"/>
      <w:spacing w:before="40"/>
      <w:jc w:val="center"/>
      <w:textAlignment w:val="baseline"/>
    </w:pPr>
    <w:rPr>
      <w:rFonts w:ascii="宋体"/>
      <w:kern w:val="0"/>
      <w:sz w:val="24"/>
      <w:szCs w:val="20"/>
    </w:rPr>
  </w:style>
  <w:style w:type="paragraph" w:customStyle="1" w:styleId="xl302">
    <w:name w:val="xl302"/>
    <w:basedOn w:val="a0"/>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居中正文"/>
    <w:basedOn w:val="1f5"/>
    <w:pPr>
      <w:adjustRightInd w:val="0"/>
      <w:spacing w:before="120" w:after="0" w:line="360" w:lineRule="auto"/>
      <w:ind w:firstLineChars="0" w:firstLine="0"/>
      <w:jc w:val="center"/>
      <w:textAlignment w:val="baseline"/>
    </w:pPr>
    <w:rPr>
      <w:rFonts w:ascii="宋体"/>
      <w:kern w:val="28"/>
      <w:sz w:val="24"/>
      <w:szCs w:val="20"/>
    </w:rPr>
  </w:style>
  <w:style w:type="paragraph" w:customStyle="1" w:styleId="CharChar1CharCharCharChar2">
    <w:name w:val="Char Char1 Char Char Char Char2"/>
    <w:basedOn w:val="a0"/>
    <w:qFormat/>
    <w:pPr>
      <w:spacing w:line="360" w:lineRule="auto"/>
    </w:pPr>
    <w:rPr>
      <w:rFonts w:ascii="宋体" w:hAnsi="宋体"/>
      <w:sz w:val="22"/>
    </w:rPr>
  </w:style>
  <w:style w:type="paragraph" w:customStyle="1" w:styleId="xl89">
    <w:name w:val="xl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9">
    <w:name w:val="xl129"/>
    <w:basedOn w:val="a0"/>
    <w:pPr>
      <w:widowControl/>
      <w:spacing w:before="100" w:beforeAutospacing="1" w:after="100" w:afterAutospacing="1"/>
      <w:jc w:val="left"/>
      <w:textAlignment w:val="bottom"/>
    </w:pPr>
    <w:rPr>
      <w:rFonts w:ascii="宋体" w:hAnsi="宋体" w:cs="宋体"/>
      <w:kern w:val="0"/>
      <w:sz w:val="24"/>
    </w:rPr>
  </w:style>
  <w:style w:type="paragraph" w:customStyle="1" w:styleId="Char50">
    <w:name w:val="Char5"/>
    <w:basedOn w:val="a0"/>
    <w:rPr>
      <w:szCs w:val="20"/>
    </w:rPr>
  </w:style>
  <w:style w:type="paragraph" w:customStyle="1" w:styleId="xl143">
    <w:name w:val="xl143"/>
    <w:basedOn w:val="a0"/>
    <w:qFormat/>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CharChar2CharCharCharCharCharCharCharCharCharChar">
    <w:name w:val="Char Char2 Char Char Char Char Char Char Char Char Char Char"/>
    <w:basedOn w:val="a0"/>
    <w:pPr>
      <w:spacing w:line="360" w:lineRule="auto"/>
    </w:pPr>
    <w:rPr>
      <w:rFonts w:ascii="宋体" w:hAnsi="宋体"/>
      <w:sz w:val="22"/>
    </w:rPr>
  </w:style>
  <w:style w:type="paragraph" w:customStyle="1" w:styleId="4f">
    <w:name w:val="标题 4 + 宋体"/>
    <w:basedOn w:val="3"/>
    <w:qFormat/>
    <w:pPr>
      <w:spacing w:before="120" w:after="120"/>
      <w:jc w:val="both"/>
    </w:pPr>
    <w:rPr>
      <w:rFonts w:ascii="宋体" w:eastAsia="宋体" w:hAnsi="宋体"/>
      <w:szCs w:val="2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szCs w:val="20"/>
    </w:rPr>
  </w:style>
  <w:style w:type="paragraph" w:customStyle="1" w:styleId="affffffffe">
    <w:name w:val="第四级标题"/>
    <w:basedOn w:val="a0"/>
    <w:next w:val="23"/>
    <w:qFormat/>
    <w:pPr>
      <w:tabs>
        <w:tab w:val="left" w:pos="1680"/>
      </w:tabs>
      <w:spacing w:line="360" w:lineRule="auto"/>
      <w:ind w:left="1680" w:hanging="420"/>
      <w:outlineLvl w:val="3"/>
    </w:pPr>
    <w:rPr>
      <w:sz w:val="24"/>
    </w:rPr>
  </w:style>
  <w:style w:type="paragraph" w:customStyle="1" w:styleId="CharChar1CharCharCharCharCharCharCharCharCharCharCharCharCharCharCharCharCharCharCharChar1Char1">
    <w:name w:val="Char Char1 Char Char Char Char Char Char Char Char Char Char Char Char Char Char Char Char Char Char Char Char1 Char1"/>
    <w:basedOn w:val="a0"/>
    <w:pPr>
      <w:spacing w:line="360" w:lineRule="auto"/>
      <w:ind w:firstLineChars="200" w:firstLine="200"/>
    </w:pPr>
    <w:rPr>
      <w:rFonts w:ascii="宋体" w:hAnsi="宋体" w:cs="宋体"/>
      <w:sz w:val="24"/>
    </w:rPr>
  </w:style>
  <w:style w:type="paragraph" w:customStyle="1" w:styleId="xl135">
    <w:name w:val="xl135"/>
    <w:basedOn w:val="a0"/>
    <w:qFormat/>
    <w:pPr>
      <w:widowControl/>
      <w:shd w:val="clear" w:color="000000" w:fill="FFFFFF"/>
      <w:spacing w:before="100" w:beforeAutospacing="1" w:after="100" w:afterAutospacing="1"/>
      <w:jc w:val="left"/>
    </w:pPr>
    <w:rPr>
      <w:rFonts w:ascii="宋体" w:hAnsi="宋体" w:cs="宋体"/>
      <w:color w:val="000000"/>
      <w:kern w:val="0"/>
      <w:sz w:val="24"/>
    </w:rPr>
  </w:style>
  <w:style w:type="paragraph" w:styleId="afffffffff">
    <w:name w:val="列出段落"/>
    <w:basedOn w:val="a0"/>
    <w:link w:val="Charfff4"/>
    <w:uiPriority w:val="34"/>
    <w:qFormat/>
    <w:pPr>
      <w:ind w:firstLineChars="200" w:firstLine="420"/>
    </w:pPr>
    <w:rPr>
      <w:rFonts w:ascii="Calibri" w:hAnsi="Calibri"/>
      <w:szCs w:val="22"/>
      <w:lang w:val="x-none" w:eastAsia="x-none"/>
    </w:rPr>
  </w:style>
  <w:style w:type="character" w:customStyle="1" w:styleId="Charfff4">
    <w:name w:val="列出段落 Char"/>
    <w:link w:val="afffffffff"/>
    <w:uiPriority w:val="34"/>
    <w:qFormat/>
    <w:locked/>
    <w:rPr>
      <w:rFonts w:ascii="Calibri" w:hAnsi="Calibri"/>
      <w:kern w:val="2"/>
      <w:sz w:val="21"/>
      <w:szCs w:val="22"/>
    </w:rPr>
  </w:style>
  <w:style w:type="paragraph" w:customStyle="1" w:styleId="2ff5">
    <w:name w:val="建设单位名称2"/>
    <w:basedOn w:val="a0"/>
    <w:qFormat/>
    <w:pPr>
      <w:spacing w:beforeLines="100" w:before="100" w:line="360" w:lineRule="auto"/>
      <w:jc w:val="center"/>
    </w:pPr>
    <w:rPr>
      <w:b/>
      <w:sz w:val="32"/>
      <w:szCs w:val="28"/>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0"/>
  </w:style>
  <w:style w:type="paragraph" w:customStyle="1" w:styleId="1ff9">
    <w:name w:val="表格文字1"/>
    <w:basedOn w:val="a0"/>
    <w:qFormat/>
    <w:pPr>
      <w:snapToGrid w:val="0"/>
      <w:spacing w:line="380" w:lineRule="exact"/>
      <w:jc w:val="center"/>
    </w:pPr>
    <w:rPr>
      <w:snapToGrid w:val="0"/>
      <w:spacing w:val="10"/>
      <w:kern w:val="21"/>
      <w:szCs w:val="20"/>
    </w:rPr>
  </w:style>
  <w:style w:type="paragraph" w:customStyle="1" w:styleId="CharChar1CharCharCharCharCharCharCharCharCharCharCharCharCharCharCharCharCharCharCharChar1Char2">
    <w:name w:val="Char Char1 Char Char Char Char Char Char Char Char Char Char Char Char Char Char Char Char Char Char Char Char1 Char2"/>
    <w:basedOn w:val="a0"/>
    <w:pPr>
      <w:spacing w:line="360" w:lineRule="auto"/>
      <w:ind w:firstLineChars="200" w:firstLine="200"/>
    </w:pPr>
    <w:rPr>
      <w:rFonts w:ascii="宋体" w:hAnsi="宋体"/>
      <w:sz w:val="24"/>
      <w:szCs w:val="20"/>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Char1CharCharCharChar1CharCharChar2">
    <w:name w:val="Char Char1 Char Char Char Char1 Char Char Char2"/>
    <w:basedOn w:val="a0"/>
    <w:qFormat/>
    <w:pPr>
      <w:spacing w:line="360" w:lineRule="auto"/>
    </w:pPr>
    <w:rPr>
      <w:rFonts w:ascii="宋体" w:hAnsi="宋体"/>
      <w:sz w:val="22"/>
    </w:rPr>
  </w:style>
  <w:style w:type="paragraph" w:customStyle="1" w:styleId="1ffa">
    <w:name w:val="评价项目名称1"/>
    <w:basedOn w:val="1ffb"/>
    <w:pPr>
      <w:spacing w:beforeLines="0"/>
    </w:pPr>
  </w:style>
  <w:style w:type="paragraph" w:customStyle="1" w:styleId="1ffb">
    <w:name w:val="委托单位名称1"/>
    <w:basedOn w:val="a0"/>
    <w:next w:val="a0"/>
    <w:qFormat/>
    <w:pPr>
      <w:spacing w:beforeLines="200" w:line="360" w:lineRule="auto"/>
      <w:jc w:val="center"/>
    </w:pPr>
    <w:rPr>
      <w:b/>
      <w:sz w:val="44"/>
      <w:szCs w:val="28"/>
    </w:rPr>
  </w:style>
  <w:style w:type="paragraph" w:customStyle="1" w:styleId="xl278">
    <w:name w:val="xl2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44">
    <w:name w:val="xl2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6">
    <w:name w:val="xl14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ffffffff0">
    <w:name w:val="文章正文"/>
    <w:basedOn w:val="a0"/>
    <w:qFormat/>
    <w:pPr>
      <w:spacing w:line="360" w:lineRule="auto"/>
      <w:ind w:firstLineChars="200" w:firstLine="200"/>
    </w:pPr>
    <w:rPr>
      <w:rFonts w:ascii="Arial" w:hAnsi="Arial"/>
      <w:sz w:val="28"/>
      <w:szCs w:val="28"/>
    </w:rPr>
  </w:style>
  <w:style w:type="paragraph" w:customStyle="1" w:styleId="xl103">
    <w:name w:val="xl10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3Char20">
    <w:name w:val="样式 标题 3 Char + 宋体 首行缩进:  2 字符"/>
    <w:basedOn w:val="3"/>
    <w:qFormat/>
    <w:pPr>
      <w:ind w:firstLineChars="200" w:firstLine="562"/>
      <w:jc w:val="both"/>
    </w:pPr>
    <w:rPr>
      <w:rFonts w:ascii="宋体" w:eastAsia="宋体" w:hAnsi="宋体" w:cs="宋体"/>
      <w:sz w:val="28"/>
      <w:szCs w:val="20"/>
    </w:rPr>
  </w:style>
  <w:style w:type="paragraph" w:customStyle="1" w:styleId="CM94">
    <w:name w:val="CM94"/>
    <w:basedOn w:val="Default"/>
    <w:next w:val="Default"/>
    <w:pPr>
      <w:spacing w:after="533"/>
    </w:pPr>
    <w:rPr>
      <w:rFonts w:ascii="仿宋_GB2312" w:eastAsia="仿宋_GB2312"/>
    </w:rPr>
  </w:style>
  <w:style w:type="paragraph" w:customStyle="1" w:styleId="1ffc">
    <w:name w:val="列出段落1"/>
    <w:basedOn w:val="a0"/>
    <w:link w:val="1ffd"/>
    <w:qFormat/>
    <w:pPr>
      <w:widowControl/>
      <w:spacing w:line="240" w:lineRule="atLeast"/>
      <w:ind w:firstLineChars="200" w:firstLine="420"/>
      <w:jc w:val="left"/>
    </w:pPr>
    <w:rPr>
      <w:rFonts w:eastAsia="仿宋"/>
      <w:kern w:val="0"/>
      <w:sz w:val="28"/>
      <w:szCs w:val="22"/>
      <w:lang w:val="x-none" w:eastAsia="en-US"/>
    </w:rPr>
  </w:style>
  <w:style w:type="character" w:customStyle="1" w:styleId="1ffd">
    <w:name w:val="列表段落 字符1"/>
    <w:link w:val="1ffc"/>
    <w:qFormat/>
    <w:locked/>
    <w:rPr>
      <w:rFonts w:eastAsia="仿宋"/>
      <w:sz w:val="28"/>
      <w:szCs w:val="22"/>
      <w:lang w:eastAsia="en-US"/>
    </w:rPr>
  </w:style>
  <w:style w:type="paragraph" w:customStyle="1" w:styleId="2ff6">
    <w:name w:val="2级标题"/>
    <w:basedOn w:val="a0"/>
    <w:pPr>
      <w:tabs>
        <w:tab w:val="left" w:pos="840"/>
      </w:tabs>
      <w:spacing w:line="360" w:lineRule="auto"/>
      <w:ind w:left="840" w:hanging="420"/>
      <w:jc w:val="center"/>
      <w:outlineLvl w:val="1"/>
    </w:pPr>
    <w:rPr>
      <w:rFonts w:ascii="Arial" w:eastAsia="楷体_GB2312" w:hAnsi="Arial"/>
      <w:sz w:val="32"/>
      <w:szCs w:val="32"/>
    </w:rPr>
  </w:style>
  <w:style w:type="paragraph" w:customStyle="1" w:styleId="myChar">
    <w:name w:val="my Char"/>
    <w:qFormat/>
    <w:pPr>
      <w:widowControl w:val="0"/>
      <w:spacing w:before="60" w:line="460" w:lineRule="exact"/>
      <w:ind w:firstLineChars="200" w:firstLine="200"/>
    </w:pPr>
    <w:rPr>
      <w:sz w:val="24"/>
      <w:szCs w:val="24"/>
    </w:rPr>
  </w:style>
  <w:style w:type="paragraph" w:customStyle="1" w:styleId="CharCharCharCharCharCharCharCharCharCharCharCharChar">
    <w:name w:val="Char Char Char Char Char Char Char Char Char Char Char Char Char"/>
    <w:basedOn w:val="a0"/>
    <w:pPr>
      <w:tabs>
        <w:tab w:val="left" w:pos="432"/>
      </w:tabs>
      <w:ind w:left="432" w:hanging="432"/>
    </w:pPr>
    <w:rPr>
      <w:rFonts w:ascii="Tahoma" w:hAnsi="Tahoma"/>
      <w:sz w:val="24"/>
      <w:szCs w:val="20"/>
    </w:rPr>
  </w:style>
  <w:style w:type="paragraph" w:customStyle="1" w:styleId="CharChar2CharCharCharCharCharCharChar1">
    <w:name w:val="Char Char2 Char Char Char Char Char Char Char1"/>
    <w:basedOn w:val="a0"/>
    <w:qFormat/>
    <w:pPr>
      <w:spacing w:line="360" w:lineRule="auto"/>
    </w:pPr>
    <w:rPr>
      <w:rFonts w:ascii="宋体" w:hAnsi="宋体"/>
      <w:sz w:val="22"/>
    </w:rPr>
  </w:style>
  <w:style w:type="paragraph" w:customStyle="1" w:styleId="xl292">
    <w:name w:val="xl292"/>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Charfff5">
    <w:name w:val="Char"/>
    <w:basedOn w:val="a0"/>
    <w:qFormat/>
    <w:rPr>
      <w:rFonts w:ascii="Tahoma" w:hAnsi="Tahoma"/>
      <w:sz w:val="24"/>
      <w:szCs w:val="20"/>
    </w:rPr>
  </w:style>
  <w:style w:type="paragraph" w:customStyle="1" w:styleId="xl275">
    <w:name w:val="xl2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Char1e">
    <w:name w:val="Char1"/>
    <w:basedOn w:val="a0"/>
    <w:pPr>
      <w:tabs>
        <w:tab w:val="left" w:pos="4665"/>
        <w:tab w:val="left" w:pos="8970"/>
      </w:tabs>
      <w:ind w:firstLine="400"/>
    </w:pPr>
    <w:rPr>
      <w:rFonts w:ascii="Tahoma" w:hAnsi="Tahoma"/>
      <w:sz w:val="24"/>
      <w:szCs w:val="20"/>
    </w:rPr>
  </w:style>
  <w:style w:type="paragraph" w:customStyle="1" w:styleId="afffffffff1">
    <w:name w:val="悬挂式正文"/>
    <w:basedOn w:val="a0"/>
    <w:pPr>
      <w:tabs>
        <w:tab w:val="center" w:pos="6804"/>
        <w:tab w:val="right" w:pos="7371"/>
      </w:tabs>
      <w:overflowPunct w:val="0"/>
      <w:adjustRightInd w:val="0"/>
      <w:spacing w:line="360" w:lineRule="auto"/>
      <w:ind w:left="1701" w:hanging="1134"/>
      <w:textAlignment w:val="baseline"/>
    </w:pPr>
    <w:rPr>
      <w:kern w:val="0"/>
      <w:sz w:val="28"/>
      <w:szCs w:val="20"/>
    </w:rPr>
  </w:style>
  <w:style w:type="paragraph" w:customStyle="1" w:styleId="xl276">
    <w:name w:val="xl276"/>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98">
    <w:name w:val="xl98"/>
    <w:basedOn w:val="a0"/>
    <w:qFormat/>
    <w:pPr>
      <w:widowControl/>
      <w:spacing w:before="100" w:beforeAutospacing="1" w:after="100" w:afterAutospacing="1"/>
      <w:jc w:val="center"/>
    </w:pPr>
    <w:rPr>
      <w:rFonts w:ascii="宋体" w:hAnsi="宋体" w:cs="宋体"/>
      <w:kern w:val="0"/>
      <w:sz w:val="20"/>
      <w:szCs w:val="20"/>
    </w:rPr>
  </w:style>
  <w:style w:type="paragraph" w:customStyle="1" w:styleId="afffffffff2">
    <w:name w:val="样式 题注 + 小四"/>
    <w:basedOn w:val="aa"/>
    <w:qFormat/>
    <w:pPr>
      <w:keepNext/>
      <w:tabs>
        <w:tab w:val="left" w:pos="1727"/>
        <w:tab w:val="left" w:pos="1884"/>
      </w:tabs>
      <w:spacing w:line="360" w:lineRule="auto"/>
    </w:pPr>
    <w:rPr>
      <w:rFonts w:ascii="Times New Roman" w:hAnsi="Times New Roman" w:hint="eastAsia"/>
      <w:sz w:val="24"/>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b/>
      <w:kern w:val="0"/>
      <w:sz w:val="24"/>
      <w:szCs w:val="20"/>
    </w:rPr>
  </w:style>
  <w:style w:type="paragraph" w:customStyle="1" w:styleId="xl283">
    <w:name w:val="xl2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3">
    <w:name w:val="表格后文"/>
    <w:basedOn w:val="01"/>
    <w:qFormat/>
    <w:pPr>
      <w:spacing w:before="300"/>
    </w:pPr>
    <w:rPr>
      <w:szCs w:val="20"/>
    </w:rPr>
  </w:style>
  <w:style w:type="paragraph" w:customStyle="1" w:styleId="CharCharCharChar">
    <w:name w:val="Char Char Char Char"/>
    <w:basedOn w:val="a0"/>
    <w:pPr>
      <w:spacing w:line="360" w:lineRule="auto"/>
      <w:ind w:firstLineChars="200" w:firstLine="200"/>
    </w:pPr>
    <w:rPr>
      <w:rFonts w:ascii="宋体" w:hAnsi="宋体" w:cs="宋体"/>
      <w:sz w:val="24"/>
    </w:rPr>
  </w:style>
  <w:style w:type="paragraph" w:customStyle="1" w:styleId="xl60">
    <w:name w:val="xl60"/>
    <w:basedOn w:val="a0"/>
    <w:pPr>
      <w:widowControl/>
      <w:pBdr>
        <w:left w:val="single" w:sz="8" w:space="0" w:color="auto"/>
        <w:right w:val="single" w:sz="4" w:space="0" w:color="auto"/>
      </w:pBdr>
      <w:spacing w:before="100" w:after="100"/>
      <w:jc w:val="center"/>
      <w:textAlignment w:val="top"/>
    </w:pPr>
    <w:rPr>
      <w:kern w:val="0"/>
      <w:sz w:val="24"/>
    </w:rPr>
  </w:style>
  <w:style w:type="paragraph" w:customStyle="1" w:styleId="CharCharCharCharCharCharCharCharChar2">
    <w:name w:val="Char Char Char Char Char Char Char Char Char2"/>
    <w:basedOn w:val="a0"/>
    <w:qFormat/>
    <w:pPr>
      <w:spacing w:line="360" w:lineRule="auto"/>
    </w:pPr>
    <w:rPr>
      <w:rFonts w:ascii="宋体" w:hAnsi="宋体"/>
      <w:sz w:val="22"/>
    </w:rPr>
  </w:style>
  <w:style w:type="paragraph" w:customStyle="1" w:styleId="xl148">
    <w:name w:val="xl148"/>
    <w:basedOn w:val="a0"/>
    <w:pPr>
      <w:widowControl/>
      <w:shd w:val="clear" w:color="000000" w:fill="00B050"/>
      <w:spacing w:before="100" w:beforeAutospacing="1" w:after="100" w:afterAutospacing="1"/>
      <w:jc w:val="left"/>
    </w:pPr>
    <w:rPr>
      <w:rFonts w:ascii="宋体" w:hAnsi="宋体" w:cs="宋体"/>
      <w:kern w:val="0"/>
      <w:sz w:val="20"/>
      <w:szCs w:val="20"/>
    </w:rPr>
  </w:style>
  <w:style w:type="paragraph" w:customStyle="1" w:styleId="xl37">
    <w:name w:val="xl37"/>
    <w:basedOn w:val="a0"/>
    <w:qFormat/>
    <w:pPr>
      <w:widowControl/>
      <w:pBdr>
        <w:top w:val="single" w:sz="4" w:space="0" w:color="auto"/>
        <w:right w:val="single" w:sz="4" w:space="0" w:color="auto"/>
      </w:pBdr>
      <w:spacing w:before="100" w:beforeAutospacing="1" w:after="100" w:afterAutospacing="1"/>
      <w:jc w:val="center"/>
    </w:pPr>
    <w:rPr>
      <w:rFonts w:ascii="Arial Unicode MS" w:hAnsi="Arial Unicode MS"/>
      <w:kern w:val="0"/>
      <w:sz w:val="32"/>
      <w:szCs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kern w:val="0"/>
      <w:sz w:val="32"/>
      <w:szCs w:val="20"/>
    </w:rPr>
  </w:style>
  <w:style w:type="paragraph" w:customStyle="1" w:styleId="kkk">
    <w:name w:val="kkk"/>
    <w:basedOn w:val="a0"/>
    <w:qFormat/>
    <w:pPr>
      <w:widowControl/>
      <w:tabs>
        <w:tab w:val="left" w:pos="360"/>
      </w:tabs>
      <w:spacing w:line="360" w:lineRule="auto"/>
      <w:ind w:left="245" w:hanging="245"/>
    </w:pPr>
    <w:rPr>
      <w:rFonts w:ascii="宋体"/>
      <w:spacing w:val="16"/>
      <w:sz w:val="24"/>
      <w:szCs w:val="20"/>
    </w:rPr>
  </w:style>
  <w:style w:type="paragraph" w:customStyle="1" w:styleId="xl295">
    <w:name w:val="xl29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74">
    <w:name w:val="xl2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33">
    <w:name w:val="xl133"/>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20"/>
      <w:szCs w:val="20"/>
    </w:rPr>
  </w:style>
  <w:style w:type="paragraph" w:customStyle="1" w:styleId="8-10">
    <w:name w:val="表8-1居中"/>
    <w:basedOn w:val="8-1"/>
    <w:qFormat/>
    <w:pPr>
      <w:tabs>
        <w:tab w:val="left" w:pos="1490"/>
      </w:tabs>
      <w:spacing w:before="156" w:after="156"/>
      <w:ind w:left="902" w:hanging="132"/>
    </w:pPr>
  </w:style>
  <w:style w:type="paragraph" w:customStyle="1" w:styleId="Char2CharChar">
    <w:name w:val="Char2 Char Char"/>
    <w:basedOn w:val="a0"/>
    <w:qFormat/>
    <w:rPr>
      <w:rFonts w:ascii="宋体" w:hAnsi="宋体" w:cs="Courier New"/>
      <w:sz w:val="32"/>
      <w:szCs w:val="32"/>
    </w:rPr>
  </w:style>
  <w:style w:type="paragraph" w:customStyle="1" w:styleId="xl39">
    <w:name w:val="xl3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T">
    <w:name w:val="T正文"/>
    <w:qFormat/>
    <w:pPr>
      <w:widowControl w:val="0"/>
      <w:adjustRightInd w:val="0"/>
      <w:snapToGrid w:val="0"/>
      <w:spacing w:line="360" w:lineRule="auto"/>
      <w:ind w:firstLineChars="200" w:firstLine="200"/>
      <w:jc w:val="both"/>
    </w:pPr>
    <w:rPr>
      <w:rFonts w:eastAsia="仿宋_GB2312"/>
      <w:sz w:val="28"/>
    </w:rPr>
  </w:style>
  <w:style w:type="paragraph" w:customStyle="1" w:styleId="812">
    <w:name w:val="目录 81"/>
    <w:basedOn w:val="a0"/>
    <w:next w:val="a0"/>
    <w:uiPriority w:val="39"/>
    <w:pPr>
      <w:ind w:left="1470"/>
      <w:jc w:val="left"/>
    </w:pPr>
    <w:rPr>
      <w:sz w:val="18"/>
      <w:szCs w:val="18"/>
    </w:rPr>
  </w:style>
  <w:style w:type="paragraph" w:customStyle="1" w:styleId="xl115">
    <w:name w:val="xl115"/>
    <w:basedOn w:val="a0"/>
    <w:qFormat/>
    <w:pPr>
      <w:widowControl/>
      <w:spacing w:before="100" w:beforeAutospacing="1" w:after="100" w:afterAutospacing="1"/>
      <w:jc w:val="left"/>
    </w:pPr>
    <w:rPr>
      <w:rFonts w:ascii="宋体" w:hAnsi="宋体" w:cs="宋体"/>
      <w:kern w:val="0"/>
      <w:sz w:val="18"/>
      <w:szCs w:val="18"/>
    </w:rPr>
  </w:style>
  <w:style w:type="paragraph" w:customStyle="1" w:styleId="xl33">
    <w:name w:val="xl33"/>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CharCharChar11">
    <w:name w:val="Char Char Char Char Char11"/>
    <w:basedOn w:val="a0"/>
    <w:qFormat/>
    <w:pPr>
      <w:spacing w:line="360" w:lineRule="auto"/>
    </w:pPr>
    <w:rPr>
      <w:rFonts w:ascii="宋体" w:hAnsi="宋体"/>
      <w:sz w:val="22"/>
    </w:rPr>
  </w:style>
  <w:style w:type="paragraph" w:customStyle="1" w:styleId="cm33">
    <w:name w:val="cm33"/>
    <w:basedOn w:val="a0"/>
    <w:qFormat/>
    <w:pPr>
      <w:widowControl/>
      <w:spacing w:before="100" w:beforeAutospacing="1" w:after="100" w:afterAutospacing="1"/>
      <w:jc w:val="left"/>
    </w:pPr>
    <w:rPr>
      <w:rFonts w:ascii="宋体" w:hAnsi="宋体" w:cs="宋体"/>
      <w:kern w:val="0"/>
      <w:sz w:val="24"/>
    </w:rPr>
  </w:style>
  <w:style w:type="paragraph" w:customStyle="1" w:styleId="afffffffff4">
    <w:name w:val="正文 + 小四"/>
    <w:basedOn w:val="a0"/>
    <w:qFormat/>
    <w:pPr>
      <w:spacing w:line="460" w:lineRule="exact"/>
      <w:ind w:firstLine="480"/>
    </w:pPr>
    <w:rPr>
      <w:sz w:val="24"/>
      <w:szCs w:val="20"/>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243">
    <w:name w:val="xl24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4">
    <w:name w:val="xl9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1CharCharCharCharCharChar">
    <w:name w:val="Char1 Char Char Char Char Char Char"/>
    <w:basedOn w:val="a0"/>
    <w:rPr>
      <w:sz w:val="24"/>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0"/>
    <w:pPr>
      <w:spacing w:line="360" w:lineRule="auto"/>
      <w:ind w:firstLineChars="200" w:firstLine="200"/>
    </w:pPr>
    <w:rPr>
      <w:rFonts w:ascii="宋体" w:hAnsi="宋体" w:cs="宋体"/>
      <w:sz w:val="24"/>
    </w:rPr>
  </w:style>
  <w:style w:type="paragraph" w:customStyle="1" w:styleId="xl282">
    <w:name w:val="xl282"/>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CharCharChar1Char1">
    <w:name w:val="Char Char Char1 Char1"/>
    <w:basedOn w:val="a0"/>
    <w:qFormat/>
    <w:pPr>
      <w:widowControl/>
      <w:spacing w:after="160" w:line="240" w:lineRule="exact"/>
      <w:jc w:val="left"/>
    </w:pPr>
    <w:rPr>
      <w:rFonts w:ascii="Arial" w:eastAsia="Times New Roman" w:hAnsi="Arial" w:cs="Verdana"/>
      <w:b/>
      <w:kern w:val="0"/>
      <w:sz w:val="24"/>
      <w:lang w:eastAsia="en-US"/>
    </w:rPr>
  </w:style>
  <w:style w:type="paragraph" w:customStyle="1" w:styleId="Char1CharCharChar1">
    <w:name w:val="Char1 Char Char Char1"/>
    <w:basedOn w:val="a0"/>
    <w:qFormat/>
  </w:style>
  <w:style w:type="paragraph" w:customStyle="1" w:styleId="MTDisplayEquation">
    <w:name w:val="MTDisplayEquation"/>
    <w:basedOn w:val="a0"/>
    <w:next w:val="a0"/>
    <w:pPr>
      <w:tabs>
        <w:tab w:val="center" w:pos="4480"/>
        <w:tab w:val="right" w:pos="8960"/>
      </w:tabs>
      <w:spacing w:line="360" w:lineRule="auto"/>
      <w:ind w:firstLineChars="200" w:firstLine="560"/>
    </w:pPr>
    <w:rPr>
      <w:rFonts w:ascii="宋体" w:hAnsi="宋体"/>
      <w:sz w:val="28"/>
    </w:rPr>
  </w:style>
  <w:style w:type="paragraph" w:customStyle="1" w:styleId="xl265">
    <w:name w:val="xl2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151">
    <w:name w:val="样式 正文缩进 + 宋体 首行缩进:  2 字符 行距: 1.5 倍行距"/>
    <w:basedOn w:val="a9"/>
    <w:qFormat/>
    <w:pPr>
      <w:adjustRightInd w:val="0"/>
      <w:spacing w:line="300" w:lineRule="auto"/>
      <w:ind w:firstLineChars="200" w:firstLine="200"/>
      <w:textAlignment w:val="baseline"/>
    </w:pPr>
    <w:rPr>
      <w:rFonts w:hAnsi="宋体"/>
      <w:kern w:val="2"/>
    </w:rPr>
  </w:style>
  <w:style w:type="paragraph" w:customStyle="1" w:styleId="font5">
    <w:name w:val="font5"/>
    <w:basedOn w:val="a0"/>
    <w:qFormat/>
    <w:pPr>
      <w:widowControl/>
      <w:spacing w:before="100" w:beforeAutospacing="1" w:after="100" w:afterAutospacing="1"/>
      <w:jc w:val="left"/>
    </w:pPr>
    <w:rPr>
      <w:rFonts w:ascii="宋体" w:hAnsi="宋体" w:hint="eastAsia"/>
      <w:kern w:val="0"/>
      <w:sz w:val="18"/>
      <w:szCs w:val="18"/>
    </w:rPr>
  </w:style>
  <w:style w:type="paragraph" w:customStyle="1" w:styleId="2ff7">
    <w:name w:val="样式2"/>
    <w:basedOn w:val="a0"/>
    <w:link w:val="2Charb"/>
    <w:qFormat/>
    <w:pPr>
      <w:snapToGrid w:val="0"/>
      <w:spacing w:before="120" w:after="120" w:line="360" w:lineRule="auto"/>
      <w:ind w:firstLine="567"/>
    </w:pPr>
    <w:rPr>
      <w:b/>
      <w:sz w:val="28"/>
      <w:szCs w:val="20"/>
      <w:lang w:val="x-none" w:eastAsia="x-none"/>
    </w:rPr>
  </w:style>
  <w:style w:type="character" w:customStyle="1" w:styleId="2Charb">
    <w:name w:val="样式2 Char"/>
    <w:link w:val="2ff7"/>
    <w:qFormat/>
    <w:rPr>
      <w:b/>
      <w:kern w:val="2"/>
      <w:sz w:val="28"/>
    </w:rPr>
  </w:style>
  <w:style w:type="paragraph" w:customStyle="1" w:styleId="Char2CharCharCharCharChar1Char2">
    <w:name w:val="Char2 Char Char Char Char Char1 Char2"/>
    <w:basedOn w:val="a0"/>
    <w:qFormat/>
    <w:pPr>
      <w:widowControl/>
      <w:spacing w:after="160" w:line="240" w:lineRule="exact"/>
      <w:jc w:val="left"/>
    </w:pPr>
    <w:rPr>
      <w:rFonts w:ascii="Verdana" w:hAnsi="Verdana" w:cs="Verdana"/>
      <w:kern w:val="0"/>
      <w:sz w:val="20"/>
      <w:szCs w:val="20"/>
      <w:lang w:eastAsia="en-US"/>
    </w:rPr>
  </w:style>
  <w:style w:type="paragraph" w:customStyle="1" w:styleId="1ffe">
    <w:name w:val="表文1"/>
    <w:basedOn w:val="a0"/>
    <w:pPr>
      <w:spacing w:beforeLines="50" w:before="156" w:afterLines="50" w:after="156" w:line="360" w:lineRule="auto"/>
    </w:pPr>
    <w:rPr>
      <w:rFonts w:ascii="宋体" w:hAnsi="宋体"/>
      <w:szCs w:val="20"/>
    </w:rPr>
  </w:style>
  <w:style w:type="paragraph" w:customStyle="1" w:styleId="my">
    <w:name w:val="正文my"/>
    <w:basedOn w:val="af3"/>
    <w:pPr>
      <w:spacing w:before="60" w:line="460" w:lineRule="exact"/>
      <w:ind w:firstLineChars="200" w:firstLine="200"/>
    </w:pPr>
    <w:rPr>
      <w:rFonts w:eastAsia="宋体"/>
      <w:snapToGrid/>
      <w:kern w:val="2"/>
      <w:sz w:val="24"/>
      <w:szCs w:val="24"/>
    </w:rPr>
  </w:style>
  <w:style w:type="paragraph" w:customStyle="1" w:styleId="315">
    <w:name w:val="目录 31"/>
    <w:basedOn w:val="a0"/>
    <w:next w:val="a0"/>
    <w:uiPriority w:val="1"/>
    <w:qFormat/>
    <w:pPr>
      <w:ind w:left="420"/>
      <w:jc w:val="left"/>
    </w:pPr>
    <w:rPr>
      <w:i/>
      <w:iCs/>
      <w:sz w:val="20"/>
      <w:szCs w:val="20"/>
    </w:rPr>
  </w:style>
  <w:style w:type="paragraph" w:customStyle="1" w:styleId="Char2CharChar1">
    <w:name w:val="Char2 Char Char1"/>
    <w:basedOn w:val="a0"/>
    <w:rPr>
      <w:rFonts w:ascii="宋体" w:hAnsi="宋体" w:cs="Courier New"/>
      <w:sz w:val="32"/>
      <w:szCs w:val="32"/>
    </w:rPr>
  </w:style>
  <w:style w:type="paragraph" w:customStyle="1" w:styleId="1010">
    <w:name w:val="表10－1"/>
    <w:basedOn w:val="150"/>
    <w:pPr>
      <w:tabs>
        <w:tab w:val="left" w:pos="1490"/>
      </w:tabs>
      <w:spacing w:line="360" w:lineRule="auto"/>
      <w:ind w:left="902" w:hanging="132"/>
    </w:pPr>
  </w:style>
  <w:style w:type="paragraph" w:customStyle="1" w:styleId="xl137">
    <w:name w:val="xl137"/>
    <w:basedOn w:val="a0"/>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pPr>
    <w:rPr>
      <w:rFonts w:ascii="宋体" w:hAnsi="宋体" w:cs="宋体"/>
      <w:kern w:val="0"/>
      <w:sz w:val="18"/>
      <w:szCs w:val="18"/>
    </w:rPr>
  </w:style>
  <w:style w:type="paragraph" w:customStyle="1" w:styleId="3f7">
    <w:name w:val="标题3"/>
    <w:basedOn w:val="3"/>
    <w:next w:val="a0"/>
    <w:link w:val="3Char4"/>
    <w:qFormat/>
    <w:pPr>
      <w:keepNext w:val="0"/>
      <w:keepLines w:val="0"/>
      <w:spacing w:line="240" w:lineRule="auto"/>
      <w:jc w:val="center"/>
      <w:outlineLvl w:val="9"/>
    </w:pPr>
    <w:rPr>
      <w:rFonts w:ascii="宋体" w:eastAsia="宋体" w:hAnsi="宋体"/>
      <w:b w:val="0"/>
      <w:bCs w:val="0"/>
      <w:color w:val="000000"/>
      <w:sz w:val="21"/>
      <w:szCs w:val="21"/>
      <w:lang w:val="x-none" w:eastAsia="x-none"/>
    </w:rPr>
  </w:style>
  <w:style w:type="character" w:customStyle="1" w:styleId="3Char4">
    <w:name w:val="标题3 Char"/>
    <w:link w:val="3f7"/>
    <w:rPr>
      <w:rFonts w:ascii="宋体" w:hAnsi="宋体"/>
      <w:color w:val="000000"/>
      <w:kern w:val="2"/>
      <w:sz w:val="21"/>
      <w:szCs w:val="21"/>
    </w:rPr>
  </w:style>
  <w:style w:type="paragraph" w:customStyle="1" w:styleId="xl80">
    <w:name w:val="xl80"/>
    <w:basedOn w:val="a0"/>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9">
    <w:name w:val="font9"/>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xl138">
    <w:name w:val="xl138"/>
    <w:basedOn w:val="a0"/>
    <w:pPr>
      <w:widowControl/>
      <w:pBdr>
        <w:top w:val="single" w:sz="4" w:space="0" w:color="auto"/>
        <w:left w:val="single" w:sz="4" w:space="0" w:color="auto"/>
        <w:right w:val="single" w:sz="4" w:space="0" w:color="auto"/>
      </w:pBdr>
      <w:shd w:val="clear" w:color="000000" w:fill="00B050"/>
      <w:spacing w:before="100" w:beforeAutospacing="1" w:after="100" w:afterAutospacing="1"/>
      <w:jc w:val="left"/>
    </w:pPr>
    <w:rPr>
      <w:rFonts w:ascii="宋体" w:hAnsi="宋体" w:cs="宋体"/>
      <w:kern w:val="0"/>
      <w:sz w:val="18"/>
      <w:szCs w:val="18"/>
    </w:rPr>
  </w:style>
  <w:style w:type="paragraph" w:customStyle="1" w:styleId="afffffffff5">
    <w:name w:val="表中文字"/>
    <w:basedOn w:val="a0"/>
    <w:qFormat/>
    <w:pPr>
      <w:spacing w:before="60" w:after="60" w:line="360" w:lineRule="auto"/>
    </w:pPr>
    <w:rPr>
      <w:sz w:val="24"/>
      <w:szCs w:val="20"/>
    </w:rPr>
  </w:style>
  <w:style w:type="paragraph" w:customStyle="1" w:styleId="xl285">
    <w:name w:val="xl2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afffffffff6">
    <w:name w:val="基准页眉样式"/>
    <w:basedOn w:val="af2"/>
    <w:pPr>
      <w:spacing w:line="280" w:lineRule="exact"/>
    </w:pPr>
    <w:rPr>
      <w:rFonts w:ascii="宋体" w:hAnsi="宋体"/>
      <w:szCs w:val="21"/>
    </w:rPr>
  </w:style>
  <w:style w:type="paragraph" w:customStyle="1" w:styleId="xl127">
    <w:name w:val="xl12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0">
    <w:name w:val="p0"/>
    <w:basedOn w:val="a0"/>
    <w:qFormat/>
    <w:pPr>
      <w:widowControl/>
    </w:pPr>
    <w:rPr>
      <w:kern w:val="0"/>
      <w:szCs w:val="21"/>
    </w:rPr>
  </w:style>
  <w:style w:type="paragraph" w:customStyle="1" w:styleId="xl259">
    <w:name w:val="xl25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f">
    <w:name w:val="日期1"/>
    <w:basedOn w:val="a0"/>
    <w:qFormat/>
    <w:pPr>
      <w:spacing w:line="360" w:lineRule="auto"/>
      <w:jc w:val="center"/>
    </w:pPr>
    <w:rPr>
      <w:b/>
      <w:sz w:val="32"/>
      <w:szCs w:val="28"/>
    </w:rPr>
  </w:style>
  <w:style w:type="paragraph" w:customStyle="1" w:styleId="xl100">
    <w:name w:val="xl10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74">
    <w:name w:val="7"/>
    <w:basedOn w:val="a0"/>
    <w:next w:val="af6"/>
    <w:link w:val="7CharChar"/>
    <w:qFormat/>
    <w:rPr>
      <w:rFonts w:ascii="宋体" w:hAnsi="Courier New"/>
      <w:szCs w:val="20"/>
      <w:lang w:val="x-none" w:eastAsia="x-none"/>
    </w:rPr>
  </w:style>
  <w:style w:type="character" w:customStyle="1" w:styleId="7CharChar">
    <w:name w:val="7 Char Char"/>
    <w:link w:val="74"/>
    <w:rPr>
      <w:rFonts w:ascii="宋体" w:hAnsi="Courier New"/>
      <w:kern w:val="2"/>
      <w:sz w:val="21"/>
    </w:rPr>
  </w:style>
  <w:style w:type="paragraph" w:customStyle="1" w:styleId="font13">
    <w:name w:val="font13"/>
    <w:basedOn w:val="a0"/>
    <w:qFormat/>
    <w:pPr>
      <w:widowControl/>
      <w:spacing w:before="100" w:beforeAutospacing="1" w:after="100" w:afterAutospacing="1"/>
      <w:jc w:val="left"/>
    </w:pPr>
    <w:rPr>
      <w:rFonts w:ascii="宋体" w:hAnsi="宋体" w:cs="宋体"/>
      <w:color w:val="000000"/>
      <w:kern w:val="0"/>
      <w:sz w:val="16"/>
      <w:szCs w:val="16"/>
    </w:rPr>
  </w:style>
  <w:style w:type="paragraph" w:customStyle="1" w:styleId="711">
    <w:name w:val="目录 71"/>
    <w:basedOn w:val="a0"/>
    <w:next w:val="a0"/>
    <w:uiPriority w:val="39"/>
    <w:pPr>
      <w:ind w:left="1260"/>
      <w:jc w:val="left"/>
    </w:pPr>
    <w:rPr>
      <w:sz w:val="18"/>
      <w:szCs w:val="18"/>
    </w:rPr>
  </w:style>
  <w:style w:type="paragraph" w:customStyle="1" w:styleId="2ff8">
    <w:name w:val="正文　2"/>
    <w:basedOn w:val="affffffff8"/>
    <w:qFormat/>
    <w:pPr>
      <w:ind w:firstLineChars="200" w:firstLine="420"/>
    </w:pPr>
  </w:style>
  <w:style w:type="paragraph" w:customStyle="1" w:styleId="CharCharCharCharCharCharCharChar1">
    <w:name w:val="Char Char Char Char Char Char Char Char1"/>
    <w:basedOn w:val="a0"/>
    <w:qFormat/>
    <w:pPr>
      <w:spacing w:line="360" w:lineRule="auto"/>
    </w:pPr>
    <w:rPr>
      <w:rFonts w:ascii="宋体" w:hAnsi="宋体"/>
      <w:sz w:val="22"/>
    </w:rPr>
  </w:style>
  <w:style w:type="paragraph" w:customStyle="1" w:styleId="xl296">
    <w:name w:val="xl29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CharChar1CharCharChar">
    <w:name w:val="Char Char1 Char Char Char"/>
    <w:basedOn w:val="a0"/>
    <w:pPr>
      <w:spacing w:line="360" w:lineRule="auto"/>
    </w:pPr>
    <w:rPr>
      <w:rFonts w:ascii="宋体" w:hAnsi="宋体"/>
      <w:sz w:val="22"/>
    </w:rPr>
  </w:style>
  <w:style w:type="paragraph" w:customStyle="1" w:styleId="afffffffff7">
    <w:name w:val="一级条标题"/>
    <w:next w:val="3"/>
    <w:link w:val="Charfff6"/>
    <w:qFormat/>
    <w:pPr>
      <w:ind w:left="840"/>
      <w:outlineLvl w:val="2"/>
    </w:pPr>
    <w:rPr>
      <w:rFonts w:eastAsia="黑体"/>
      <w:sz w:val="21"/>
    </w:rPr>
  </w:style>
  <w:style w:type="character" w:customStyle="1" w:styleId="Charfff6">
    <w:name w:val="一级条标题 Char"/>
    <w:link w:val="afffffffff7"/>
    <w:qFormat/>
    <w:rPr>
      <w:rFonts w:eastAsia="黑体"/>
      <w:sz w:val="21"/>
      <w:lang w:bidi="ar-SA"/>
    </w:rPr>
  </w:style>
  <w:style w:type="paragraph" w:customStyle="1" w:styleId="Char120">
    <w:name w:val="Char12"/>
    <w:basedOn w:val="a0"/>
    <w:pPr>
      <w:spacing w:line="360" w:lineRule="auto"/>
      <w:ind w:firstLineChars="200" w:firstLine="200"/>
    </w:pPr>
    <w:rPr>
      <w:rFonts w:ascii="宋体" w:hAnsi="宋体"/>
      <w:sz w:val="24"/>
      <w:szCs w:val="20"/>
    </w:rPr>
  </w:style>
  <w:style w:type="paragraph" w:customStyle="1" w:styleId="BodyText21">
    <w:name w:val="Body Text 21"/>
    <w:basedOn w:val="a0"/>
    <w:pPr>
      <w:adjustRightInd w:val="0"/>
      <w:spacing w:line="540" w:lineRule="exact"/>
      <w:ind w:firstLine="570"/>
      <w:textAlignment w:val="baseline"/>
    </w:pPr>
    <w:rPr>
      <w:rFonts w:ascii="文鼎CS楷体" w:eastAsia="文鼎CS楷体"/>
      <w:sz w:val="28"/>
      <w:szCs w:val="20"/>
    </w:rPr>
  </w:style>
  <w:style w:type="paragraph" w:customStyle="1" w:styleId="xl264">
    <w:name w:val="xl2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
    <w:name w:val="Char1 Char Char Char"/>
    <w:basedOn w:val="a0"/>
    <w:qFormat/>
  </w:style>
  <w:style w:type="paragraph" w:customStyle="1" w:styleId="CharCharCharCharCharCharCharCharCharCharCharCharCharCharCharCharCharCharChar">
    <w:name w:val="Char Char Char Char Char Char Char Char Char Char Char Char Char Char Char Char Char Char Char"/>
    <w:basedOn w:val="a0"/>
    <w:qFormat/>
  </w:style>
  <w:style w:type="paragraph" w:customStyle="1" w:styleId="td3">
    <w:name w:val="td3"/>
    <w:basedOn w:val="a0"/>
    <w:qFormat/>
    <w:pPr>
      <w:widowControl/>
      <w:spacing w:before="100" w:beforeAutospacing="1" w:after="100" w:afterAutospacing="1"/>
      <w:jc w:val="left"/>
    </w:pPr>
    <w:rPr>
      <w:rFonts w:ascii="Arial Unicode MS" w:eastAsia="Arial Unicode MS" w:hAnsi="Arial Unicode MS" w:cs="Arial Unicode MS"/>
      <w:color w:val="5D5D5D"/>
      <w:kern w:val="0"/>
      <w:sz w:val="18"/>
      <w:szCs w:val="18"/>
    </w:rPr>
  </w:style>
  <w:style w:type="paragraph" w:customStyle="1" w:styleId="ShoulderReference">
    <w:name w:val="Shoulder Reference"/>
    <w:next w:val="a0"/>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tabs>
        <w:tab w:val="left" w:pos="360"/>
      </w:tabs>
      <w:overflowPunct w:val="0"/>
      <w:autoSpaceDE w:val="0"/>
      <w:autoSpaceDN w:val="0"/>
      <w:adjustRightInd w:val="0"/>
      <w:textAlignment w:val="baseline"/>
    </w:pPr>
    <w:rPr>
      <w:b/>
      <w:spacing w:val="-6"/>
      <w:lang w:val="en-AU" w:eastAsia="en-US"/>
    </w:rPr>
  </w:style>
  <w:style w:type="paragraph" w:customStyle="1" w:styleId="xl38">
    <w:name w:val="xl38"/>
    <w:basedOn w:val="a0"/>
    <w:qFormat/>
    <w:pPr>
      <w:widowControl/>
      <w:pBdr>
        <w:left w:val="single" w:sz="4" w:space="0" w:color="auto"/>
        <w:bottom w:val="single" w:sz="4" w:space="0" w:color="auto"/>
      </w:pBdr>
      <w:spacing w:before="100" w:beforeAutospacing="1" w:after="100" w:afterAutospacing="1"/>
      <w:jc w:val="center"/>
    </w:pPr>
    <w:rPr>
      <w:rFonts w:ascii="Arial Unicode MS" w:hAnsi="Arial Unicode MS"/>
      <w:kern w:val="0"/>
      <w:sz w:val="32"/>
      <w:szCs w:val="20"/>
    </w:rPr>
  </w:style>
  <w:style w:type="paragraph" w:customStyle="1" w:styleId="xl251">
    <w:name w:val="xl251"/>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210">
    <w:name w:val="Char21"/>
    <w:basedOn w:val="a0"/>
    <w:rPr>
      <w:sz w:val="24"/>
    </w:rPr>
  </w:style>
  <w:style w:type="paragraph" w:customStyle="1" w:styleId="31113CharChar3Char3111111-">
    <w:name w:val="样式 标题 3条1.1.1标题 3 Char Char标题 3 Char标3§1.1.1.. (1.1.1)- ..."/>
    <w:basedOn w:val="3"/>
    <w:pPr>
      <w:adjustRightInd w:val="0"/>
      <w:spacing w:before="120" w:after="120"/>
      <w:jc w:val="both"/>
      <w:textAlignment w:val="baseline"/>
    </w:pPr>
    <w:rPr>
      <w:rFonts w:ascii="Times New Roman" w:eastAsia="宋体" w:cs="宋体"/>
      <w:kern w:val="0"/>
      <w:szCs w:val="20"/>
    </w:rPr>
  </w:style>
  <w:style w:type="paragraph" w:customStyle="1" w:styleId="xl46">
    <w:name w:val="xl46"/>
    <w:basedOn w:val="a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b/>
      <w:kern w:val="0"/>
      <w:sz w:val="48"/>
      <w:szCs w:val="20"/>
    </w:rPr>
  </w:style>
  <w:style w:type="paragraph" w:customStyle="1" w:styleId="edri-AtitleChar1">
    <w:name w:val="edri-A title Char1"/>
    <w:basedOn w:val="edri-titlethirdChar1"/>
    <w:next w:val="edri-titlethirdChar1"/>
    <w:pPr>
      <w:tabs>
        <w:tab w:val="left" w:pos="360"/>
        <w:tab w:val="left" w:pos="1964"/>
        <w:tab w:val="left" w:pos="2236"/>
      </w:tabs>
      <w:ind w:left="1964"/>
      <w:outlineLvl w:val="3"/>
    </w:pPr>
  </w:style>
  <w:style w:type="paragraph" w:customStyle="1" w:styleId="xl294">
    <w:name w:val="xl294"/>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8">
    <w:name w:val="法定代表人"/>
    <w:basedOn w:val="a0"/>
    <w:qFormat/>
    <w:pPr>
      <w:spacing w:line="360" w:lineRule="auto"/>
      <w:jc w:val="center"/>
    </w:pPr>
    <w:rPr>
      <w:sz w:val="28"/>
      <w:szCs w:val="28"/>
    </w:rPr>
  </w:style>
  <w:style w:type="paragraph" w:customStyle="1" w:styleId="Char40">
    <w:name w:val="Char4"/>
    <w:basedOn w:val="a0"/>
    <w:pPr>
      <w:tabs>
        <w:tab w:val="left" w:pos="4665"/>
        <w:tab w:val="left" w:pos="8970"/>
      </w:tabs>
      <w:ind w:firstLine="400"/>
    </w:pPr>
    <w:rPr>
      <w:rFonts w:ascii="Tahoma" w:hAnsi="Tahoma"/>
      <w:sz w:val="24"/>
      <w:szCs w:val="20"/>
    </w:rPr>
  </w:style>
  <w:style w:type="paragraph" w:customStyle="1" w:styleId="Char220">
    <w:name w:val="Char22"/>
    <w:basedOn w:val="a0"/>
    <w:rPr>
      <w:sz w:val="24"/>
    </w:rPr>
  </w:style>
  <w:style w:type="paragraph" w:customStyle="1" w:styleId="4f0">
    <w:name w:val="正文4"/>
    <w:qFormat/>
    <w:pPr>
      <w:jc w:val="both"/>
    </w:pPr>
    <w:rPr>
      <w:rFonts w:cs="宋体"/>
      <w:kern w:val="2"/>
      <w:sz w:val="21"/>
      <w:szCs w:val="21"/>
    </w:rPr>
  </w:style>
  <w:style w:type="paragraph" w:customStyle="1" w:styleId="CharCharCharCharChar1">
    <w:name w:val="Char Char Char Char Char1"/>
    <w:basedOn w:val="a0"/>
    <w:pPr>
      <w:spacing w:line="360" w:lineRule="auto"/>
    </w:pPr>
    <w:rPr>
      <w:rFonts w:ascii="宋体" w:hAnsi="宋体"/>
      <w:sz w:val="22"/>
    </w:rPr>
  </w:style>
  <w:style w:type="paragraph" w:customStyle="1" w:styleId="xl293">
    <w:name w:val="xl2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ff9">
    <w:name w:val="样式 首行缩进:  2 字符"/>
    <w:basedOn w:val="a0"/>
    <w:qFormat/>
    <w:pPr>
      <w:spacing w:line="440" w:lineRule="exact"/>
      <w:ind w:firstLineChars="200" w:firstLine="200"/>
    </w:pPr>
    <w:rPr>
      <w:rFonts w:eastAsia="楷体_GB2312" w:cs="宋体"/>
      <w:spacing w:val="6"/>
      <w:kern w:val="0"/>
      <w:sz w:val="28"/>
      <w:szCs w:val="28"/>
    </w:rPr>
  </w:style>
  <w:style w:type="paragraph" w:customStyle="1" w:styleId="zheng">
    <w:name w:val="zheng"/>
    <w:basedOn w:val="a0"/>
    <w:qFormat/>
    <w:pPr>
      <w:tabs>
        <w:tab w:val="left" w:pos="1764"/>
      </w:tabs>
      <w:spacing w:line="680" w:lineRule="exact"/>
      <w:ind w:firstLineChars="200" w:firstLine="200"/>
      <w:jc w:val="left"/>
    </w:pPr>
    <w:rPr>
      <w:sz w:val="28"/>
      <w:szCs w:val="28"/>
    </w:rPr>
  </w:style>
  <w:style w:type="paragraph" w:customStyle="1" w:styleId="xl122">
    <w:name w:val="xl12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7">
    <w:name w:val="xl97"/>
    <w:basedOn w:val="a0"/>
    <w:qFormat/>
    <w:pPr>
      <w:widowControl/>
      <w:spacing w:before="100" w:beforeAutospacing="1" w:after="100" w:afterAutospacing="1"/>
      <w:jc w:val="center"/>
    </w:pPr>
    <w:rPr>
      <w:rFonts w:ascii="宋体" w:hAnsi="宋体" w:cs="宋体"/>
      <w:kern w:val="0"/>
      <w:sz w:val="20"/>
      <w:szCs w:val="20"/>
    </w:rPr>
  </w:style>
  <w:style w:type="paragraph" w:customStyle="1" w:styleId="aaa">
    <w:name w:val="aaa"/>
    <w:basedOn w:val="a0"/>
    <w:qFormat/>
    <w:pPr>
      <w:adjustRightInd w:val="0"/>
      <w:textAlignment w:val="baseline"/>
    </w:pPr>
    <w:rPr>
      <w:rFonts w:ascii="仿宋_GB2312" w:eastAsia="仿宋_GB2312"/>
      <w:kern w:val="0"/>
      <w:sz w:val="24"/>
      <w:szCs w:val="20"/>
    </w:rPr>
  </w:style>
  <w:style w:type="paragraph" w:customStyle="1" w:styleId="1fff0">
    <w:name w:val="1)"/>
    <w:basedOn w:val="a0"/>
    <w:qFormat/>
    <w:pPr>
      <w:autoSpaceDE w:val="0"/>
      <w:autoSpaceDN w:val="0"/>
      <w:adjustRightInd w:val="0"/>
      <w:spacing w:line="360" w:lineRule="auto"/>
      <w:ind w:firstLine="845"/>
      <w:jc w:val="left"/>
      <w:textAlignment w:val="baseline"/>
    </w:pPr>
    <w:rPr>
      <w:kern w:val="0"/>
      <w:sz w:val="28"/>
      <w:szCs w:val="20"/>
    </w:rPr>
  </w:style>
  <w:style w:type="paragraph" w:customStyle="1" w:styleId="td1">
    <w:name w:val="td1"/>
    <w:basedOn w:val="a0"/>
    <w:pPr>
      <w:widowControl/>
      <w:spacing w:before="100" w:beforeAutospacing="1" w:after="100" w:afterAutospacing="1"/>
      <w:jc w:val="center"/>
    </w:pPr>
    <w:rPr>
      <w:rFonts w:ascii="Arial Unicode MS" w:eastAsia="Arial Unicode MS" w:hAnsi="Arial Unicode MS" w:cs="Arial Unicode MS"/>
      <w:b/>
      <w:bCs/>
      <w:color w:val="0000FF"/>
      <w:kern w:val="0"/>
      <w:sz w:val="28"/>
      <w:szCs w:val="28"/>
      <w:u w:val="single"/>
    </w:rPr>
  </w:style>
  <w:style w:type="paragraph" w:customStyle="1" w:styleId="xl253">
    <w:name w:val="xl2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ff1">
    <w:name w:val="表1"/>
    <w:basedOn w:val="a0"/>
    <w:qFormat/>
    <w:pPr>
      <w:spacing w:line="300" w:lineRule="auto"/>
    </w:pPr>
    <w:rPr>
      <w:rFonts w:eastAsia="仿宋_GB2312"/>
      <w:bCs/>
      <w:sz w:val="24"/>
      <w:szCs w:val="20"/>
    </w:rPr>
  </w:style>
  <w:style w:type="paragraph" w:customStyle="1" w:styleId="2ffa">
    <w:name w:val="宁波寰球安全科技有限公司2"/>
    <w:basedOn w:val="a0"/>
    <w:pPr>
      <w:spacing w:line="360" w:lineRule="auto"/>
      <w:jc w:val="center"/>
    </w:pPr>
    <w:rPr>
      <w:b/>
      <w:sz w:val="28"/>
      <w:szCs w:val="28"/>
    </w:rPr>
  </w:style>
  <w:style w:type="paragraph" w:customStyle="1" w:styleId="xl118">
    <w:name w:val="xl11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268">
    <w:name w:val="xl2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myChar1">
    <w:name w:val="my Char1"/>
    <w:pPr>
      <w:widowControl w:val="0"/>
      <w:spacing w:before="60" w:line="460" w:lineRule="exact"/>
      <w:ind w:firstLineChars="200" w:firstLine="200"/>
    </w:pPr>
    <w:rPr>
      <w:sz w:val="24"/>
      <w:szCs w:val="24"/>
    </w:rPr>
  </w:style>
  <w:style w:type="paragraph" w:customStyle="1" w:styleId="afffffffff9">
    <w:name w:val="表格中对齐"/>
    <w:basedOn w:val="a0"/>
    <w:pPr>
      <w:keepNext/>
      <w:adjustRightInd w:val="0"/>
      <w:spacing w:before="40" w:after="40" w:line="240" w:lineRule="atLeast"/>
      <w:jc w:val="center"/>
      <w:textAlignment w:val="baseline"/>
    </w:pPr>
    <w:rPr>
      <w:rFonts w:eastAsia="楷体_GB2312"/>
      <w:kern w:val="0"/>
      <w:sz w:val="24"/>
      <w:szCs w:val="20"/>
    </w:rPr>
  </w:style>
  <w:style w:type="paragraph" w:customStyle="1" w:styleId="font10">
    <w:name w:val="font10"/>
    <w:basedOn w:val="a0"/>
    <w:link w:val="font10Char"/>
    <w:qFormat/>
    <w:pPr>
      <w:widowControl/>
      <w:spacing w:before="100" w:beforeAutospacing="1" w:after="100" w:afterAutospacing="1"/>
      <w:jc w:val="left"/>
    </w:pPr>
    <w:rPr>
      <w:rFonts w:ascii="宋体" w:hAnsi="宋体"/>
      <w:kern w:val="0"/>
      <w:sz w:val="20"/>
      <w:szCs w:val="20"/>
      <w:lang w:val="x-none" w:eastAsia="x-none"/>
    </w:rPr>
  </w:style>
  <w:style w:type="character" w:customStyle="1" w:styleId="font10Char">
    <w:name w:val="font10 Char"/>
    <w:link w:val="font10"/>
    <w:rPr>
      <w:rFonts w:ascii="宋体" w:hAnsi="宋体" w:cs="宋体"/>
    </w:rPr>
  </w:style>
  <w:style w:type="paragraph" w:customStyle="1" w:styleId="afffffffffa">
    <w:name w:val="二级无标题条"/>
    <w:basedOn w:val="a0"/>
    <w:qFormat/>
    <w:rPr>
      <w:rFonts w:eastAsia="仿宋_GB2312"/>
      <w:kern w:val="44"/>
      <w:sz w:val="24"/>
      <w:szCs w:val="32"/>
    </w:rPr>
  </w:style>
  <w:style w:type="paragraph" w:customStyle="1" w:styleId="4f1">
    <w:name w:val="样式 标题 4 + (西文) 宋体"/>
    <w:basedOn w:val="4"/>
    <w:pPr>
      <w:tabs>
        <w:tab w:val="left" w:pos="864"/>
      </w:tabs>
      <w:spacing w:before="60" w:after="60" w:line="360" w:lineRule="auto"/>
      <w:ind w:left="862" w:hanging="862"/>
      <w:jc w:val="both"/>
    </w:pPr>
    <w:rPr>
      <w:rFonts w:ascii="宋体" w:hAnsi="宋体"/>
    </w:rPr>
  </w:style>
  <w:style w:type="paragraph" w:customStyle="1" w:styleId="CharChar1CharCharCharChar1">
    <w:name w:val="Char Char1 Char Char Char Char1"/>
    <w:basedOn w:val="a0"/>
    <w:pPr>
      <w:spacing w:line="360" w:lineRule="auto"/>
    </w:pPr>
    <w:rPr>
      <w:rFonts w:ascii="宋体" w:hAnsi="宋体"/>
      <w:sz w:val="22"/>
    </w:rPr>
  </w:style>
  <w:style w:type="paragraph" w:customStyle="1" w:styleId="afffffffffb">
    <w:name w:val="表格行序号"/>
    <w:basedOn w:val="a0"/>
    <w:pPr>
      <w:tabs>
        <w:tab w:val="left" w:pos="0"/>
      </w:tabs>
      <w:jc w:val="center"/>
    </w:pPr>
  </w:style>
  <w:style w:type="paragraph" w:customStyle="1" w:styleId="font1">
    <w:name w:val="font1"/>
    <w:basedOn w:val="a0"/>
    <w:qFormat/>
    <w:pPr>
      <w:widowControl/>
      <w:spacing w:before="100" w:beforeAutospacing="1" w:after="100" w:afterAutospacing="1"/>
      <w:jc w:val="left"/>
    </w:pPr>
    <w:rPr>
      <w:rFonts w:ascii="宋体" w:hAnsi="宋体" w:cs="宋体"/>
      <w:kern w:val="0"/>
      <w:sz w:val="24"/>
    </w:rPr>
  </w:style>
  <w:style w:type="paragraph" w:customStyle="1" w:styleId="1fff2">
    <w:name w:val="菲薄1"/>
    <w:basedOn w:val="a0"/>
    <w:pPr>
      <w:spacing w:line="720" w:lineRule="exact"/>
      <w:ind w:firstLine="570"/>
    </w:pPr>
    <w:rPr>
      <w:sz w:val="28"/>
      <w:szCs w:val="28"/>
    </w:rPr>
  </w:style>
  <w:style w:type="paragraph" w:customStyle="1" w:styleId="CharCharCharCharCharCharCharCharCharCharChar2">
    <w:name w:val="Char Char Char Char Char Char Char Char Char Char Char2"/>
    <w:basedOn w:val="a0"/>
    <w:pPr>
      <w:spacing w:line="360" w:lineRule="auto"/>
    </w:pPr>
    <w:rPr>
      <w:rFonts w:ascii="宋体" w:hAnsi="宋体"/>
      <w:sz w:val="22"/>
    </w:rPr>
  </w:style>
  <w:style w:type="paragraph" w:customStyle="1" w:styleId="xl32">
    <w:name w:val="xl32"/>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kern w:val="0"/>
      <w:sz w:val="32"/>
      <w:szCs w:val="20"/>
    </w:rPr>
  </w:style>
  <w:style w:type="paragraph" w:customStyle="1" w:styleId="xl102">
    <w:name w:val="xl10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szCs w:val="20"/>
    </w:rPr>
  </w:style>
  <w:style w:type="paragraph" w:customStyle="1" w:styleId="BIGBOLD0">
    <w:name w:val="BIG BOLD"/>
    <w:basedOn w:val="a0"/>
    <w:pPr>
      <w:tabs>
        <w:tab w:val="left" w:leader="underscore" w:pos="1134"/>
      </w:tabs>
    </w:pPr>
    <w:rPr>
      <w:szCs w:val="20"/>
    </w:rPr>
  </w:style>
  <w:style w:type="paragraph" w:customStyle="1" w:styleId="CharChar1CharCharChar2">
    <w:name w:val="Char Char1 Char Char Char2"/>
    <w:basedOn w:val="a0"/>
    <w:pPr>
      <w:spacing w:line="360" w:lineRule="auto"/>
    </w:pPr>
    <w:rPr>
      <w:rFonts w:ascii="宋体" w:hAnsi="宋体"/>
      <w:sz w:val="22"/>
    </w:rPr>
  </w:style>
  <w:style w:type="table" w:customStyle="1" w:styleId="115">
    <w:name w:val="网格型 11"/>
    <w:basedOn w:val="a2"/>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op w:val="nil"/>
          <w:left w:val="nil"/>
          <w:bottom w:val="nil"/>
          <w:right w:val="nil"/>
          <w:insideH w:val="nil"/>
          <w:insideV w:val="nil"/>
          <w:tl2br w:val="nil"/>
          <w:tr2bl w:val="nil"/>
        </w:tcBorders>
      </w:tcPr>
    </w:tblStylePr>
    <w:tblStylePr w:type="lastCol">
      <w:rPr>
        <w:rFonts w:cs="Times New Roman"/>
        <w:i/>
        <w:i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customStyle="1" w:styleId="1fff3">
    <w:name w:val="网格型1"/>
    <w:basedOn w:val="a2"/>
    <w:uiPriority w:val="59"/>
    <w:qFormat/>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网格型21"/>
    <w:basedOn w:val="a2"/>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b">
    <w:name w:val="网格型2"/>
    <w:basedOn w:val="a2"/>
    <w:uiPriority w:val="5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 111"/>
    <w:basedOn w:val="a2"/>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pxg1">
    <w:name w:val="网格型（pxg）1"/>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网格型 12"/>
    <w:basedOn w:val="a2"/>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customStyle="1" w:styleId="CharCharCharCharCharCharCharCharChar0">
    <w:name w:val=" Char Char Char Char Char Char Char Char Char"/>
    <w:qFormat/>
    <w:rPr>
      <w:rFonts w:ascii="Verdana" w:eastAsia="宋体" w:hAnsi="Verdana"/>
      <w:lang w:val="en-US" w:eastAsia="en-US" w:bidi="ar-SA"/>
    </w:rPr>
  </w:style>
  <w:style w:type="paragraph" w:customStyle="1" w:styleId="afffffffffc">
    <w:name w:val="标准标志"/>
    <w:next w:val="a0"/>
    <w:qFormat/>
    <w:pPr>
      <w:shd w:val="solid" w:color="FFFFFF" w:fill="FFFFFF"/>
      <w:tabs>
        <w:tab w:val="left" w:pos="2880"/>
      </w:tabs>
      <w:spacing w:line="0" w:lineRule="atLeast"/>
      <w:ind w:left="2880" w:hanging="360"/>
      <w:jc w:val="right"/>
    </w:pPr>
    <w:rPr>
      <w:b/>
      <w:w w:val="130"/>
      <w:sz w:val="96"/>
    </w:rPr>
  </w:style>
  <w:style w:type="paragraph" w:customStyle="1" w:styleId="afffffffffd">
    <w:name w:val="正文文字"/>
    <w:basedOn w:val="a0"/>
    <w:qFormat/>
    <w:pPr>
      <w:adjustRightInd w:val="0"/>
      <w:snapToGrid w:val="0"/>
      <w:spacing w:line="360" w:lineRule="auto"/>
      <w:ind w:firstLineChars="200" w:firstLine="560"/>
    </w:pPr>
    <w:rPr>
      <w:color w:val="000000"/>
      <w:sz w:val="28"/>
      <w:szCs w:val="28"/>
    </w:rPr>
  </w:style>
  <w:style w:type="paragraph" w:customStyle="1" w:styleId="ap">
    <w:name w:val="ap表格"/>
    <w:basedOn w:val="a0"/>
    <w:qFormat/>
    <w:pPr>
      <w:jc w:val="center"/>
    </w:pPr>
    <w:rPr>
      <w:rFonts w:ascii="宋体" w:hAnsi="宋体" w:cs="宋体"/>
      <w:szCs w:val="20"/>
    </w:rPr>
  </w:style>
  <w:style w:type="character" w:customStyle="1" w:styleId="fontstyle01">
    <w:name w:val="fontstyle01"/>
    <w:qFormat/>
    <w:rPr>
      <w:rFonts w:ascii="ËÎÌå" w:hAnsi="ËÎÌå" w:hint="default"/>
      <w:color w:val="000000"/>
      <w:sz w:val="28"/>
      <w:szCs w:val="28"/>
    </w:rPr>
  </w:style>
  <w:style w:type="paragraph" w:customStyle="1" w:styleId="85">
    <w:name w:val="样式8"/>
    <w:basedOn w:val="a0"/>
    <w:qFormat/>
    <w:pPr>
      <w:spacing w:line="260" w:lineRule="exact"/>
    </w:pPr>
    <w:rPr>
      <w:rFonts w:ascii="宋体" w:hAnsi="宋体"/>
      <w:bCs/>
      <w:szCs w:val="21"/>
    </w:rPr>
  </w:style>
  <w:style w:type="paragraph" w:customStyle="1" w:styleId="ListParagraph">
    <w:name w:val="List Paragraph"/>
    <w:basedOn w:val="a0"/>
    <w:qFormat/>
    <w:pPr>
      <w:ind w:firstLineChars="200" w:firstLine="420"/>
    </w:pPr>
    <w:rPr>
      <w:rFonts w:ascii="Calibri" w:hAnsi="Calibri"/>
      <w:szCs w:val="22"/>
    </w:rPr>
  </w:style>
  <w:style w:type="character" w:customStyle="1" w:styleId="fontstyle21">
    <w:name w:val="fontstyle21"/>
    <w:rPr>
      <w:rFonts w:ascii="TimesNewRomanPSMT" w:eastAsia="TimesNewRomanPSMT" w:hAnsi="TimesNewRomanPSMT" w:cs="TimesNewRomanPSMT"/>
      <w:b w:val="0"/>
      <w:bCs w:val="0"/>
      <w:i w:val="0"/>
      <w:iCs w:val="0"/>
      <w:color w:val="000000"/>
      <w:sz w:val="32"/>
      <w:szCs w:val="32"/>
    </w:rPr>
  </w:style>
  <w:style w:type="character" w:customStyle="1" w:styleId="font112">
    <w:name w:val="font112"/>
    <w:rPr>
      <w:rFonts w:ascii="Arial" w:hAnsi="Arial" w:cs="Arial" w:hint="default"/>
      <w:i w:val="0"/>
      <w:iCs w:val="0"/>
      <w:color w:val="000000"/>
      <w:sz w:val="20"/>
      <w:szCs w:val="20"/>
      <w:u w:val="none"/>
    </w:rPr>
  </w:style>
  <w:style w:type="character" w:customStyle="1" w:styleId="ui-provider">
    <w:name w:val="ui-provider"/>
    <w:qFormat/>
  </w:style>
  <w:style w:type="character" w:customStyle="1" w:styleId="font161">
    <w:name w:val="font161"/>
    <w:qFormat/>
    <w:rPr>
      <w:rFonts w:ascii="宋体" w:eastAsia="宋体" w:hAnsi="宋体" w:cs="宋体" w:hint="eastAsia"/>
      <w:color w:val="000000"/>
      <w:sz w:val="22"/>
      <w:szCs w:val="22"/>
      <w:u w:val="none"/>
    </w:rPr>
  </w:style>
  <w:style w:type="character" w:customStyle="1" w:styleId="font151">
    <w:name w:val="font151"/>
    <w:rPr>
      <w:rFonts w:ascii="Arial" w:hAnsi="Arial" w:cs="Arial" w:hint="default"/>
      <w:color w:val="000000"/>
      <w:sz w:val="22"/>
      <w:szCs w:val="22"/>
      <w:u w:val="none"/>
    </w:rPr>
  </w:style>
  <w:style w:type="paragraph" w:customStyle="1" w:styleId="-">
    <w:name w:val="图表字-左"/>
    <w:basedOn w:val="-0"/>
    <w:qFormat/>
    <w:pPr>
      <w:jc w:val="both"/>
    </w:pPr>
  </w:style>
  <w:style w:type="paragraph" w:customStyle="1" w:styleId="-0">
    <w:name w:val="图表字-中"/>
    <w:basedOn w:val="a0"/>
    <w:qFormat/>
    <w:pPr>
      <w:jc w:val="center"/>
    </w:pPr>
    <w:rPr>
      <w:rFonts w:cs="CG Times"/>
    </w:rPr>
  </w:style>
  <w:style w:type="character" w:customStyle="1" w:styleId="fontstyle11">
    <w:name w:val="fontstyle11"/>
    <w:rPr>
      <w:rFonts w:ascii="TimesNewRomanPSMT" w:eastAsia="TimesNewRomanPSMT" w:hAnsi="TimesNewRomanPSMT" w:cs="TimesNewRomanPSMT"/>
      <w:b w:val="0"/>
      <w:bCs w:val="0"/>
      <w:i w:val="0"/>
      <w:iCs w:val="0"/>
      <w:color w:val="000000"/>
      <w:sz w:val="22"/>
      <w:szCs w:val="22"/>
    </w:rPr>
  </w:style>
  <w:style w:type="character" w:customStyle="1" w:styleId="fontstyle31">
    <w:name w:val="fontstyle31"/>
    <w:rPr>
      <w:rFonts w:ascii="Calibri" w:hAnsi="Calibri" w:cs="Calibri"/>
      <w:b w:val="0"/>
      <w:bCs w:val="0"/>
      <w:i w:val="0"/>
      <w:iCs w:val="0"/>
      <w:color w:val="000000"/>
      <w:sz w:val="22"/>
      <w:szCs w:val="22"/>
    </w:rPr>
  </w:style>
  <w:style w:type="paragraph" w:customStyle="1" w:styleId="lyq">
    <w:name w:val="表格lyq"/>
    <w:basedOn w:val="a0"/>
    <w:link w:val="lyqCharChar"/>
    <w:pPr>
      <w:adjustRightInd w:val="0"/>
      <w:spacing w:line="360" w:lineRule="exact"/>
      <w:jc w:val="center"/>
      <w:textAlignment w:val="center"/>
    </w:pPr>
    <w:rPr>
      <w:kern w:val="0"/>
      <w:lang w:val="x-none" w:eastAsia="x-none"/>
    </w:rPr>
  </w:style>
  <w:style w:type="character" w:customStyle="1" w:styleId="lyqCharChar">
    <w:name w:val="表格lyq Char Char"/>
    <w:link w:val="lyq"/>
    <w:rPr>
      <w:sz w:val="21"/>
      <w:szCs w:val="24"/>
    </w:rPr>
  </w:style>
  <w:style w:type="paragraph" w:customStyle="1" w:styleId="afffffffffe">
    <w:name w:val="和桥正文"/>
    <w:basedOn w:val="a0"/>
    <w:pPr>
      <w:adjustRightInd w:val="0"/>
      <w:snapToGrid w:val="0"/>
      <w:spacing w:line="360" w:lineRule="auto"/>
      <w:ind w:firstLine="482"/>
      <w:textAlignment w:val="baseline"/>
    </w:pPr>
    <w:rPr>
      <w:rFonts w:ascii="宋体" w:hAnsi="宋体"/>
      <w:snapToGrid w:val="0"/>
      <w:kern w:val="24"/>
      <w:sz w:val="24"/>
      <w:szCs w:val="21"/>
    </w:rPr>
  </w:style>
  <w:style w:type="paragraph" w:customStyle="1" w:styleId="affffffffff">
    <w:name w:val="中文报告书"/>
    <w:basedOn w:val="a0"/>
    <w:pPr>
      <w:adjustRightInd w:val="0"/>
      <w:spacing w:after="80" w:line="360" w:lineRule="auto"/>
      <w:jc w:val="left"/>
      <w:textAlignment w:val="baseline"/>
    </w:pPr>
    <w:rPr>
      <w:rFonts w:ascii="宋体"/>
      <w:kern w:val="0"/>
      <w:sz w:val="24"/>
      <w:szCs w:val="20"/>
    </w:rPr>
  </w:style>
  <w:style w:type="paragraph" w:customStyle="1" w:styleId="0251">
    <w:name w:val="样式 和桥报告正文 + 段前: 0.25 行1"/>
    <w:basedOn w:val="afffffffffe"/>
    <w:rPr>
      <w:szCs w:val="20"/>
    </w:rPr>
  </w:style>
  <w:style w:type="character" w:customStyle="1" w:styleId="Char1f">
    <w:name w:val="正文文本缩进 Char1"/>
    <w:aliases w:val="特点标题 Char,正文文字缩进 Char1,正文文字缩进 Char Char,正文文本缩进 Char Char,Body Text 2 Char,PI Char,正文小4缩进 Char,正文文字 21 Char"/>
    <w:qFormat/>
    <w:rPr>
      <w:rFonts w:eastAsia="宋体"/>
      <w:kern w:val="2"/>
      <w:sz w:val="28"/>
      <w:szCs w:val="24"/>
      <w:lang w:val="en-US" w:eastAsia="zh-CN" w:bidi="ar-SA"/>
    </w:rPr>
  </w:style>
  <w:style w:type="paragraph" w:customStyle="1" w:styleId="1fff4">
    <w:name w:val="1"/>
    <w:basedOn w:val="a0"/>
    <w:next w:val="31"/>
    <w:qFormat/>
    <w:pPr>
      <w:spacing w:after="120"/>
    </w:pPr>
    <w:rPr>
      <w:sz w:val="16"/>
      <w:szCs w:val="16"/>
    </w:rPr>
  </w:style>
  <w:style w:type="paragraph" w:customStyle="1" w:styleId="affffffffff0">
    <w:name w:val="表前文字"/>
    <w:basedOn w:val="a0"/>
    <w:pPr>
      <w:adjustRightInd w:val="0"/>
      <w:snapToGrid w:val="0"/>
      <w:spacing w:beforeLines="100" w:line="360" w:lineRule="auto"/>
      <w:ind w:leftChars="-1" w:left="-2"/>
      <w:jc w:val="center"/>
    </w:pPr>
    <w:rPr>
      <w:rFonts w:ascii="黑体" w:eastAsia="黑体" w:hAnsi="宋体" w:cs="PMingLiU"/>
      <w:b/>
      <w:bCs/>
      <w:color w:val="000000"/>
      <w:kern w:val="0"/>
      <w:sz w:val="28"/>
      <w:szCs w:val="28"/>
    </w:rPr>
  </w:style>
  <w:style w:type="character" w:customStyle="1" w:styleId="CharCharf1">
    <w:name w:val="正文 Char Char"/>
    <w:rPr>
      <w:rFonts w:ascii="宋体" w:eastAsia="宋体" w:hAnsi="宋体"/>
      <w:bCs/>
      <w:sz w:val="28"/>
      <w:szCs w:val="28"/>
      <w:lang w:val="en-US" w:eastAsia="zh-CN" w:bidi="ar-SA"/>
    </w:rPr>
  </w:style>
  <w:style w:type="paragraph" w:customStyle="1" w:styleId="512">
    <w:name w:val="标题51"/>
    <w:basedOn w:val="a0"/>
    <w:next w:val="a0"/>
    <w:link w:val="5Char0"/>
    <w:qFormat/>
    <w:pPr>
      <w:jc w:val="center"/>
    </w:pPr>
    <w:rPr>
      <w:rFonts w:ascii="黑体" w:eastAsia="黑体"/>
      <w:b/>
      <w:bCs/>
      <w:kern w:val="0"/>
      <w:sz w:val="24"/>
      <w:lang w:val="x-none" w:eastAsia="x-none"/>
    </w:rPr>
  </w:style>
  <w:style w:type="character" w:customStyle="1" w:styleId="5Char0">
    <w:name w:val="标题5 Char"/>
    <w:link w:val="512"/>
    <w:qFormat/>
    <w:rPr>
      <w:rFonts w:ascii="黑体" w:eastAsia="黑体"/>
      <w:b/>
      <w:bCs/>
      <w:sz w:val="24"/>
      <w:szCs w:val="24"/>
    </w:rPr>
  </w:style>
  <w:style w:type="paragraph" w:styleId="z-2">
    <w:name w:val="HTML Bottom of Form"/>
    <w:basedOn w:val="a0"/>
    <w:next w:val="a0"/>
    <w:link w:val="z-Char"/>
    <w:pPr>
      <w:pBdr>
        <w:top w:val="single" w:sz="6" w:space="1" w:color="auto"/>
      </w:pBdr>
      <w:jc w:val="center"/>
    </w:pPr>
    <w:rPr>
      <w:rFonts w:ascii="Arial" w:hAnsi="Arial"/>
      <w:vanish/>
      <w:sz w:val="16"/>
      <w:szCs w:val="16"/>
      <w:lang w:val="x-none" w:eastAsia="x-none"/>
    </w:rPr>
  </w:style>
  <w:style w:type="character" w:customStyle="1" w:styleId="z-Char">
    <w:name w:val="z-窗体底端 Char"/>
    <w:link w:val="z-2"/>
    <w:rPr>
      <w:rFonts w:ascii="Arial" w:hAnsi="Arial" w:cs="Arial"/>
      <w:vanish/>
      <w:kern w:val="2"/>
      <w:sz w:val="16"/>
      <w:szCs w:val="16"/>
    </w:rPr>
  </w:style>
  <w:style w:type="paragraph" w:styleId="z-3">
    <w:name w:val="HTML Top of Form"/>
    <w:basedOn w:val="a0"/>
    <w:next w:val="a0"/>
    <w:link w:val="z-Char0"/>
    <w:pPr>
      <w:pBdr>
        <w:bottom w:val="single" w:sz="6" w:space="1" w:color="auto"/>
      </w:pBdr>
      <w:jc w:val="center"/>
    </w:pPr>
    <w:rPr>
      <w:rFonts w:ascii="Arial" w:hAnsi="Arial"/>
      <w:vanish/>
      <w:sz w:val="16"/>
      <w:szCs w:val="16"/>
      <w:lang w:val="x-none" w:eastAsia="x-none"/>
    </w:rPr>
  </w:style>
  <w:style w:type="character" w:customStyle="1" w:styleId="z-Char0">
    <w:name w:val="z-窗体顶端 Char"/>
    <w:link w:val="z-3"/>
    <w:rPr>
      <w:rFonts w:ascii="Arial" w:hAnsi="Arial" w:cs="Arial"/>
      <w:vanish/>
      <w:kern w:val="2"/>
      <w:sz w:val="16"/>
      <w:szCs w:val="16"/>
    </w:rPr>
  </w:style>
  <w:style w:type="paragraph" w:customStyle="1" w:styleId="1114">
    <w:name w:val="正文1.1.1"/>
    <w:basedOn w:val="a0"/>
    <w:link w:val="111Char0"/>
    <w:pPr>
      <w:spacing w:line="360" w:lineRule="auto"/>
      <w:ind w:firstLineChars="200" w:firstLine="200"/>
    </w:pPr>
    <w:rPr>
      <w:sz w:val="28"/>
      <w:szCs w:val="28"/>
      <w:lang w:val="x-none" w:eastAsia="x-none"/>
    </w:rPr>
  </w:style>
  <w:style w:type="character" w:customStyle="1" w:styleId="111Char0">
    <w:name w:val="正文1.1.1 Char"/>
    <w:link w:val="1114"/>
    <w:rPr>
      <w:kern w:val="2"/>
      <w:sz w:val="28"/>
      <w:szCs w:val="28"/>
    </w:rPr>
  </w:style>
  <w:style w:type="character" w:customStyle="1" w:styleId="bbsbody1">
    <w:name w:val="bbs_body1"/>
    <w:rPr>
      <w:sz w:val="24"/>
      <w:szCs w:val="24"/>
    </w:rPr>
  </w:style>
  <w:style w:type="character" w:customStyle="1" w:styleId="p11">
    <w:name w:val="p11"/>
    <w:rPr>
      <w:rFonts w:ascii="ˎ̥" w:hAnsi="ˎ̥" w:hint="default"/>
      <w:sz w:val="18"/>
      <w:szCs w:val="18"/>
    </w:rPr>
  </w:style>
  <w:style w:type="character" w:customStyle="1" w:styleId="javascript1">
    <w:name w:val="javascript1"/>
    <w:rPr>
      <w:rFonts w:ascii="Tahoma" w:hAnsi="Tahoma" w:cs="Tahoma" w:hint="default"/>
      <w:sz w:val="15"/>
      <w:szCs w:val="15"/>
    </w:rPr>
  </w:style>
  <w:style w:type="paragraph" w:customStyle="1" w:styleId="affffffffff1">
    <w:name w:val="表格样式"/>
    <w:basedOn w:val="a0"/>
    <w:pPr>
      <w:adjustRightInd w:val="0"/>
      <w:snapToGrid w:val="0"/>
      <w:jc w:val="center"/>
      <w:textAlignment w:val="baseline"/>
    </w:pPr>
    <w:rPr>
      <w:rFonts w:ascii="宋体"/>
      <w:snapToGrid w:val="0"/>
      <w:color w:val="000000"/>
      <w:kern w:val="0"/>
      <w:sz w:val="24"/>
      <w:szCs w:val="20"/>
    </w:rPr>
  </w:style>
  <w:style w:type="character" w:customStyle="1" w:styleId="blue-141">
    <w:name w:val="blue-141"/>
    <w:rPr>
      <w:rFonts w:hint="default"/>
      <w:color w:val="0066CC"/>
      <w:sz w:val="18"/>
      <w:szCs w:val="18"/>
    </w:rPr>
  </w:style>
  <w:style w:type="character" w:customStyle="1" w:styleId="px14">
    <w:name w:val="px14"/>
  </w:style>
  <w:style w:type="paragraph" w:customStyle="1" w:styleId="ParaCharCharCharCharCharCharCharCharChar1CharCharCharCharCharCharChar">
    <w:name w:val="默认段落字体 Para Char Char Char Char Char Char Char Char Char1 Char Char Char Char Char Char Char"/>
    <w:basedOn w:val="ad"/>
    <w:rPr>
      <w:rFonts w:ascii="Tahoma" w:hAnsi="Tahoma" w:cs="Tahoma"/>
      <w:sz w:val="24"/>
    </w:rPr>
  </w:style>
  <w:style w:type="paragraph" w:customStyle="1" w:styleId="00">
    <w:name w:val="0"/>
    <w:basedOn w:val="a0"/>
    <w:qFormat/>
    <w:pPr>
      <w:widowControl/>
      <w:snapToGrid w:val="0"/>
    </w:pPr>
    <w:rPr>
      <w:kern w:val="0"/>
      <w:szCs w:val="21"/>
    </w:rPr>
  </w:style>
  <w:style w:type="paragraph" w:customStyle="1" w:styleId="affffffffff2">
    <w:name w:val="表格文字中对齐"/>
    <w:basedOn w:val="a0"/>
    <w:pPr>
      <w:spacing w:line="300" w:lineRule="auto"/>
      <w:jc w:val="center"/>
    </w:pPr>
    <w:rPr>
      <w:rFonts w:ascii="仿宋_GB2312" w:eastAsia="仿宋_GB2312"/>
      <w:kern w:val="0"/>
      <w:sz w:val="24"/>
    </w:rPr>
  </w:style>
  <w:style w:type="paragraph" w:customStyle="1" w:styleId="affffffffff3">
    <w:name w:val="表中字"/>
    <w:link w:val="Charfff7"/>
    <w:pPr>
      <w:widowControl w:val="0"/>
      <w:adjustRightInd w:val="0"/>
      <w:snapToGrid w:val="0"/>
      <w:jc w:val="center"/>
    </w:pPr>
    <w:rPr>
      <w:w w:val="90"/>
      <w:sz w:val="21"/>
      <w:lang w:val="en-US" w:eastAsia="zh-CN"/>
    </w:rPr>
  </w:style>
  <w:style w:type="character" w:customStyle="1" w:styleId="Charfff7">
    <w:name w:val="表中字 Char"/>
    <w:link w:val="affffffffff3"/>
    <w:rPr>
      <w:w w:val="90"/>
      <w:sz w:val="21"/>
      <w:lang w:val="en-US" w:eastAsia="zh-CN" w:bidi="ar-SA"/>
    </w:rPr>
  </w:style>
  <w:style w:type="paragraph" w:customStyle="1" w:styleId="20251">
    <w:name w:val="样式 正文首行缩进 2 + 段前: 0.25 行1"/>
    <w:basedOn w:val="28"/>
    <w:pPr>
      <w:tabs>
        <w:tab w:val="left" w:pos="420"/>
        <w:tab w:val="left" w:pos="870"/>
        <w:tab w:val="left" w:pos="3150"/>
      </w:tabs>
      <w:autoSpaceDE w:val="0"/>
      <w:autoSpaceDN w:val="0"/>
      <w:adjustRightInd w:val="0"/>
      <w:spacing w:beforeLines="25" w:after="0" w:line="336" w:lineRule="auto"/>
      <w:ind w:leftChars="0" w:left="0" w:firstLineChars="0" w:firstLine="527"/>
      <w:textAlignment w:val="baseline"/>
    </w:pPr>
    <w:rPr>
      <w:rFonts w:ascii="宋体" w:eastAsia="宋体" w:hAnsi="Times New Roman"/>
      <w:sz w:val="24"/>
      <w:szCs w:val="20"/>
      <w:lang w:val="en-US" w:eastAsia="zh-CN"/>
    </w:rPr>
  </w:style>
  <w:style w:type="character" w:customStyle="1" w:styleId="pv110title1">
    <w:name w:val="pv110title1"/>
    <w:rPr>
      <w:b/>
      <w:bCs/>
      <w:color w:val="2D68B4"/>
      <w:sz w:val="32"/>
      <w:szCs w:val="32"/>
    </w:rPr>
  </w:style>
  <w:style w:type="character" w:customStyle="1" w:styleId="Char1f0">
    <w:name w:val="题注 Char1"/>
    <w:aliases w:val=" Char Char Char Char Char Char3, Char Char Char2,题注 Char2 Char1,题注 Char Char Char1,题注 Char Char Char Char Char Char Char,题注 Char Char Char Char Char Char Char Char Char Char Char1,Char Char Char Char Char Char,题注1 Char Char Char,题注 Char Char2"/>
    <w:rPr>
      <w:rFonts w:ascii="黑体" w:eastAsia="黑体" w:hAnsi="宋体" w:cs="Arial"/>
      <w:b/>
      <w:color w:val="000000"/>
      <w:kern w:val="2"/>
      <w:sz w:val="24"/>
      <w:szCs w:val="24"/>
      <w:lang w:val="en-US" w:eastAsia="zh-CN" w:bidi="ar-SA"/>
    </w:rPr>
  </w:style>
  <w:style w:type="paragraph" w:customStyle="1" w:styleId="affffffffff4">
    <w:name w:val="表格文字左对齐"/>
    <w:basedOn w:val="a0"/>
    <w:pPr>
      <w:adjustRightInd w:val="0"/>
      <w:snapToGrid w:val="0"/>
      <w:jc w:val="center"/>
    </w:pPr>
    <w:rPr>
      <w:rFonts w:ascii="宋体" w:hAnsi="宋体"/>
      <w:szCs w:val="21"/>
    </w:rPr>
  </w:style>
  <w:style w:type="paragraph" w:customStyle="1" w:styleId="1fff5">
    <w:name w:val="样式 正文首行缩进 + 宋体1"/>
    <w:basedOn w:val="aff7"/>
    <w:link w:val="1Char6"/>
    <w:pPr>
      <w:tabs>
        <w:tab w:val="left" w:pos="1120"/>
      </w:tabs>
      <w:topLinePunct/>
      <w:adjustRightInd w:val="0"/>
      <w:snapToGrid w:val="0"/>
      <w:spacing w:after="0" w:line="360" w:lineRule="auto"/>
      <w:ind w:firstLineChars="233" w:firstLine="559"/>
      <w:textAlignment w:val="baseline"/>
    </w:pPr>
    <w:rPr>
      <w:color w:val="000000"/>
      <w:kern w:val="0"/>
      <w:sz w:val="24"/>
    </w:rPr>
  </w:style>
  <w:style w:type="character" w:customStyle="1" w:styleId="1Char6">
    <w:name w:val="样式 正文首行缩进 + 宋体1 Char"/>
    <w:link w:val="1fff5"/>
    <w:rPr>
      <w:color w:val="000000"/>
      <w:sz w:val="24"/>
      <w:szCs w:val="24"/>
    </w:rPr>
  </w:style>
  <w:style w:type="paragraph" w:customStyle="1" w:styleId="2ffc">
    <w:name w:val="正文首行缩进 2 + 数字宋体"/>
    <w:basedOn w:val="aff7"/>
    <w:link w:val="2Charc"/>
    <w:pPr>
      <w:tabs>
        <w:tab w:val="left" w:pos="0"/>
        <w:tab w:val="left" w:pos="870"/>
        <w:tab w:val="left" w:pos="3150"/>
      </w:tabs>
      <w:wordWrap w:val="0"/>
      <w:adjustRightInd w:val="0"/>
      <w:snapToGrid w:val="0"/>
      <w:spacing w:after="0" w:line="336" w:lineRule="auto"/>
      <w:ind w:firstLineChars="150" w:firstLine="360"/>
      <w:textAlignment w:val="baseline"/>
    </w:pPr>
    <w:rPr>
      <w:sz w:val="24"/>
    </w:rPr>
  </w:style>
  <w:style w:type="character" w:customStyle="1" w:styleId="2Charc">
    <w:name w:val="正文首行缩进 2 + 数字宋体 Char"/>
    <w:link w:val="2ffc"/>
    <w:rPr>
      <w:kern w:val="2"/>
      <w:sz w:val="24"/>
      <w:szCs w:val="24"/>
    </w:rPr>
  </w:style>
  <w:style w:type="paragraph" w:customStyle="1" w:styleId="095323">
    <w:name w:val="样式 首行缩进:  0.95 厘米 段前: 3 磅 行距: 固定值 23 磅"/>
    <w:basedOn w:val="a0"/>
    <w:pPr>
      <w:adjustRightInd w:val="0"/>
      <w:spacing w:line="360" w:lineRule="auto"/>
      <w:ind w:firstLine="539"/>
      <w:textAlignment w:val="baseline"/>
    </w:pPr>
    <w:rPr>
      <w:rFonts w:cs="宋体"/>
      <w:kern w:val="0"/>
      <w:sz w:val="24"/>
    </w:rPr>
  </w:style>
  <w:style w:type="paragraph" w:customStyle="1" w:styleId="affffffffff5">
    <w:name w:val="表内文字"/>
    <w:basedOn w:val="a0"/>
    <w:link w:val="Charfff8"/>
    <w:qFormat/>
    <w:pPr>
      <w:widowControl/>
      <w:adjustRightInd w:val="0"/>
      <w:snapToGrid w:val="0"/>
      <w:spacing w:line="400" w:lineRule="exact"/>
      <w:jc w:val="center"/>
    </w:pPr>
    <w:rPr>
      <w:kern w:val="0"/>
      <w:sz w:val="24"/>
      <w:lang w:val="x-none" w:eastAsia="x-none"/>
    </w:rPr>
  </w:style>
  <w:style w:type="character" w:customStyle="1" w:styleId="Charfff8">
    <w:name w:val="表内文字 Char"/>
    <w:link w:val="affffffffff5"/>
    <w:rPr>
      <w:sz w:val="24"/>
      <w:szCs w:val="24"/>
    </w:rPr>
  </w:style>
  <w:style w:type="paragraph" w:customStyle="1" w:styleId="affffffffff6">
    <w:name w:val="图文框"/>
    <w:basedOn w:val="a0"/>
    <w:pPr>
      <w:framePr w:hSpace="181" w:vSpace="181" w:wrap="around" w:vAnchor="text" w:hAnchor="text" w:y="1"/>
      <w:adjustRightInd w:val="0"/>
      <w:snapToGrid w:val="0"/>
      <w:jc w:val="center"/>
    </w:pPr>
    <w:rPr>
      <w:sz w:val="24"/>
      <w:szCs w:val="21"/>
    </w:rPr>
  </w:style>
  <w:style w:type="paragraph" w:customStyle="1" w:styleId="CharCharCharChar5">
    <w:name w:val="Char Char Char Char5"/>
    <w:basedOn w:val="a0"/>
    <w:pPr>
      <w:spacing w:beforeLines="20" w:line="440" w:lineRule="atLeast"/>
      <w:ind w:firstLineChars="200" w:firstLine="200"/>
      <w:jc w:val="center"/>
    </w:pPr>
    <w:rPr>
      <w:sz w:val="24"/>
    </w:rPr>
  </w:style>
  <w:style w:type="paragraph" w:customStyle="1" w:styleId="BodyTextFirstIndent3">
    <w:name w:val="Body Text First Indent3"/>
    <w:basedOn w:val="af2"/>
    <w:pPr>
      <w:tabs>
        <w:tab w:val="left" w:pos="7840"/>
      </w:tabs>
      <w:adjustRightInd w:val="0"/>
      <w:spacing w:before="120" w:after="120" w:line="360" w:lineRule="auto"/>
      <w:ind w:firstLine="567"/>
      <w:jc w:val="both"/>
      <w:textAlignment w:val="baseline"/>
    </w:pPr>
    <w:rPr>
      <w:kern w:val="28"/>
      <w:sz w:val="28"/>
      <w:szCs w:val="20"/>
      <w:lang w:val="en-US" w:eastAsia="zh-CN"/>
    </w:rPr>
  </w:style>
  <w:style w:type="paragraph" w:customStyle="1" w:styleId="250">
    <w:name w:val="样式 表头 + 黑色 行距: 固定值 25 磅"/>
    <w:basedOn w:val="affff1"/>
    <w:pPr>
      <w:numPr>
        <w:numId w:val="13"/>
      </w:numPr>
      <w:tabs>
        <w:tab w:val="clear" w:pos="360"/>
      </w:tabs>
      <w:spacing w:line="240" w:lineRule="auto"/>
      <w:ind w:left="0" w:firstLine="0"/>
      <w:jc w:val="both"/>
    </w:pPr>
    <w:rPr>
      <w:rFonts w:ascii="Times New Roman" w:hAnsi="Times New Roman"/>
      <w:b w:val="0"/>
      <w:bCs w:val="0"/>
      <w:sz w:val="21"/>
    </w:rPr>
  </w:style>
  <w:style w:type="paragraph" w:customStyle="1" w:styleId="1510">
    <w:name w:val="样式 行距: 1.5 倍行距1"/>
    <w:basedOn w:val="a0"/>
    <w:pPr>
      <w:spacing w:line="360" w:lineRule="auto"/>
      <w:ind w:firstLineChars="200" w:firstLine="480"/>
    </w:pPr>
    <w:rPr>
      <w:rFonts w:cs="宋体"/>
      <w:sz w:val="24"/>
      <w:szCs w:val="20"/>
    </w:rPr>
  </w:style>
  <w:style w:type="paragraph" w:customStyle="1" w:styleId="affffffffff7">
    <w:name w:val="列表项目"/>
    <w:basedOn w:val="ab"/>
    <w:pPr>
      <w:adjustRightInd/>
      <w:spacing w:before="120"/>
      <w:ind w:left="-105" w:right="-107"/>
      <w:textAlignment w:val="auto"/>
      <w:outlineLvl w:val="0"/>
    </w:pPr>
    <w:rPr>
      <w:bCs/>
      <w:sz w:val="18"/>
    </w:rPr>
  </w:style>
  <w:style w:type="paragraph" w:customStyle="1" w:styleId="2222">
    <w:name w:val="样式 样式 样式 正文首行缩进 2 + 首行缩进:  2 字符 + 首行缩进:  2 字符 + 首行缩进:  2 字符"/>
    <w:basedOn w:val="a0"/>
    <w:pPr>
      <w:spacing w:line="440" w:lineRule="exact"/>
      <w:ind w:firstLineChars="200" w:firstLine="200"/>
    </w:pPr>
    <w:rPr>
      <w:rFonts w:cs="宋体"/>
      <w:sz w:val="24"/>
      <w:szCs w:val="20"/>
    </w:rPr>
  </w:style>
  <w:style w:type="paragraph" w:customStyle="1" w:styleId="affffffffff8">
    <w:name w:val="流程图"/>
    <w:basedOn w:val="a0"/>
    <w:pPr>
      <w:spacing w:line="240" w:lineRule="atLeast"/>
      <w:ind w:firstLineChars="50" w:firstLine="90"/>
    </w:pPr>
    <w:rPr>
      <w:rFonts w:ascii="宋体" w:hAnsi="宋体"/>
      <w:bCs/>
      <w:iCs/>
      <w:sz w:val="18"/>
      <w:szCs w:val="18"/>
    </w:rPr>
  </w:style>
  <w:style w:type="paragraph" w:customStyle="1" w:styleId="affffffffff9">
    <w:name w:val="表标题"/>
    <w:basedOn w:val="28"/>
    <w:link w:val="Charfff9"/>
    <w:qFormat/>
    <w:pPr>
      <w:tabs>
        <w:tab w:val="left" w:pos="0"/>
        <w:tab w:val="left" w:pos="870"/>
        <w:tab w:val="left" w:pos="3150"/>
      </w:tabs>
      <w:autoSpaceDE w:val="0"/>
      <w:autoSpaceDN w:val="0"/>
      <w:adjustRightInd w:val="0"/>
      <w:spacing w:after="0" w:line="360" w:lineRule="auto"/>
      <w:ind w:leftChars="0" w:left="0" w:firstLineChars="0" w:firstLine="0"/>
      <w:jc w:val="center"/>
      <w:textAlignment w:val="baseline"/>
    </w:pPr>
    <w:rPr>
      <w:rFonts w:ascii="Times New Roman" w:eastAsia="黑体" w:hAnsi="Times New Roman"/>
      <w:sz w:val="24"/>
      <w:szCs w:val="24"/>
    </w:rPr>
  </w:style>
  <w:style w:type="character" w:customStyle="1" w:styleId="Charfff9">
    <w:name w:val="表标题 Char"/>
    <w:link w:val="affffffffff9"/>
    <w:qFormat/>
    <w:rPr>
      <w:rFonts w:eastAsia="黑体"/>
      <w:kern w:val="2"/>
      <w:sz w:val="24"/>
      <w:szCs w:val="24"/>
    </w:rPr>
  </w:style>
  <w:style w:type="character" w:customStyle="1" w:styleId="CharCharChar0">
    <w:name w:val="报告正文 Char Char Char"/>
    <w:rPr>
      <w:rFonts w:eastAsia="宋体" w:cs="宋体"/>
      <w:snapToGrid w:val="0"/>
      <w:kern w:val="24"/>
      <w:sz w:val="24"/>
      <w:szCs w:val="21"/>
      <w:lang w:val="en-US" w:eastAsia="zh-CN" w:bidi="ar-SA"/>
    </w:rPr>
  </w:style>
  <w:style w:type="character" w:customStyle="1" w:styleId="4Char1">
    <w:name w:val="样式 标题 4 + (西文) 宋体 Char"/>
    <w:rPr>
      <w:rFonts w:ascii="宋体" w:eastAsia="黑体" w:hAnsi="宋体"/>
      <w:b/>
      <w:bCs/>
      <w:kern w:val="2"/>
      <w:sz w:val="24"/>
      <w:szCs w:val="28"/>
      <w:lang w:val="en-US" w:eastAsia="zh-CN" w:bidi="ar-SA"/>
    </w:rPr>
  </w:style>
  <w:style w:type="paragraph" w:customStyle="1" w:styleId="2ffd">
    <w:name w:val="样式 列表项目符号 2 + 五号"/>
    <w:basedOn w:val="21"/>
    <w:pPr>
      <w:tabs>
        <w:tab w:val="clear" w:pos="360"/>
      </w:tabs>
      <w:adjustRightInd w:val="0"/>
      <w:spacing w:line="300" w:lineRule="auto"/>
      <w:ind w:left="0" w:firstLine="0"/>
      <w:jc w:val="center"/>
      <w:textAlignment w:val="baseline"/>
    </w:pPr>
    <w:rPr>
      <w:color w:val="000000"/>
      <w:spacing w:val="-10"/>
      <w:kern w:val="0"/>
      <w:szCs w:val="24"/>
    </w:rPr>
  </w:style>
  <w:style w:type="character" w:customStyle="1" w:styleId="2Chard">
    <w:name w:val="列表项目符号 2 Char"/>
    <w:rPr>
      <w:rFonts w:eastAsia="宋体"/>
      <w:sz w:val="21"/>
      <w:szCs w:val="21"/>
      <w:lang w:val="en-US" w:eastAsia="zh-CN" w:bidi="ar-SA"/>
    </w:rPr>
  </w:style>
  <w:style w:type="paragraph" w:customStyle="1" w:styleId="affffffffffa">
    <w:name w:val="责任表文"/>
    <w:basedOn w:val="a0"/>
    <w:pPr>
      <w:adjustRightInd w:val="0"/>
      <w:jc w:val="center"/>
      <w:textAlignment w:val="baseline"/>
    </w:pPr>
    <w:rPr>
      <w:rFonts w:hAnsi="宋体"/>
      <w:snapToGrid w:val="0"/>
      <w:kern w:val="24"/>
      <w:sz w:val="28"/>
      <w:szCs w:val="28"/>
    </w:rPr>
  </w:style>
  <w:style w:type="paragraph" w:customStyle="1" w:styleId="221">
    <w:name w:val="样式 样式 正文首行缩进 + 首行缩进:  2 字符 + 首行缩进:  2 字符"/>
    <w:basedOn w:val="a0"/>
    <w:pPr>
      <w:topLinePunct/>
      <w:adjustRightInd w:val="0"/>
      <w:snapToGrid w:val="0"/>
      <w:spacing w:line="360" w:lineRule="auto"/>
      <w:ind w:firstLineChars="200" w:firstLine="480"/>
      <w:textAlignment w:val="baseline"/>
    </w:pPr>
    <w:rPr>
      <w:rFonts w:eastAsia="Times New Roman" w:hAnsi="宋体"/>
      <w:kern w:val="0"/>
      <w:sz w:val="24"/>
    </w:rPr>
  </w:style>
  <w:style w:type="paragraph" w:customStyle="1" w:styleId="affffffffffb">
    <w:name w:val="封面"/>
    <w:basedOn w:val="1"/>
    <w:pPr>
      <w:keepLines/>
      <w:adjustRightInd w:val="0"/>
      <w:spacing w:beforeLines="0" w:before="0" w:afterLines="0" w:after="0" w:line="240" w:lineRule="auto"/>
      <w:textAlignment w:val="baseline"/>
    </w:pPr>
    <w:rPr>
      <w:rFonts w:ascii="Times New Roman" w:hAnsi="Times New Roman"/>
      <w:snapToGrid w:val="0"/>
      <w:kern w:val="44"/>
      <w:sz w:val="52"/>
      <w:szCs w:val="20"/>
    </w:rPr>
  </w:style>
  <w:style w:type="paragraph" w:customStyle="1" w:styleId="affffffffffc">
    <w:name w:val="方程式"/>
    <w:basedOn w:val="afff7"/>
    <w:pPr>
      <w:suppressAutoHyphens w:val="0"/>
      <w:overflowPunct w:val="0"/>
      <w:autoSpaceDE w:val="0"/>
      <w:autoSpaceDN w:val="0"/>
      <w:adjustRightInd w:val="0"/>
      <w:spacing w:before="60" w:after="60" w:line="240" w:lineRule="auto"/>
      <w:jc w:val="left"/>
      <w:textAlignment w:val="bottom"/>
    </w:pPr>
    <w:rPr>
      <w:rFonts w:ascii="宋体"/>
      <w:color w:val="008000"/>
      <w:spacing w:val="24"/>
      <w:kern w:val="0"/>
    </w:rPr>
  </w:style>
  <w:style w:type="paragraph" w:customStyle="1" w:styleId="TimesNewRomanChar">
    <w:name w:val="样式 正文首行缩进 + Times New Roman Char"/>
    <w:basedOn w:val="aff7"/>
    <w:pPr>
      <w:topLinePunct/>
      <w:adjustRightInd w:val="0"/>
      <w:snapToGrid w:val="0"/>
      <w:spacing w:after="0" w:line="300" w:lineRule="auto"/>
      <w:ind w:firstLineChars="200" w:firstLine="200"/>
      <w:textAlignment w:val="baseline"/>
    </w:pPr>
    <w:rPr>
      <w:kern w:val="0"/>
      <w:sz w:val="24"/>
      <w:lang w:val="en-US" w:eastAsia="zh-CN"/>
    </w:rPr>
  </w:style>
  <w:style w:type="character" w:customStyle="1" w:styleId="TimesNewRomanCharChar">
    <w:name w:val="样式 正文首行缩进 + Times New Roman Char Char"/>
    <w:rPr>
      <w:rFonts w:ascii="宋体" w:eastAsia="宋体" w:hAnsi="宋体"/>
      <w:sz w:val="24"/>
      <w:szCs w:val="24"/>
      <w:lang w:val="en-US" w:eastAsia="zh-CN" w:bidi="ar-SA"/>
    </w:rPr>
  </w:style>
  <w:style w:type="paragraph" w:customStyle="1" w:styleId="2ffe">
    <w:name w:val="样式 正文首行缩进 + 首行缩进:  2 字符"/>
    <w:basedOn w:val="aff7"/>
    <w:pPr>
      <w:topLinePunct/>
      <w:adjustRightInd w:val="0"/>
      <w:snapToGrid w:val="0"/>
      <w:spacing w:after="0" w:line="360" w:lineRule="auto"/>
      <w:ind w:firstLineChars="200" w:firstLine="200"/>
      <w:textAlignment w:val="baseline"/>
    </w:pPr>
    <w:rPr>
      <w:rFonts w:ascii="宋体" w:hAnsi="宋体"/>
      <w:kern w:val="0"/>
      <w:sz w:val="24"/>
      <w:szCs w:val="20"/>
      <w:lang w:val="en-US" w:eastAsia="zh-CN"/>
    </w:rPr>
  </w:style>
  <w:style w:type="character" w:customStyle="1" w:styleId="2Chare">
    <w:name w:val="样式 列表项目符号 2 + 五号 Char"/>
    <w:rPr>
      <w:lang w:val="en-US" w:eastAsia="zh-CN" w:bidi="ar-SA"/>
    </w:rPr>
  </w:style>
  <w:style w:type="paragraph" w:customStyle="1" w:styleId="2Charf">
    <w:name w:val="首行缩进:  2 字符 Char"/>
    <w:basedOn w:val="a0"/>
    <w:pPr>
      <w:spacing w:line="300" w:lineRule="auto"/>
      <w:ind w:firstLineChars="200" w:firstLine="480"/>
    </w:pPr>
    <w:rPr>
      <w:snapToGrid w:val="0"/>
      <w:sz w:val="24"/>
      <w:szCs w:val="21"/>
    </w:rPr>
  </w:style>
  <w:style w:type="character" w:customStyle="1" w:styleId="2CharChar6">
    <w:name w:val="首行缩进:  2 字符 Char Char"/>
    <w:rPr>
      <w:rFonts w:eastAsia="宋体" w:cs="宋体"/>
      <w:snapToGrid w:val="0"/>
      <w:kern w:val="2"/>
      <w:sz w:val="24"/>
      <w:szCs w:val="21"/>
      <w:lang w:val="en-US" w:eastAsia="zh-CN" w:bidi="ar-SA"/>
    </w:rPr>
  </w:style>
  <w:style w:type="character" w:customStyle="1" w:styleId="CharCharf2">
    <w:name w:val="表格文字 Char Char"/>
    <w:aliases w:val="表格文字 Char1,标题3 Char1,文字缩进 Char Char,纯文本1 Char,普通文字1 Char,普通文字 Char Char Char Char Char Char Char Char Char Char Char Char Char Char Char Char,标题3 Char Char1"/>
    <w:qFormat/>
    <w:rPr>
      <w:rFonts w:ascii="宋体" w:eastAsia="宋体" w:hAnsi="宋体"/>
      <w:sz w:val="21"/>
      <w:szCs w:val="24"/>
      <w:lang w:val="en-US" w:eastAsia="zh-CN" w:bidi="ar-SA"/>
    </w:rPr>
  </w:style>
  <w:style w:type="paragraph" w:customStyle="1" w:styleId="66125">
    <w:name w:val="宋体 小四 段前: 6 磅 段后: 6 磅 行距: 多倍行距 1.25 字行"/>
    <w:basedOn w:val="a0"/>
    <w:pPr>
      <w:spacing w:before="120" w:after="120" w:line="300" w:lineRule="auto"/>
      <w:jc w:val="center"/>
    </w:pPr>
    <w:rPr>
      <w:rFonts w:ascii="宋体"/>
      <w:sz w:val="24"/>
      <w:szCs w:val="20"/>
    </w:rPr>
  </w:style>
  <w:style w:type="paragraph" w:customStyle="1" w:styleId="2fff">
    <w:name w:val="首行缩进:  2 字符"/>
    <w:basedOn w:val="a0"/>
    <w:pPr>
      <w:spacing w:line="300" w:lineRule="auto"/>
      <w:ind w:firstLineChars="200" w:firstLine="480"/>
    </w:pPr>
    <w:rPr>
      <w:sz w:val="24"/>
      <w:szCs w:val="20"/>
    </w:rPr>
  </w:style>
  <w:style w:type="paragraph" w:customStyle="1" w:styleId="223">
    <w:name w:val="样式 样式 样式 正文首行缩进 + 首行缩进:  2 字符 + 首行缩进:  2 字符 + 宋体"/>
    <w:basedOn w:val="221"/>
    <w:rPr>
      <w:rFonts w:ascii="宋体"/>
    </w:rPr>
  </w:style>
  <w:style w:type="character" w:customStyle="1" w:styleId="2Charf0">
    <w:name w:val="样式 正文首行缩进 + 首行缩进:  2 字符 Char"/>
    <w:rPr>
      <w:rFonts w:ascii="宋体" w:eastAsia="宋体" w:hAnsi="宋体" w:cs="宋体"/>
      <w:sz w:val="24"/>
      <w:szCs w:val="24"/>
      <w:lang w:val="en-US" w:eastAsia="zh-CN" w:bidi="ar-SA"/>
    </w:rPr>
  </w:style>
  <w:style w:type="character" w:customStyle="1" w:styleId="22Char">
    <w:name w:val="样式 样式 正文首行缩进 + 首行缩进:  2 字符 + 首行缩进:  2 字符 Char"/>
    <w:rPr>
      <w:lang w:val="en-US" w:eastAsia="zh-CN" w:bidi="ar-SA"/>
    </w:rPr>
  </w:style>
  <w:style w:type="character" w:customStyle="1" w:styleId="22Char0">
    <w:name w:val="样式 样式 样式 正文首行缩进 + 首行缩进:  2 字符 + 首行缩进:  2 字符 + 宋体 Char"/>
    <w:rPr>
      <w:lang w:val="en-US" w:eastAsia="zh-CN" w:bidi="ar-SA"/>
    </w:rPr>
  </w:style>
  <w:style w:type="paragraph" w:customStyle="1" w:styleId="224">
    <w:name w:val="样式 样式 样式 样式 正文首行缩进 + 首行缩进:  2 字符 + 首行缩进:  2 字符 + 宋体 + (中文) 宋体"/>
    <w:basedOn w:val="223"/>
  </w:style>
  <w:style w:type="character" w:customStyle="1" w:styleId="22Char1">
    <w:name w:val="样式 样式 样式 样式 正文首行缩进 + 首行缩进:  2 字符 + 首行缩进:  2 字符 + 宋体 + (中文) 宋体 Char"/>
    <w:rPr>
      <w:lang w:val="en-US" w:eastAsia="zh-CN" w:bidi="ar-SA"/>
    </w:rPr>
  </w:style>
  <w:style w:type="paragraph" w:customStyle="1" w:styleId="22Time">
    <w:name w:val="样式 样式 样式 正文首行缩进 + 首行缩进:  2 字符 + 首行缩进:  2 字符 + (中文) 宋体 (符号) Time..."/>
    <w:basedOn w:val="221"/>
    <w:rPr>
      <w:color w:val="000000"/>
    </w:rPr>
  </w:style>
  <w:style w:type="character" w:customStyle="1" w:styleId="22TimeChar">
    <w:name w:val="样式 样式 样式 正文首行缩进 + 首行缩进:  2 字符 + 首行缩进:  2 字符 + (中文) 宋体 (符号) Time... Char"/>
    <w:rPr>
      <w:rFonts w:ascii="宋体" w:eastAsia="宋体" w:hAnsi="宋体" w:cs="宋体"/>
      <w:color w:val="000000"/>
      <w:sz w:val="24"/>
      <w:szCs w:val="24"/>
      <w:lang w:val="en-US" w:eastAsia="zh-CN" w:bidi="ar-SA"/>
    </w:rPr>
  </w:style>
  <w:style w:type="character" w:customStyle="1" w:styleId="Char1f1">
    <w:name w:val="正文首行缩进 Char1"/>
    <w:aliases w:val="可研-正文首行缩进 Char Char Char Char1, Char Char Char Char Char Char Char Char Char Char Char Char Char Char Char Char Char Char Char Char Char Char Char Char Char Char Char Char1,正文首行缩进 Char Char Char1,正文首行缩进 Char Char Char Char Char Char Char1"/>
    <w:qFormat/>
    <w:rPr>
      <w:rFonts w:ascii="宋体" w:eastAsia="宋体" w:hAnsi="宋体"/>
      <w:sz w:val="24"/>
      <w:szCs w:val="24"/>
      <w:lang w:val="en-US" w:eastAsia="zh-CN" w:bidi="ar-SA"/>
    </w:rPr>
  </w:style>
  <w:style w:type="character" w:customStyle="1" w:styleId="2Char13">
    <w:name w:val="样式 正文首行缩进 + 首行缩进:  2 字符 Char1"/>
    <w:rPr>
      <w:rFonts w:ascii="宋体" w:eastAsia="宋体" w:hAnsi="宋体" w:cs="宋体"/>
      <w:sz w:val="24"/>
      <w:szCs w:val="24"/>
      <w:lang w:val="en-US" w:eastAsia="zh-CN" w:bidi="ar-SA"/>
    </w:rPr>
  </w:style>
  <w:style w:type="character" w:customStyle="1" w:styleId="22Char10">
    <w:name w:val="样式 样式 正文首行缩进 + 首行缩进:  2 字符 + 首行缩进:  2 字符 Char1"/>
    <w:rPr>
      <w:lang w:val="en-US" w:eastAsia="zh-CN" w:bidi="ar-SA"/>
    </w:rPr>
  </w:style>
  <w:style w:type="character" w:customStyle="1" w:styleId="Charfffa">
    <w:name w:val="列表项目符号 Char"/>
    <w:rPr>
      <w:rFonts w:eastAsia="宋体"/>
      <w:bCs/>
      <w:snapToGrid w:val="0"/>
      <w:kern w:val="24"/>
      <w:sz w:val="24"/>
      <w:szCs w:val="24"/>
      <w:lang w:val="en-US" w:eastAsia="zh-CN" w:bidi="ar-SA"/>
    </w:rPr>
  </w:style>
  <w:style w:type="paragraph" w:customStyle="1" w:styleId="affffffffffd">
    <w:name w:val="流程图文字"/>
    <w:basedOn w:val="a0"/>
    <w:pPr>
      <w:spacing w:before="100" w:beforeAutospacing="1" w:after="40"/>
      <w:jc w:val="center"/>
    </w:pPr>
  </w:style>
  <w:style w:type="character" w:customStyle="1" w:styleId="Char23">
    <w:name w:val="正文首行缩进 Char2"/>
    <w:rPr>
      <w:rFonts w:ascii="宋体" w:eastAsia="宋体" w:hAnsi="宋体"/>
      <w:sz w:val="24"/>
      <w:szCs w:val="24"/>
      <w:lang w:val="en-US" w:eastAsia="zh-CN" w:bidi="ar-SA"/>
    </w:rPr>
  </w:style>
  <w:style w:type="character" w:customStyle="1" w:styleId="2Char21">
    <w:name w:val="样式 正文首行缩进 + 首行缩进:  2 字符 Char2"/>
    <w:rPr>
      <w:rFonts w:ascii="宋体" w:eastAsia="宋体" w:hAnsi="宋体" w:cs="宋体"/>
      <w:sz w:val="24"/>
      <w:szCs w:val="24"/>
      <w:lang w:val="en-US" w:eastAsia="zh-CN" w:bidi="ar-SA"/>
    </w:rPr>
  </w:style>
  <w:style w:type="paragraph" w:customStyle="1" w:styleId="TableTitle">
    <w:name w:val="Table Title"/>
    <w:basedOn w:val="a0"/>
    <w:pPr>
      <w:widowControl/>
      <w:spacing w:line="360" w:lineRule="auto"/>
      <w:jc w:val="center"/>
    </w:pPr>
    <w:rPr>
      <w:rFonts w:ascii="Arial" w:hAnsi="Arial"/>
      <w:color w:val="000080"/>
      <w:kern w:val="0"/>
      <w:sz w:val="24"/>
      <w:szCs w:val="20"/>
      <w:lang w:eastAsia="en-US"/>
    </w:rPr>
  </w:style>
  <w:style w:type="paragraph" w:customStyle="1" w:styleId="xl49">
    <w:name w:val="xl4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character" w:customStyle="1" w:styleId="22Char2">
    <w:name w:val="样式 样式 正文首行缩进 + 首行缩进:  2 字符 + 首行缩进:  2 字符 Char2"/>
    <w:rPr>
      <w:rFonts w:ascii="宋体" w:eastAsia="宋体" w:hAnsi="宋体" w:cs="宋体"/>
      <w:snapToGrid w:val="0"/>
      <w:kern w:val="24"/>
      <w:sz w:val="24"/>
      <w:szCs w:val="24"/>
      <w:lang w:val="en-US" w:eastAsia="zh-CN" w:bidi="ar-SA"/>
    </w:rPr>
  </w:style>
  <w:style w:type="paragraph" w:customStyle="1" w:styleId="affffffffffe">
    <w:name w:val="表列标题"/>
    <w:basedOn w:val="a0"/>
    <w:pPr>
      <w:spacing w:line="312" w:lineRule="auto"/>
      <w:jc w:val="center"/>
    </w:pPr>
    <w:rPr>
      <w:rFonts w:ascii="黑体" w:eastAsia="黑体" w:hint="eastAsia"/>
      <w:sz w:val="24"/>
    </w:rPr>
  </w:style>
  <w:style w:type="character" w:customStyle="1" w:styleId="CharChar11">
    <w:name w:val="题注 Char Char1"/>
    <w:rPr>
      <w:rFonts w:ascii="Arial" w:eastAsia="宋体" w:hAnsi="Arial" w:cs="Arial"/>
      <w:kern w:val="2"/>
      <w:sz w:val="24"/>
      <w:szCs w:val="24"/>
      <w:lang w:val="en-US" w:eastAsia="zh-CN" w:bidi="ar-SA"/>
    </w:rPr>
  </w:style>
  <w:style w:type="character" w:customStyle="1" w:styleId="ss">
    <w:name w:val="ss"/>
  </w:style>
  <w:style w:type="character" w:customStyle="1" w:styleId="a10">
    <w:name w:val="a1"/>
    <w:rPr>
      <w:rFonts w:ascii="新宋体" w:eastAsia="新宋体" w:hAnsi="新宋体" w:hint="eastAsia"/>
      <w:strike w:val="0"/>
      <w:dstrike w:val="0"/>
      <w:color w:val="000000"/>
      <w:sz w:val="18"/>
      <w:szCs w:val="18"/>
      <w:u w:val="none"/>
    </w:rPr>
  </w:style>
  <w:style w:type="character" w:customStyle="1" w:styleId="1fff6">
    <w:name w:val="题注1"/>
    <w:aliases w:val="题注 Char Char Char Char Char Char1,题注 Char Char Char Char Char Char Char Char,题注2,题注 Char Char Char Char Char Char Char Char1,题注11,题注 Char Char Char Char Char Char1 Char1,题注 Char Char Char Char Char Char Char Char2"/>
    <w:rPr>
      <w:rFonts w:ascii="Arial" w:eastAsia="宋体" w:hAnsi="Arial" w:cs="Arial"/>
      <w:kern w:val="2"/>
      <w:sz w:val="24"/>
      <w:szCs w:val="24"/>
      <w:lang w:val="en-US" w:eastAsia="zh-CN" w:bidi="ar-SA"/>
    </w:rPr>
  </w:style>
  <w:style w:type="character" w:customStyle="1" w:styleId="420">
    <w:name w:val="标题 42"/>
    <w:aliases w:val="标题 4 Char Char1,标题 41 Char"/>
    <w:rPr>
      <w:rFonts w:eastAsia="黑体"/>
      <w:b/>
      <w:bCs/>
      <w:kern w:val="2"/>
      <w:sz w:val="24"/>
      <w:szCs w:val="28"/>
      <w:lang w:val="en-US" w:eastAsia="zh-CN" w:bidi="ar-SA"/>
    </w:rPr>
  </w:style>
  <w:style w:type="character" w:customStyle="1" w:styleId="4CharCharChar">
    <w:name w:val="标题 4 Char Char Char"/>
    <w:aliases w:val="标题 41 Char Char"/>
    <w:rPr>
      <w:rFonts w:ascii="Arial" w:eastAsia="黑体" w:hAnsi="Arial"/>
      <w:bCs/>
      <w:snapToGrid w:val="0"/>
      <w:kern w:val="24"/>
      <w:sz w:val="24"/>
      <w:lang w:val="en-US" w:eastAsia="zh-CN" w:bidi="ar-SA"/>
    </w:rPr>
  </w:style>
  <w:style w:type="character" w:customStyle="1" w:styleId="CharCharChar3">
    <w:name w:val="题注 Char Char Char"/>
    <w:rPr>
      <w:rFonts w:ascii="Arial" w:eastAsia="宋体" w:hAnsi="Arial" w:cs="Arial"/>
      <w:snapToGrid w:val="0"/>
      <w:kern w:val="24"/>
      <w:sz w:val="24"/>
      <w:lang w:val="en-US" w:eastAsia="zh-CN" w:bidi="ar-SA"/>
    </w:rPr>
  </w:style>
  <w:style w:type="paragraph" w:customStyle="1" w:styleId="afffffffffff">
    <w:name w:val="表格项目"/>
    <w:pPr>
      <w:adjustRightInd w:val="0"/>
      <w:spacing w:beforeLines="25"/>
      <w:jc w:val="center"/>
      <w:textAlignment w:val="baseline"/>
    </w:pPr>
    <w:rPr>
      <w:rFonts w:cs="宋体"/>
      <w:snapToGrid w:val="0"/>
      <w:kern w:val="24"/>
      <w:sz w:val="24"/>
    </w:rPr>
  </w:style>
  <w:style w:type="paragraph" w:customStyle="1" w:styleId="2025">
    <w:name w:val="样式 正文首行缩进 2 + 段前: 0.25 行"/>
    <w:basedOn w:val="28"/>
    <w:pPr>
      <w:tabs>
        <w:tab w:val="left" w:pos="420"/>
        <w:tab w:val="left" w:pos="870"/>
        <w:tab w:val="left" w:pos="3150"/>
      </w:tabs>
      <w:autoSpaceDE w:val="0"/>
      <w:autoSpaceDN w:val="0"/>
      <w:adjustRightInd w:val="0"/>
      <w:spacing w:beforeLines="25" w:after="0" w:line="360" w:lineRule="auto"/>
      <w:ind w:leftChars="0" w:left="0" w:firstLineChars="0" w:firstLine="527"/>
      <w:textAlignment w:val="baseline"/>
    </w:pPr>
    <w:rPr>
      <w:rFonts w:ascii="宋体" w:eastAsia="宋体" w:hAnsi="Times New Roman" w:cs="宋体"/>
      <w:sz w:val="24"/>
      <w:szCs w:val="20"/>
      <w:lang w:val="en-US" w:eastAsia="zh-CN"/>
    </w:rPr>
  </w:style>
  <w:style w:type="character" w:customStyle="1" w:styleId="Char1f2">
    <w:name w:val="节标题 Char1"/>
    <w:aliases w:val="节 Char Char"/>
    <w:rPr>
      <w:rFonts w:ascii="黑体" w:eastAsia="黑体"/>
      <w:b/>
      <w:bCs/>
      <w:smallCaps/>
      <w:kern w:val="2"/>
      <w:sz w:val="28"/>
      <w:szCs w:val="32"/>
      <w:lang w:val="en-US" w:eastAsia="zh-CN" w:bidi="ar-SA"/>
    </w:rPr>
  </w:style>
  <w:style w:type="paragraph" w:customStyle="1" w:styleId="2220">
    <w:name w:val="样式 样式 正文首行缩进 2 + 首行缩进:  2 字符 + 首行缩进:  2 字符"/>
    <w:basedOn w:val="a0"/>
    <w:pPr>
      <w:spacing w:before="100" w:beforeAutospacing="1" w:after="100" w:afterAutospacing="1" w:line="440" w:lineRule="exact"/>
      <w:ind w:firstLineChars="200" w:firstLine="200"/>
    </w:pPr>
    <w:rPr>
      <w:rFonts w:cs="宋体"/>
      <w:sz w:val="24"/>
      <w:szCs w:val="20"/>
    </w:rPr>
  </w:style>
  <w:style w:type="paragraph" w:customStyle="1" w:styleId="afffffffffff0">
    <w:name w:val="加粗"/>
    <w:basedOn w:val="a0"/>
    <w:link w:val="Charfffb"/>
    <w:pPr>
      <w:keepNext/>
      <w:spacing w:line="560" w:lineRule="atLeast"/>
      <w:ind w:firstLineChars="200" w:firstLine="200"/>
    </w:pPr>
    <w:rPr>
      <w:rFonts w:eastAsia="仿宋_GB2312"/>
      <w:b/>
      <w:sz w:val="28"/>
      <w:szCs w:val="18"/>
      <w:lang w:val="x-none" w:eastAsia="x-none"/>
    </w:rPr>
  </w:style>
  <w:style w:type="character" w:customStyle="1" w:styleId="Charfffb">
    <w:name w:val="居中 Char"/>
    <w:link w:val="afffffffffff0"/>
    <w:rPr>
      <w:rFonts w:eastAsia="仿宋_GB2312"/>
      <w:b/>
      <w:kern w:val="2"/>
      <w:sz w:val="28"/>
      <w:szCs w:val="18"/>
    </w:rPr>
  </w:style>
  <w:style w:type="character" w:customStyle="1" w:styleId="CharCharCharChar0">
    <w:name w:val="正文首行缩进 Char Char Char Char"/>
    <w:rPr>
      <w:rFonts w:ascii="宋体" w:eastAsia="宋体"/>
      <w:spacing w:val="20"/>
      <w:kern w:val="2"/>
      <w:sz w:val="24"/>
      <w:szCs w:val="24"/>
      <w:lang w:val="en-US" w:eastAsia="zh-CN" w:bidi="ar-SA"/>
    </w:rPr>
  </w:style>
  <w:style w:type="paragraph" w:customStyle="1" w:styleId="3Char5">
    <w:name w:val="3 Char"/>
    <w:basedOn w:val="a0"/>
    <w:rPr>
      <w:szCs w:val="21"/>
    </w:rPr>
  </w:style>
  <w:style w:type="paragraph" w:customStyle="1" w:styleId="CharCharf3">
    <w:name w:val="首行缩进 Char Char"/>
    <w:basedOn w:val="a0"/>
    <w:pPr>
      <w:snapToGrid w:val="0"/>
      <w:spacing w:line="360" w:lineRule="auto"/>
      <w:ind w:firstLine="499"/>
    </w:pPr>
    <w:rPr>
      <w:sz w:val="24"/>
      <w:szCs w:val="20"/>
    </w:rPr>
  </w:style>
  <w:style w:type="character" w:customStyle="1" w:styleId="CharCharChar10">
    <w:name w:val="首行缩进 Char Char Char1"/>
    <w:rPr>
      <w:rFonts w:ascii="宋体" w:eastAsia="宋体"/>
      <w:kern w:val="2"/>
      <w:sz w:val="24"/>
      <w:lang w:val="en-US" w:eastAsia="zh-CN" w:bidi="ar-SA"/>
    </w:rPr>
  </w:style>
  <w:style w:type="character" w:customStyle="1" w:styleId="2TimesNewRomanCharChar">
    <w:name w:val="样式 正文首行缩进 2 + Times New Roman Char Char"/>
    <w:rPr>
      <w:rFonts w:ascii="宋体" w:eastAsia="宋体"/>
      <w:kern w:val="2"/>
      <w:sz w:val="24"/>
      <w:szCs w:val="28"/>
      <w:lang w:val="en-US" w:eastAsia="zh-CN" w:bidi="ar-SA"/>
    </w:rPr>
  </w:style>
  <w:style w:type="paragraph" w:customStyle="1" w:styleId="1fff7">
    <w:name w:val="正文文本首行缩进1"/>
    <w:basedOn w:val="a0"/>
    <w:pPr>
      <w:adjustRightInd w:val="0"/>
      <w:spacing w:before="120" w:line="288" w:lineRule="auto"/>
      <w:textAlignment w:val="baseline"/>
    </w:pPr>
    <w:rPr>
      <w:color w:val="000000"/>
      <w:spacing w:val="20"/>
      <w:sz w:val="28"/>
      <w:szCs w:val="20"/>
    </w:rPr>
  </w:style>
  <w:style w:type="paragraph" w:customStyle="1" w:styleId="afffffffffff1">
    <w:name w:val="中远正文"/>
    <w:basedOn w:val="a0"/>
    <w:pPr>
      <w:adjustRightInd w:val="0"/>
      <w:snapToGrid w:val="0"/>
      <w:spacing w:line="360" w:lineRule="auto"/>
      <w:ind w:firstLineChars="200" w:firstLine="480"/>
      <w:textAlignment w:val="baseline"/>
    </w:pPr>
    <w:rPr>
      <w:bCs/>
      <w:color w:val="FF0000"/>
      <w:sz w:val="24"/>
    </w:rPr>
  </w:style>
  <w:style w:type="paragraph" w:customStyle="1" w:styleId="25253">
    <w:name w:val="&amp;#25253"/>
    <w:basedOn w:val="a0"/>
    <w:pPr>
      <w:spacing w:line="360" w:lineRule="auto"/>
      <w:ind w:firstLine="482"/>
    </w:pPr>
    <w:rPr>
      <w:sz w:val="24"/>
      <w:szCs w:val="21"/>
    </w:rPr>
  </w:style>
  <w:style w:type="paragraph" w:customStyle="1" w:styleId="20505">
    <w:name w:val="样式 标题 2节标题节 + 段前: 0.5 行 段后: 0.5 行"/>
    <w:basedOn w:val="2"/>
    <w:pPr>
      <w:keepNext w:val="0"/>
      <w:numPr>
        <w:ilvl w:val="1"/>
      </w:numPr>
      <w:tabs>
        <w:tab w:val="left" w:pos="576"/>
      </w:tabs>
      <w:adjustRightInd w:val="0"/>
      <w:spacing w:beforeLines="50" w:afterLines="50" w:line="400" w:lineRule="exact"/>
      <w:ind w:left="576" w:hanging="576"/>
      <w:jc w:val="both"/>
      <w:textAlignment w:val="baseline"/>
    </w:pPr>
    <w:rPr>
      <w:rFonts w:ascii="宋体" w:eastAsia="宋体" w:cs="宋体"/>
      <w:snapToGrid w:val="0"/>
      <w:color w:val="000000"/>
      <w:kern w:val="24"/>
    </w:rPr>
  </w:style>
  <w:style w:type="paragraph" w:customStyle="1" w:styleId="3Char31111CharCharChar">
    <w:name w:val="样式 标题 3小标题小节标题头 Char标题 31小标题1小节标题1小节标题1 Char Char头 Char ..."/>
    <w:basedOn w:val="3"/>
    <w:pPr>
      <w:keepNext w:val="0"/>
      <w:keepLines w:val="0"/>
      <w:numPr>
        <w:ilvl w:val="2"/>
      </w:numPr>
      <w:tabs>
        <w:tab w:val="left" w:pos="927"/>
      </w:tabs>
      <w:adjustRightInd w:val="0"/>
      <w:spacing w:line="400" w:lineRule="exact"/>
      <w:ind w:leftChars="-1" w:left="720" w:hanging="720"/>
      <w:jc w:val="both"/>
      <w:textAlignment w:val="baseline"/>
    </w:pPr>
    <w:rPr>
      <w:rFonts w:ascii="Times New Roman" w:eastAsia="宋体" w:cs="宋体"/>
      <w:snapToGrid w:val="0"/>
      <w:color w:val="000000"/>
      <w:kern w:val="24"/>
      <w:szCs w:val="20"/>
    </w:rPr>
  </w:style>
  <w:style w:type="character" w:customStyle="1" w:styleId="Charfffc">
    <w:name w:val="中远正文 Char"/>
    <w:rPr>
      <w:rFonts w:eastAsia="宋体" w:cs="宋体"/>
      <w:snapToGrid w:val="0"/>
      <w:color w:val="000000"/>
      <w:kern w:val="24"/>
      <w:sz w:val="24"/>
      <w:lang w:val="en-US" w:eastAsia="zh-CN" w:bidi="ar-SA"/>
    </w:rPr>
  </w:style>
  <w:style w:type="character" w:customStyle="1" w:styleId="Charfffd">
    <w:name w:val="表格题注 Char"/>
    <w:link w:val="afffffffffff2"/>
    <w:rPr>
      <w:rFonts w:ascii="宋体" w:hAnsi="宋体" w:cs="宋体"/>
      <w:snapToGrid w:val="0"/>
      <w:kern w:val="24"/>
      <w:sz w:val="24"/>
      <w:szCs w:val="24"/>
    </w:rPr>
  </w:style>
  <w:style w:type="paragraph" w:customStyle="1" w:styleId="afffffffffff2">
    <w:name w:val="表格题注"/>
    <w:basedOn w:val="a0"/>
    <w:link w:val="Charfffd"/>
    <w:pPr>
      <w:adjustRightInd w:val="0"/>
      <w:spacing w:line="360" w:lineRule="auto"/>
      <w:jc w:val="center"/>
      <w:textAlignment w:val="baseline"/>
    </w:pPr>
    <w:rPr>
      <w:rFonts w:ascii="宋体" w:hAnsi="宋体"/>
      <w:snapToGrid w:val="0"/>
      <w:kern w:val="24"/>
      <w:sz w:val="24"/>
      <w:lang w:val="x-none" w:eastAsia="x-none"/>
    </w:rPr>
  </w:style>
  <w:style w:type="character" w:customStyle="1" w:styleId="CharCharCharCharChar0">
    <w:name w:val="题注 Char Char Char Char Char"/>
    <w:rPr>
      <w:rFonts w:ascii="Arial" w:eastAsia="黑体" w:hAnsi="Arial" w:cs="Arial"/>
      <w:kern w:val="2"/>
      <w:lang w:val="en-US" w:eastAsia="zh-CN" w:bidi="ar-SA"/>
    </w:rPr>
  </w:style>
  <w:style w:type="paragraph" w:customStyle="1" w:styleId="CharCharCharCharCharCharCharCharCharChar7">
    <w:name w:val="Char Char Char Char Char Char Char Char Char Char7"/>
    <w:basedOn w:val="a0"/>
    <w:qFormat/>
    <w:pPr>
      <w:spacing w:line="360" w:lineRule="auto"/>
      <w:ind w:firstLineChars="200" w:firstLine="200"/>
    </w:pPr>
    <w:rPr>
      <w:rFonts w:ascii="宋体" w:hAnsi="宋体" w:cs="宋体"/>
      <w:sz w:val="24"/>
    </w:rPr>
  </w:style>
  <w:style w:type="paragraph" w:customStyle="1" w:styleId="gao">
    <w:name w:val="gao"/>
    <w:basedOn w:val="a0"/>
    <w:pPr>
      <w:autoSpaceDE w:val="0"/>
      <w:autoSpaceDN w:val="0"/>
      <w:adjustRightInd w:val="0"/>
      <w:spacing w:line="360" w:lineRule="auto"/>
    </w:pPr>
    <w:rPr>
      <w:rFonts w:ascii="宋体"/>
      <w:kern w:val="0"/>
      <w:sz w:val="28"/>
      <w:szCs w:val="20"/>
    </w:rPr>
  </w:style>
  <w:style w:type="character" w:customStyle="1" w:styleId="CharCharCharCharCharChar">
    <w:name w:val=" Char Char Char Char Char Char"/>
    <w:aliases w:val=" Char Char Char Char Char Char1, Char Char Char Char Char Char Char, Char Char Char Char Char Char2,正文缩进 Char Char Char1"/>
    <w:rPr>
      <w:rFonts w:eastAsia="宋体"/>
      <w:color w:val="000000"/>
      <w:kern w:val="2"/>
      <w:sz w:val="24"/>
      <w:szCs w:val="24"/>
      <w:lang w:val="en-US" w:eastAsia="zh-CN" w:bidi="ar-SA"/>
    </w:rPr>
  </w:style>
  <w:style w:type="paragraph" w:customStyle="1" w:styleId="afffffffffff3">
    <w:name w:val="环评正文"/>
    <w:basedOn w:val="a0"/>
    <w:pPr>
      <w:spacing w:line="360" w:lineRule="auto"/>
    </w:pPr>
    <w:rPr>
      <w:rFonts w:ascii="宋体" w:hAnsi="宋体" w:cs="宋体"/>
      <w:sz w:val="24"/>
      <w:szCs w:val="20"/>
    </w:rPr>
  </w:style>
  <w:style w:type="paragraph" w:customStyle="1" w:styleId="afffffffffff4">
    <w:name w:val="表格字体"/>
    <w:basedOn w:val="a0"/>
    <w:next w:val="a0"/>
    <w:pPr>
      <w:spacing w:line="360" w:lineRule="exact"/>
    </w:pPr>
    <w:rPr>
      <w:rFonts w:ascii="宋体" w:hAnsi="宋体" w:cs="宋体"/>
      <w:szCs w:val="21"/>
    </w:rPr>
  </w:style>
  <w:style w:type="paragraph" w:customStyle="1" w:styleId="ParaCharCharCharCharCharCharChar">
    <w:name w:val="默认段落字体 Para Char Char Char Char Char Char Char"/>
    <w:basedOn w:val="a0"/>
    <w:qFormat/>
    <w:pPr>
      <w:adjustRightInd w:val="0"/>
      <w:spacing w:line="360" w:lineRule="auto"/>
      <w:ind w:left="200" w:hangingChars="200" w:hanging="200"/>
      <w:textAlignment w:val="baseline"/>
    </w:pPr>
    <w:rPr>
      <w:kern w:val="0"/>
      <w:sz w:val="24"/>
      <w:szCs w:val="20"/>
    </w:rPr>
  </w:style>
  <w:style w:type="paragraph" w:customStyle="1" w:styleId="afffffffffff5">
    <w:name w:val="图文"/>
    <w:basedOn w:val="a0"/>
    <w:pPr>
      <w:overflowPunct w:val="0"/>
      <w:autoSpaceDE w:val="0"/>
      <w:autoSpaceDN w:val="0"/>
      <w:spacing w:line="160" w:lineRule="atLeast"/>
      <w:jc w:val="center"/>
      <w:textAlignment w:val="bottom"/>
    </w:pPr>
    <w:rPr>
      <w:bCs/>
      <w:iCs/>
      <w:kern w:val="0"/>
    </w:rPr>
  </w:style>
  <w:style w:type="paragraph" w:customStyle="1" w:styleId="CharCharCharCharCharChar1Char">
    <w:name w:val="Char Char Char Char Char Char1 Char"/>
    <w:basedOn w:val="1"/>
    <w:next w:val="a0"/>
    <w:qFormat/>
    <w:pPr>
      <w:keepNext w:val="0"/>
      <w:widowControl/>
      <w:spacing w:beforeLines="0" w:before="0" w:afterLines="0" w:after="0" w:line="240" w:lineRule="exact"/>
      <w:jc w:val="left"/>
    </w:pPr>
    <w:rPr>
      <w:rFonts w:ascii="Arial" w:hAnsi="Arial" w:cs="Verdana"/>
      <w:smallCaps/>
      <w:kern w:val="0"/>
      <w:sz w:val="24"/>
      <w:szCs w:val="20"/>
      <w:lang w:eastAsia="en-US"/>
    </w:rPr>
  </w:style>
  <w:style w:type="paragraph" w:customStyle="1" w:styleId="2fff0">
    <w:name w:val="样式 左侧:  2 字符"/>
    <w:basedOn w:val="a0"/>
    <w:pPr>
      <w:spacing w:line="360" w:lineRule="auto"/>
      <w:ind w:firstLineChars="200" w:firstLine="480"/>
    </w:pPr>
    <w:rPr>
      <w:rFonts w:cs="宋体"/>
      <w:sz w:val="24"/>
      <w:szCs w:val="20"/>
    </w:rPr>
  </w:style>
  <w:style w:type="paragraph" w:customStyle="1" w:styleId="CharCharCharCharCharChar1Char5">
    <w:name w:val="Char Char Char Char Char Char1 Char5"/>
    <w:basedOn w:val="a0"/>
    <w:pPr>
      <w:widowControl/>
      <w:spacing w:after="160" w:line="240" w:lineRule="exact"/>
      <w:jc w:val="left"/>
    </w:pPr>
    <w:rPr>
      <w:rFonts w:ascii="Arial" w:eastAsia="Times New Roman" w:hAnsi="Arial" w:cs="Verdana"/>
      <w:b/>
      <w:kern w:val="0"/>
      <w:sz w:val="24"/>
      <w:szCs w:val="20"/>
      <w:lang w:eastAsia="en-US"/>
    </w:rPr>
  </w:style>
  <w:style w:type="character" w:customStyle="1" w:styleId="Charfffe">
    <w:name w:val="正文样式 Char"/>
    <w:link w:val="afffffffffff6"/>
    <w:rPr>
      <w:kern w:val="2"/>
      <w:sz w:val="28"/>
      <w:szCs w:val="24"/>
    </w:rPr>
  </w:style>
  <w:style w:type="paragraph" w:customStyle="1" w:styleId="afffffffffff6">
    <w:name w:val="正文样式"/>
    <w:basedOn w:val="a0"/>
    <w:link w:val="Charfffe"/>
    <w:pPr>
      <w:tabs>
        <w:tab w:val="left" w:pos="560"/>
      </w:tabs>
      <w:spacing w:line="360" w:lineRule="auto"/>
      <w:ind w:firstLineChars="200" w:firstLine="560"/>
    </w:pPr>
    <w:rPr>
      <w:sz w:val="28"/>
      <w:lang w:val="x-none" w:eastAsia="x-none"/>
    </w:rPr>
  </w:style>
  <w:style w:type="paragraph" w:customStyle="1" w:styleId="xl168">
    <w:name w:val="xl168"/>
    <w:basedOn w:val="a0"/>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FF0000"/>
      <w:kern w:val="0"/>
      <w:sz w:val="28"/>
      <w:szCs w:val="28"/>
    </w:rPr>
  </w:style>
  <w:style w:type="paragraph" w:customStyle="1" w:styleId="170">
    <w:name w:val="17"/>
    <w:basedOn w:val="a0"/>
    <w:pPr>
      <w:widowControl/>
      <w:snapToGrid w:val="0"/>
      <w:spacing w:before="100" w:beforeAutospacing="1" w:after="120"/>
    </w:pPr>
    <w:rPr>
      <w:kern w:val="0"/>
      <w:szCs w:val="21"/>
    </w:rPr>
  </w:style>
  <w:style w:type="paragraph" w:customStyle="1" w:styleId="p19">
    <w:name w:val="p19"/>
    <w:basedOn w:val="a0"/>
    <w:pPr>
      <w:widowControl/>
      <w:ind w:firstLine="540"/>
    </w:pPr>
    <w:rPr>
      <w:color w:val="000000"/>
      <w:kern w:val="0"/>
      <w:szCs w:val="21"/>
    </w:rPr>
  </w:style>
  <w:style w:type="character" w:customStyle="1" w:styleId="CharChar30">
    <w:name w:val="Char Char3"/>
    <w:rPr>
      <w:rFonts w:ascii="Arial" w:eastAsia="黑体" w:hAnsi="Arial"/>
      <w:b/>
      <w:bCs/>
      <w:kern w:val="2"/>
      <w:sz w:val="32"/>
      <w:szCs w:val="32"/>
      <w:lang w:val="en-US" w:eastAsia="zh-CN" w:bidi="ar-SA"/>
    </w:rPr>
  </w:style>
  <w:style w:type="paragraph" w:customStyle="1" w:styleId="afffffffffff7">
    <w:name w:val="能评正文"/>
    <w:link w:val="Charffff"/>
    <w:qFormat/>
    <w:pPr>
      <w:spacing w:line="560" w:lineRule="exact"/>
      <w:ind w:firstLineChars="200" w:firstLine="600"/>
      <w:jc w:val="both"/>
    </w:pPr>
    <w:rPr>
      <w:rFonts w:ascii="Arial" w:eastAsia="仿宋_GB2312" w:hAnsi="Arial"/>
      <w:spacing w:val="8"/>
      <w:kern w:val="2"/>
      <w:sz w:val="28"/>
      <w:szCs w:val="24"/>
    </w:rPr>
  </w:style>
  <w:style w:type="character" w:customStyle="1" w:styleId="Charffff">
    <w:name w:val="能评正文 Char"/>
    <w:link w:val="afffffffffff7"/>
    <w:rPr>
      <w:rFonts w:ascii="Arial" w:eastAsia="仿宋_GB2312" w:hAnsi="Arial"/>
      <w:spacing w:val="8"/>
      <w:kern w:val="2"/>
      <w:sz w:val="28"/>
      <w:szCs w:val="24"/>
      <w:lang w:bidi="ar-SA"/>
    </w:rPr>
  </w:style>
  <w:style w:type="paragraph" w:customStyle="1" w:styleId="reader-word-layerreader-word-s1-8reader-word-s1-15">
    <w:name w:val="reader-word-layer reader-word-s1-8 reader-word-s1-15"/>
    <w:basedOn w:val="a0"/>
    <w:pPr>
      <w:widowControl/>
      <w:spacing w:before="100" w:beforeAutospacing="1" w:after="100" w:afterAutospacing="1"/>
      <w:jc w:val="left"/>
    </w:pPr>
    <w:rPr>
      <w:rFonts w:ascii="宋体" w:hAnsi="宋体" w:cs="宋体"/>
      <w:kern w:val="0"/>
      <w:sz w:val="24"/>
    </w:rPr>
  </w:style>
  <w:style w:type="paragraph" w:customStyle="1" w:styleId="reader-word-layerreader-word-s1-17">
    <w:name w:val="reader-word-layer reader-word-s1-17"/>
    <w:basedOn w:val="a0"/>
    <w:pPr>
      <w:widowControl/>
      <w:spacing w:before="100" w:beforeAutospacing="1" w:after="100" w:afterAutospacing="1"/>
      <w:jc w:val="left"/>
    </w:pPr>
    <w:rPr>
      <w:rFonts w:ascii="宋体" w:hAnsi="宋体" w:cs="宋体"/>
      <w:kern w:val="0"/>
      <w:sz w:val="24"/>
    </w:rPr>
  </w:style>
  <w:style w:type="paragraph" w:customStyle="1" w:styleId="reader-word-layerreader-word-s1-20">
    <w:name w:val="reader-word-layer reader-word-s1-20"/>
    <w:basedOn w:val="a0"/>
    <w:pPr>
      <w:widowControl/>
      <w:spacing w:before="100" w:beforeAutospacing="1" w:after="100" w:afterAutospacing="1"/>
      <w:jc w:val="left"/>
    </w:pPr>
    <w:rPr>
      <w:rFonts w:ascii="宋体" w:hAnsi="宋体" w:cs="宋体"/>
      <w:kern w:val="0"/>
      <w:sz w:val="24"/>
    </w:rPr>
  </w:style>
  <w:style w:type="paragraph" w:customStyle="1" w:styleId="reader-word-layerreader-word-s1-15">
    <w:name w:val="reader-word-layer reader-word-s1-15"/>
    <w:basedOn w:val="a0"/>
    <w:pPr>
      <w:widowControl/>
      <w:spacing w:before="100" w:beforeAutospacing="1" w:after="100" w:afterAutospacing="1"/>
      <w:jc w:val="left"/>
    </w:pPr>
    <w:rPr>
      <w:rFonts w:ascii="宋体" w:hAnsi="宋体" w:cs="宋体"/>
      <w:kern w:val="0"/>
      <w:sz w:val="24"/>
    </w:rPr>
  </w:style>
  <w:style w:type="paragraph" w:customStyle="1" w:styleId="p17">
    <w:name w:val="p17"/>
    <w:basedOn w:val="a0"/>
    <w:pPr>
      <w:widowControl/>
      <w:snapToGrid w:val="0"/>
      <w:spacing w:before="60"/>
      <w:jc w:val="center"/>
    </w:pPr>
    <w:rPr>
      <w:kern w:val="0"/>
      <w:szCs w:val="21"/>
    </w:rPr>
  </w:style>
  <w:style w:type="character" w:customStyle="1" w:styleId="CharChar40">
    <w:name w:val="Char Char4"/>
    <w:rPr>
      <w:rFonts w:ascii="宋体" w:eastAsia="宋体"/>
      <w:kern w:val="2"/>
      <w:sz w:val="21"/>
      <w:lang w:val="en-US" w:eastAsia="zh-CN" w:bidi="ar-SA"/>
    </w:rPr>
  </w:style>
  <w:style w:type="paragraph" w:customStyle="1" w:styleId="reader-word-layerreader-word-s1-0">
    <w:name w:val="reader-word-layer reader-word-s1-0"/>
    <w:basedOn w:val="a0"/>
    <w:pPr>
      <w:widowControl/>
      <w:spacing w:before="100" w:beforeAutospacing="1" w:after="100" w:afterAutospacing="1"/>
      <w:jc w:val="left"/>
    </w:pPr>
    <w:rPr>
      <w:rFonts w:ascii="宋体" w:hAnsi="宋体" w:cs="宋体"/>
      <w:kern w:val="0"/>
      <w:sz w:val="24"/>
    </w:rPr>
  </w:style>
  <w:style w:type="paragraph" w:customStyle="1" w:styleId="reader-word-layerreader-word-s3-10">
    <w:name w:val="reader-word-layer reader-word-s3-10"/>
    <w:basedOn w:val="a0"/>
    <w:pPr>
      <w:widowControl/>
      <w:spacing w:before="100" w:beforeAutospacing="1" w:after="100" w:afterAutospacing="1"/>
      <w:jc w:val="left"/>
    </w:pPr>
    <w:rPr>
      <w:rFonts w:ascii="宋体" w:hAnsi="宋体" w:cs="宋体"/>
      <w:kern w:val="0"/>
      <w:sz w:val="24"/>
    </w:rPr>
  </w:style>
  <w:style w:type="paragraph" w:customStyle="1" w:styleId="reader-word-layerreader-word-s3-8">
    <w:name w:val="reader-word-layer reader-word-s3-8"/>
    <w:basedOn w:val="a0"/>
    <w:pPr>
      <w:widowControl/>
      <w:spacing w:before="100" w:beforeAutospacing="1" w:after="100" w:afterAutospacing="1"/>
      <w:jc w:val="left"/>
    </w:pPr>
    <w:rPr>
      <w:rFonts w:ascii="宋体" w:hAnsi="宋体" w:cs="宋体"/>
      <w:kern w:val="0"/>
      <w:sz w:val="24"/>
    </w:rPr>
  </w:style>
  <w:style w:type="character" w:customStyle="1" w:styleId="Charffff0">
    <w:name w:val="表内容 Char"/>
    <w:link w:val="afffffffffff8"/>
    <w:locked/>
    <w:rPr>
      <w:rFonts w:eastAsia="仿宋"/>
      <w:sz w:val="24"/>
      <w:szCs w:val="24"/>
    </w:rPr>
  </w:style>
  <w:style w:type="paragraph" w:customStyle="1" w:styleId="afffffffffff8">
    <w:name w:val="表内容"/>
    <w:basedOn w:val="a0"/>
    <w:link w:val="Charffff0"/>
    <w:qFormat/>
    <w:pPr>
      <w:jc w:val="center"/>
    </w:pPr>
    <w:rPr>
      <w:rFonts w:eastAsia="仿宋"/>
      <w:kern w:val="0"/>
      <w:sz w:val="24"/>
      <w:lang w:val="x-none" w:eastAsia="x-none"/>
    </w:rPr>
  </w:style>
  <w:style w:type="character" w:customStyle="1" w:styleId="f4">
    <w:name w:val="f4"/>
  </w:style>
  <w:style w:type="character" w:customStyle="1" w:styleId="subtitle1">
    <w:name w:val="subtitle1"/>
    <w:rPr>
      <w:rFonts w:ascii="ˎ̥" w:hAnsi="ˎ̥" w:hint="default"/>
      <w:vanish w:val="0"/>
      <w:sz w:val="20"/>
      <w:szCs w:val="20"/>
    </w:rPr>
  </w:style>
  <w:style w:type="character" w:customStyle="1" w:styleId="btcontent1">
    <w:name w:val="bt_content1"/>
    <w:rPr>
      <w:strike w:val="0"/>
      <w:dstrike w:val="0"/>
      <w:sz w:val="21"/>
      <w:szCs w:val="21"/>
      <w:u w:val="none"/>
    </w:rPr>
  </w:style>
  <w:style w:type="character" w:customStyle="1" w:styleId="title6">
    <w:name w:val="title6"/>
  </w:style>
  <w:style w:type="character" w:customStyle="1" w:styleId="message">
    <w:name w:val="message"/>
  </w:style>
  <w:style w:type="character" w:customStyle="1" w:styleId="announ-title1">
    <w:name w:val="announ-title1"/>
    <w:rPr>
      <w:b/>
      <w:bCs/>
      <w:vanish w:val="0"/>
      <w:color w:val="008080"/>
      <w:sz w:val="25"/>
      <w:szCs w:val="25"/>
    </w:rPr>
  </w:style>
  <w:style w:type="character" w:customStyle="1" w:styleId="biaoti">
    <w:name w:val="biaoti"/>
  </w:style>
  <w:style w:type="paragraph" w:customStyle="1" w:styleId="Char150">
    <w:name w:val="Char15"/>
    <w:basedOn w:val="a0"/>
    <w:qFormat/>
    <w:pPr>
      <w:spacing w:line="360" w:lineRule="auto"/>
      <w:ind w:firstLineChars="200" w:firstLine="200"/>
    </w:pPr>
    <w:rPr>
      <w:rFonts w:ascii="宋体" w:hAnsi="宋体" w:cs="宋体"/>
      <w:sz w:val="24"/>
    </w:rPr>
  </w:style>
  <w:style w:type="paragraph" w:customStyle="1" w:styleId="reader-word-layerreader-word-s4-15">
    <w:name w:val="reader-word-layer reader-word-s4-15"/>
    <w:basedOn w:val="a0"/>
    <w:pPr>
      <w:widowControl/>
      <w:spacing w:before="100" w:beforeAutospacing="1" w:after="100" w:afterAutospacing="1"/>
      <w:jc w:val="left"/>
    </w:pPr>
    <w:rPr>
      <w:rFonts w:ascii="宋体" w:hAnsi="宋体" w:cs="宋体"/>
      <w:kern w:val="0"/>
      <w:sz w:val="24"/>
    </w:rPr>
  </w:style>
  <w:style w:type="paragraph" w:customStyle="1" w:styleId="reader-word-layerreader-word-s4-10">
    <w:name w:val="reader-word-layer reader-word-s4-10"/>
    <w:basedOn w:val="a0"/>
    <w:pPr>
      <w:widowControl/>
      <w:spacing w:before="100" w:beforeAutospacing="1" w:after="100" w:afterAutospacing="1"/>
      <w:jc w:val="left"/>
    </w:pPr>
    <w:rPr>
      <w:rFonts w:ascii="宋体" w:hAnsi="宋体" w:cs="宋体"/>
      <w:kern w:val="0"/>
      <w:sz w:val="24"/>
    </w:rPr>
  </w:style>
  <w:style w:type="paragraph" w:customStyle="1" w:styleId="reader-word-layerreader-word-s4-3">
    <w:name w:val="reader-word-layer reader-word-s4-3"/>
    <w:basedOn w:val="a0"/>
    <w:pPr>
      <w:widowControl/>
      <w:spacing w:before="100" w:beforeAutospacing="1" w:after="100" w:afterAutospacing="1"/>
      <w:jc w:val="left"/>
    </w:pPr>
    <w:rPr>
      <w:rFonts w:ascii="宋体" w:hAnsi="宋体" w:cs="宋体"/>
      <w:kern w:val="0"/>
      <w:sz w:val="24"/>
    </w:rPr>
  </w:style>
  <w:style w:type="paragraph" w:customStyle="1" w:styleId="CharChar100">
    <w:name w:val="Char Char10"/>
    <w:basedOn w:val="a0"/>
    <w:rPr>
      <w:rFonts w:ascii="宋体" w:eastAsia="Times New Roman" w:hAnsi="宋体"/>
      <w:kern w:val="0"/>
      <w:sz w:val="24"/>
      <w:szCs w:val="20"/>
    </w:rPr>
  </w:style>
  <w:style w:type="character" w:customStyle="1" w:styleId="CharChar50">
    <w:name w:val="Char Char5"/>
    <w:rPr>
      <w:rFonts w:ascii="Arial" w:eastAsia="黑体" w:hAnsi="Arial" w:cs="Arial"/>
      <w:kern w:val="2"/>
      <w:lang w:val="en-US" w:eastAsia="zh-CN" w:bidi="ar-SA"/>
    </w:rPr>
  </w:style>
  <w:style w:type="paragraph" w:customStyle="1" w:styleId="75">
    <w:name w:val="字元 字元7"/>
    <w:basedOn w:val="a0"/>
    <w:next w:val="a0"/>
  </w:style>
  <w:style w:type="character" w:customStyle="1" w:styleId="Char24">
    <w:name w:val="页脚 Char2"/>
    <w:aliases w:val="123YJ Char,Footer1 Char1,页脚1 Char1,Footer-Even Char1,fo Char1,footer odd Char1,odd Char1,footer Final Char1"/>
    <w:uiPriority w:val="99"/>
    <w:qFormat/>
    <w:rPr>
      <w:rFonts w:eastAsia="仿宋_GB2312"/>
      <w:snapToGrid w:val="0"/>
      <w:sz w:val="18"/>
      <w:szCs w:val="18"/>
    </w:rPr>
  </w:style>
  <w:style w:type="character" w:customStyle="1" w:styleId="18Char">
    <w:name w:val="样式18 Char"/>
    <w:link w:val="180"/>
    <w:rPr>
      <w:sz w:val="28"/>
      <w:szCs w:val="28"/>
    </w:rPr>
  </w:style>
  <w:style w:type="paragraph" w:customStyle="1" w:styleId="180">
    <w:name w:val="样式18"/>
    <w:basedOn w:val="a0"/>
    <w:link w:val="18Char"/>
    <w:qFormat/>
    <w:pPr>
      <w:widowControl/>
      <w:spacing w:line="500" w:lineRule="exact"/>
      <w:ind w:firstLineChars="200" w:firstLine="560"/>
      <w:jc w:val="left"/>
    </w:pPr>
    <w:rPr>
      <w:kern w:val="0"/>
      <w:sz w:val="28"/>
      <w:szCs w:val="28"/>
      <w:lang w:val="x-none" w:eastAsia="x-none"/>
    </w:rPr>
  </w:style>
  <w:style w:type="character" w:customStyle="1" w:styleId="afffffffffff9">
    <w:name w:val="正文缩进 字符"/>
    <w:aliases w:val="正文缩进1 字符,表正文 字符,正文非缩进 字符,特点 字符,正文（首行缩进两字）1 字符,标题4 字符,正文（首行缩进两字）1 Char 字符,正文缩进 Char Char Char 字符,正文缩进 Char Char Char Char Char Char Char 字符,正文缩进 Char Char 字符,正文（首行缩进两字） Char Char Char Char Char Char Char 字符,段1 字符,文本条款 字符,正文缩进11 字符"/>
    <w:qFormat/>
    <w:rPr>
      <w:rFonts w:ascii="仿宋_GB2312" w:eastAsia="仿宋_GB2312"/>
      <w:kern w:val="2"/>
      <w:sz w:val="28"/>
      <w:szCs w:val="24"/>
    </w:rPr>
  </w:style>
  <w:style w:type="table" w:customStyle="1" w:styleId="1fff8">
    <w:name w:val="网格型!1"/>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1">
    <w:name w:val="网格型!2"/>
    <w:basedOn w:val="a2"/>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9">
    <w:name w:val="标题 1 字符"/>
    <w:aliases w:val="1级标题 章标题 字符1,预评价 字符1,章标题 字符1,标题 1 预评价 字符1,b1 字符1,H1 字符2,H11 字符2,H12 字符2,1.标题 1 字符1,标题 1 Char Char 字符1,h1 字符1,1st level 字符1,Section Head 字符1,l1 字符1,章标题 1 字符1,featurehead 字符1,§1. 字符1,Heading 1p 字符1,标1 字符2,可研-标题 1 字符2,Part 字符2,H13 字符2,H111 字符2"/>
    <w:qFormat/>
    <w:rPr>
      <w:rFonts w:ascii="宋体" w:hAnsi="宋体" w:cs="Times New Roman"/>
      <w:b/>
      <w:snapToGrid w:val="0"/>
      <w:color w:val="000000"/>
      <w:kern w:val="0"/>
      <w:sz w:val="32"/>
      <w:szCs w:val="20"/>
    </w:rPr>
  </w:style>
  <w:style w:type="character" w:customStyle="1" w:styleId="2fff2">
    <w:name w:val="标题 2 字符"/>
    <w:aliases w:val="标题 2 Char2 字符2,标题 2 Char Char 字符2,标题 2 Char1 Char Char 字符2,标题 2 Char Char Char Char 字符2,标题 2 Char1 Char Char Char Char 字符2,标题 2 Char Char Char Char Char Char 字符2,标题 2 Char2 Char Char 字符2,标题 2 Char1 Char1 Char Char 字符2,第一层条 字符1"/>
    <w:qFormat/>
    <w:rPr>
      <w:rFonts w:ascii="宋体" w:hAnsi="宋体" w:cs="Times New Roman"/>
      <w:b/>
      <w:snapToGrid w:val="0"/>
      <w:color w:val="000000"/>
      <w:kern w:val="0"/>
      <w:sz w:val="30"/>
      <w:szCs w:val="20"/>
    </w:rPr>
  </w:style>
  <w:style w:type="character" w:customStyle="1" w:styleId="3f8">
    <w:name w:val="标题 3 字符"/>
    <w:aliases w:val="REP3 字符2,REP31 字符2,REP32 字符2,REP33 字符2,REP34 字符2,REP35 字符2,REP36 字符2,REP37 字符2,REP38 字符2,REP39 字符2,REP310 字符2,REP311 字符2,REP312 字符2,REP313 字符2,REP314 字符2,REP321 字符2,REP331 字符2,REP341 字符2,REP351 字符2,REP361 字符2,REP371 字符2,REP381 字符2,REP391 字符2"/>
    <w:qFormat/>
    <w:rPr>
      <w:rFonts w:ascii="宋体" w:hAnsi="宋体" w:cs="Times New Roman"/>
      <w:b/>
      <w:snapToGrid w:val="0"/>
      <w:color w:val="000000"/>
      <w:kern w:val="0"/>
      <w:sz w:val="30"/>
      <w:szCs w:val="20"/>
    </w:rPr>
  </w:style>
  <w:style w:type="character" w:customStyle="1" w:styleId="4f2">
    <w:name w:val="标题 4 字符"/>
    <w:aliases w:val="1.1.1.1 字符,标题 4.1.1.1.1 字符,款 字符,四级标题，黑粗，小四，序号 字符,h4 sub sub heading 字符,标4 字符,1.1.1.1 Char 字符,标题 4! 字符,h4 sub sub heading Char 字符,标题 4 Char1 字符,款 Char 字符,标题 4.1.1.1.1 Char 字符,四级标题，黑粗，小四，序号 Char 字符,H4 Char Char 字符,H4 Char Char Char 字符"/>
    <w:qFormat/>
    <w:rPr>
      <w:rFonts w:ascii="等线 Light" w:eastAsia="等线 Light" w:hAnsi="等线 Light" w:cs="Times New Roman"/>
      <w:b/>
      <w:bCs/>
      <w:szCs w:val="28"/>
    </w:rPr>
  </w:style>
  <w:style w:type="character" w:customStyle="1" w:styleId="5d">
    <w:name w:val="标题 5 字符"/>
    <w:aliases w:val="标题 5! 字符,1) 字符,项 字符,无序号，小四黑常规，空两字 字符,无序号，小四黑常规，空两字 Char Char Char Char Char Char 字符,标题 5 Char Char Char Char Char Char 字符,标5 字符,标5 Char 字符,可研-标题 5 字符,一级项 字符,标题 5 Char2 字符,1) Char2 字符,项 Char2 字符,标题 52 字符,1)2 字符,项2 字符,标题 5 Char4 字符,1) Char4 字符"/>
    <w:qFormat/>
    <w:rPr>
      <w:b/>
      <w:bCs/>
      <w:szCs w:val="28"/>
    </w:rPr>
  </w:style>
  <w:style w:type="character" w:customStyle="1" w:styleId="67">
    <w:name w:val="标题 6 字符"/>
    <w:aliases w:val="标题 6! 字符,无节 字符,标题6，6级标题，小四中宋粗，无序号 字符,标题8 字符,二级项 字符,标6 字符,可研-标题 6 字符,标6 Char 字符,标题 6！ 字符,标题 55 字符,. (a.) 字符,b6 字符,标题 6，图标题 字符,无节1 字符,标题81 字符,标题81 Char 字符,无节2 字符,标题82 字符,无节11 字符,标题811 字符,标题81 Char1 字符,无节3 字符,标题83 字符"/>
    <w:qFormat/>
    <w:rPr>
      <w:rFonts w:ascii="等线 Light" w:eastAsia="等线 Light" w:hAnsi="等线 Light" w:cs="Times New Roman"/>
      <w:b/>
      <w:bCs/>
      <w:sz w:val="24"/>
      <w:szCs w:val="24"/>
    </w:rPr>
  </w:style>
  <w:style w:type="character" w:customStyle="1" w:styleId="76">
    <w:name w:val="标题 7 字符"/>
    <w:aliases w:val="表头标准 字符,标7 Char 字符,标7 Char Char Char 字符,. [(1)] 字符"/>
    <w:qFormat/>
    <w:rPr>
      <w:b/>
      <w:bCs/>
      <w:sz w:val="24"/>
      <w:szCs w:val="24"/>
    </w:rPr>
  </w:style>
  <w:style w:type="character" w:customStyle="1" w:styleId="86">
    <w:name w:val="标题 8 字符"/>
    <w:aliases w:val="注 字符,. [(a)] 字符"/>
    <w:qFormat/>
    <w:rPr>
      <w:rFonts w:ascii="等线 Light" w:eastAsia="等线 Light" w:hAnsi="等线 Light" w:cs="Times New Roman"/>
      <w:sz w:val="24"/>
      <w:szCs w:val="24"/>
    </w:rPr>
  </w:style>
  <w:style w:type="character" w:customStyle="1" w:styleId="93">
    <w:name w:val="标题 9 字符"/>
    <w:aliases w:val="Legal Level 1.1.1.1. 字符,append 字符,. [(iii)] 字符"/>
    <w:qFormat/>
    <w:rPr>
      <w:rFonts w:ascii="等线 Light" w:eastAsia="等线 Light" w:hAnsi="等线 Light" w:cs="Times New Roman"/>
      <w:sz w:val="21"/>
      <w:szCs w:val="21"/>
    </w:rPr>
  </w:style>
  <w:style w:type="character" w:customStyle="1" w:styleId="afffffffffffa">
    <w:name w:val="正文文本 字符"/>
    <w:aliases w:val="body text 字符1,bt 字符1,Body Text Char 字符1,Body Text x 字符1,正文文字1 字符1,正文文字 Char 字符1,正文文字 字符1,首行缩进 字符,Body Text(ch) 字符,?y????×? 字符,???? 字符,建议书标准 字符,?y????? 字符,?y???? 字符,Intent-1 字符,正文文字-2 字符,Body Text 1 字符,body tesx 字符,contents 字符,Corpo de texto 字符"/>
    <w:qFormat/>
    <w:rPr>
      <w:sz w:val="21"/>
      <w:szCs w:val="24"/>
    </w:rPr>
  </w:style>
  <w:style w:type="character" w:customStyle="1" w:styleId="afffffffffffb">
    <w:name w:val="页眉 字符"/>
    <w:aliases w:val="页眉zxl 字符3,页眉1 字符3,页眉2 字符3,无页眉 Char Char Char 字符1,无页眉 Char 字符1,无页眉 字符1,页眉（无底线） 字符1,h 字符,页眉，DHCC 公司页眉 字符,ITTHEADER 字符,带横线 字符,Header1 字符,even 字符1,even Char 字符1,页眉2. 字符,页眉0 字符,g 字符1"/>
    <w:uiPriority w:val="99"/>
    <w:qFormat/>
    <w:rPr>
      <w:sz w:val="18"/>
      <w:szCs w:val="18"/>
    </w:rPr>
  </w:style>
  <w:style w:type="character" w:customStyle="1" w:styleId="sh141">
    <w:name w:val="sh141"/>
    <w:rPr>
      <w:b w:val="0"/>
      <w:bCs w:val="0"/>
      <w:color w:val="2B2B2B"/>
      <w:sz w:val="21"/>
      <w:szCs w:val="21"/>
    </w:rPr>
  </w:style>
  <w:style w:type="character" w:customStyle="1" w:styleId="Char25">
    <w:name w:val="批注文字 Char2"/>
    <w:qFormat/>
    <w:rPr>
      <w:rFonts w:eastAsia="仿宋_GB2312"/>
      <w:snapToGrid w:val="0"/>
      <w:sz w:val="28"/>
    </w:rPr>
  </w:style>
  <w:style w:type="character" w:customStyle="1" w:styleId="afffffffffffc">
    <w:name w:val="批注主题 字符"/>
    <w:qFormat/>
    <w:rPr>
      <w:b/>
      <w:bCs/>
    </w:rPr>
  </w:style>
  <w:style w:type="character" w:customStyle="1" w:styleId="afffffffffffd">
    <w:name w:val="纯文本 字符"/>
    <w:aliases w:val="普通文字 Char Char Char 字符,普通文字 Char Char Char Char Char Char Char Char 字符,普通文字 Char Char Char Char Char Char Char 字符, Char 字符,纯文本 Char Char 字符,纯文本 Char1 Char Char 字符,纯文本 Char Char Char Char 字符,文字缩进 Char 字符"/>
    <w:qFormat/>
    <w:rPr>
      <w:rFonts w:ascii="等线" w:eastAsia="等线" w:hAnsi="Courier New" w:cs="Courier New"/>
    </w:rPr>
  </w:style>
  <w:style w:type="character" w:customStyle="1" w:styleId="afffffffffffe">
    <w:name w:val="正文文本缩进 字符"/>
    <w:aliases w:val="特点标题 字符,正文文字 21 字符,正文（首行缩进两字） Char 字符"/>
    <w:qFormat/>
  </w:style>
  <w:style w:type="character" w:customStyle="1" w:styleId="affffffffffff">
    <w:name w:val="批注框文本 字符"/>
    <w:uiPriority w:val="99"/>
    <w:qFormat/>
    <w:rPr>
      <w:sz w:val="18"/>
      <w:szCs w:val="18"/>
    </w:rPr>
  </w:style>
  <w:style w:type="character" w:customStyle="1" w:styleId="2fff3">
    <w:name w:val="正文文本缩进 2 字符"/>
    <w:qFormat/>
  </w:style>
  <w:style w:type="character" w:customStyle="1" w:styleId="3f9">
    <w:name w:val="正文文本 3 字符"/>
    <w:qFormat/>
    <w:rPr>
      <w:sz w:val="16"/>
      <w:szCs w:val="16"/>
    </w:rPr>
  </w:style>
  <w:style w:type="character" w:customStyle="1" w:styleId="affffffffffff0">
    <w:name w:val="日期 字符"/>
    <w:qFormat/>
  </w:style>
  <w:style w:type="character" w:customStyle="1" w:styleId="affffffffffff1">
    <w:name w:val="称呼 字符"/>
    <w:qFormat/>
  </w:style>
  <w:style w:type="character" w:customStyle="1" w:styleId="affffffffffff2">
    <w:name w:val="文档结构图 字符"/>
    <w:qFormat/>
    <w:rPr>
      <w:rFonts w:ascii="Microsoft YaHei UI" w:eastAsia="Microsoft YaHei UI"/>
      <w:sz w:val="18"/>
      <w:szCs w:val="18"/>
    </w:rPr>
  </w:style>
  <w:style w:type="character" w:customStyle="1" w:styleId="2fff4">
    <w:name w:val="正文文本 2 字符"/>
    <w:aliases w:val="表内 字符"/>
    <w:qFormat/>
  </w:style>
  <w:style w:type="character" w:customStyle="1" w:styleId="3fa">
    <w:name w:val="正文文本缩进 3 字符"/>
    <w:qFormat/>
    <w:rPr>
      <w:sz w:val="16"/>
      <w:szCs w:val="16"/>
    </w:rPr>
  </w:style>
  <w:style w:type="paragraph" w:customStyle="1" w:styleId="Char2CharCharChar2">
    <w:name w:val="Char2 Char Char Char2"/>
    <w:basedOn w:val="a0"/>
    <w:rPr>
      <w:sz w:val="24"/>
    </w:rPr>
  </w:style>
  <w:style w:type="paragraph" w:customStyle="1" w:styleId="CharCharChar1CharCharCharCharCharCharCharCharCharCharCharCharCharCharCharChar3">
    <w:name w:val="Char Char Char1 Char Char Char Char Char Char Char Char Char Char Char Char Char Char Char Char3"/>
    <w:basedOn w:val="a0"/>
    <w:pPr>
      <w:widowControl/>
      <w:spacing w:after="160" w:line="240" w:lineRule="exact"/>
      <w:jc w:val="left"/>
    </w:pPr>
    <w:rPr>
      <w:szCs w:val="20"/>
    </w:rPr>
  </w:style>
  <w:style w:type="paragraph" w:customStyle="1" w:styleId="CharChar1CharCharCharCharCharCharCharCharCharCharCharCharCharCharCharCharCharCharCharChar1Char3">
    <w:name w:val="Char Char1 Char Char Char Char Char Char Char Char Char Char Char Char Char Char Char Char Char Char Char Char1 Char3"/>
    <w:basedOn w:val="a0"/>
    <w:pPr>
      <w:spacing w:line="360" w:lineRule="auto"/>
      <w:ind w:firstLineChars="200" w:firstLine="200"/>
    </w:pPr>
    <w:rPr>
      <w:rFonts w:ascii="宋体" w:hAnsi="宋体" w:cs="宋体"/>
      <w:sz w:val="24"/>
    </w:rPr>
  </w:style>
  <w:style w:type="paragraph" w:customStyle="1" w:styleId="CharCharChar1CharCharCharCharCharCharCharCharCharCharCharCharCharCharCharChar2">
    <w:name w:val="Char Char Char1 Char Char Char Char Char Char Char Char Char Char Char Char Char Char Char Char2"/>
    <w:basedOn w:val="a0"/>
    <w:rPr>
      <w:rFonts w:ascii="宋体" w:eastAsia="Times New Roman" w:hAnsi="宋体"/>
      <w:kern w:val="0"/>
      <w:sz w:val="24"/>
      <w:szCs w:val="20"/>
    </w:rPr>
  </w:style>
  <w:style w:type="paragraph" w:styleId="TOC">
    <w:name w:val="TOC Heading"/>
    <w:basedOn w:val="1"/>
    <w:next w:val="a0"/>
    <w:uiPriority w:val="39"/>
    <w:qFormat/>
    <w:pPr>
      <w:keepLines/>
      <w:spacing w:beforeLines="0" w:before="0" w:afterLines="0" w:after="0" w:line="578" w:lineRule="auto"/>
      <w:jc w:val="both"/>
      <w:outlineLvl w:val="9"/>
    </w:pPr>
    <w:rPr>
      <w:rFonts w:ascii="Times New Roman" w:eastAsia="宋体" w:hAnsi="Times New Roman"/>
      <w:bCs/>
      <w:kern w:val="44"/>
      <w:sz w:val="44"/>
      <w:szCs w:val="44"/>
    </w:rPr>
  </w:style>
  <w:style w:type="character" w:customStyle="1" w:styleId="2fff5">
    <w:name w:val="注释标题 字符2"/>
    <w:aliases w:val="注释标题1 字符2"/>
    <w:rPr>
      <w:rFonts w:ascii="宋体" w:cs="Times New Roman"/>
      <w:sz w:val="21"/>
      <w:szCs w:val="20"/>
    </w:rPr>
  </w:style>
  <w:style w:type="character" w:customStyle="1" w:styleId="3113CharChar">
    <w:name w:val="附件3.1.1 样式3 Char Char"/>
    <w:rPr>
      <w:rFonts w:ascii="黑体" w:eastAsia="黑体"/>
      <w:b/>
      <w:szCs w:val="24"/>
    </w:rPr>
  </w:style>
  <w:style w:type="character" w:customStyle="1" w:styleId="6Char2">
    <w:name w:val="标题 6 Char2"/>
    <w:aliases w:val="H6 Char,H61 Char,标题 6表内文字(小四) Char,标题 6 Char Char,第五层条 Char,二级项 Char,编号正文 Char,无节 Char,标题8 Char,标题1.1.1.1.1.1 Char,标题6，6级标题，小四中宋粗，无序号 Char,标题 6! Char,标6 Char1,可研-标题 6 Char,标6 Char Char,标题 6！ Char,标题 55 Char,. (a.) Char,b6 Char,标题 6，图标题 Char"/>
    <w:qFormat/>
    <w:rPr>
      <w:rFonts w:ascii="楷体_GB2312"/>
      <w:b/>
      <w:bCs/>
      <w:kern w:val="2"/>
      <w:sz w:val="32"/>
      <w:szCs w:val="24"/>
    </w:rPr>
  </w:style>
  <w:style w:type="character" w:customStyle="1" w:styleId="225">
    <w:name w:val="正文文本缩进 2 字符2"/>
    <w:aliases w:val="正文文字缩进 21 字符2,Body Text Indent 2 字符2,正文文字缩进 2 字符2"/>
    <w:rPr>
      <w:rFonts w:cs="Times New Roman"/>
      <w:sz w:val="21"/>
      <w:szCs w:val="24"/>
    </w:rPr>
  </w:style>
  <w:style w:type="character" w:customStyle="1" w:styleId="421">
    <w:name w:val="标题 4 字符2"/>
    <w:aliases w:val="H4 字符2,H41 字符1,款标题1.1.1.1 字符1,Map Title 字符1,H42 字符1,H43 字符1,H44 字符1,H411 字符1,H421 字符1,H431 字符1,H45 字符1,H412 字符1,H422 字符1,H432 字符1,H46 字符1,H413 字符1,H423 字符1,H433 字符1,H47 字符1,Number 4 字符1,heading 4 字符1,1.1.1.1 字符2,标题 4.1.1.1.1 字符2,款 字符2,标4 字符1"/>
    <w:qFormat/>
    <w:rPr>
      <w:rFonts w:ascii="Arial" w:eastAsia="黑体" w:hAnsi="Arial" w:cs="Times New Roman"/>
      <w:b/>
      <w:bCs/>
      <w:szCs w:val="28"/>
    </w:rPr>
  </w:style>
  <w:style w:type="character" w:customStyle="1" w:styleId="113CharChar">
    <w:name w:val="附件1.1样式3 Char Char"/>
    <w:rPr>
      <w:rFonts w:ascii="黑体" w:eastAsia="黑体" w:hAnsi="Arial"/>
      <w:b/>
      <w:bCs/>
      <w:szCs w:val="28"/>
    </w:rPr>
  </w:style>
  <w:style w:type="character" w:customStyle="1" w:styleId="Char31">
    <w:name w:val="正文首行缩进 Char3"/>
    <w:aliases w:val="可研-正文首行缩进 Char Char Char Char,Char Char Char Char Char Char Char Char Char Char Char Char Char Char Char Char Char Char Char Char Char Char Char Char Char Char Char Char,正文首行缩进 Char Char Char,正文首行缩进 Char Char Char Char Char Char Char"/>
    <w:rPr>
      <w:kern w:val="2"/>
      <w:sz w:val="21"/>
      <w:szCs w:val="24"/>
    </w:rPr>
  </w:style>
  <w:style w:type="character" w:customStyle="1" w:styleId="1CharChar2">
    <w:name w:val="附件1 Char Char"/>
    <w:rPr>
      <w:rFonts w:eastAsia="黑体"/>
      <w:b/>
      <w:sz w:val="32"/>
      <w:szCs w:val="28"/>
    </w:rPr>
  </w:style>
  <w:style w:type="character" w:customStyle="1" w:styleId="1113CharChar">
    <w:name w:val="附件1.1.1样式3 Char Char"/>
    <w:rPr>
      <w:rFonts w:ascii="黑体" w:eastAsia="黑体" w:hAnsi="Arial"/>
      <w:b/>
      <w:bCs/>
      <w:szCs w:val="32"/>
    </w:rPr>
  </w:style>
  <w:style w:type="character" w:customStyle="1" w:styleId="111CharChar">
    <w:name w:val="附件1.1.1 Char Char"/>
    <w:rPr>
      <w:b/>
      <w:bCs/>
    </w:rPr>
  </w:style>
  <w:style w:type="character" w:customStyle="1" w:styleId="213CharChar">
    <w:name w:val="附件2.1 样式3 Char Char"/>
    <w:rPr>
      <w:b/>
      <w:bCs/>
    </w:rPr>
  </w:style>
  <w:style w:type="character" w:customStyle="1" w:styleId="313CharChar">
    <w:name w:val="附件3.1 样式3 Char Char"/>
  </w:style>
  <w:style w:type="character" w:customStyle="1" w:styleId="21013CharChar">
    <w:name w:val="附件2.10.1样式3 Char Char"/>
    <w:rPr>
      <w:rFonts w:ascii="黑体" w:eastAsia="黑体" w:hAnsi="宋体"/>
      <w:b/>
      <w:szCs w:val="28"/>
    </w:rPr>
  </w:style>
  <w:style w:type="character" w:customStyle="1" w:styleId="12CharChar">
    <w:name w:val="附件1样式2 Char Char"/>
    <w:rPr>
      <w:rFonts w:eastAsia="黑体"/>
      <w:b/>
      <w:sz w:val="32"/>
      <w:szCs w:val="28"/>
    </w:rPr>
  </w:style>
  <w:style w:type="character" w:customStyle="1" w:styleId="113CharChar0">
    <w:name w:val="附件1.1 样式3 Char Char"/>
    <w:rPr>
      <w:rFonts w:ascii="黑体" w:eastAsia="黑体" w:hAnsi="Arial"/>
      <w:b/>
      <w:bCs/>
      <w:szCs w:val="28"/>
    </w:rPr>
  </w:style>
  <w:style w:type="character" w:customStyle="1" w:styleId="2113CharChar">
    <w:name w:val="附件2.1.1样式3 Char Char"/>
    <w:rPr>
      <w:rFonts w:ascii="黑体" w:eastAsia="黑体" w:hAnsi="Arial"/>
      <w:b/>
      <w:bCs/>
      <w:szCs w:val="32"/>
    </w:rPr>
  </w:style>
  <w:style w:type="character" w:customStyle="1" w:styleId="1101CharChar">
    <w:name w:val="附件1.10.1 Char Char"/>
  </w:style>
  <w:style w:type="character" w:customStyle="1" w:styleId="281CharChar">
    <w:name w:val="附件2.8.1 Char Char"/>
  </w:style>
  <w:style w:type="character" w:customStyle="1" w:styleId="3113CharChar0">
    <w:name w:val="附件3.1.1样式3 Char Char"/>
    <w:rPr>
      <w:rFonts w:ascii="黑体" w:eastAsia="黑体"/>
      <w:b/>
      <w:szCs w:val="24"/>
    </w:rPr>
  </w:style>
  <w:style w:type="character" w:customStyle="1" w:styleId="2513CharChar">
    <w:name w:val="附件2.5.1样式3 Char Char"/>
  </w:style>
  <w:style w:type="character" w:customStyle="1" w:styleId="3513CharChar">
    <w:name w:val="附件3.5.1 样式3 Char Char"/>
    <w:rPr>
      <w:rFonts w:ascii="黑体" w:eastAsia="黑体"/>
      <w:b/>
      <w:szCs w:val="28"/>
    </w:rPr>
  </w:style>
  <w:style w:type="character" w:customStyle="1" w:styleId="5Char3">
    <w:name w:val="标题 5 Char3"/>
    <w:aliases w:val="H5 Char,H51 Char,标题1.1.1.1.1 Char,Block Label Char,一级项 Char,表头文字 Char,标题1.1.1.1.1 Char Char Char Char Char Char,五 Char,标题 5 Char Char Char1,标题 51 Char,标题 5 Char Char1,第四层条 Char,标题 5! Char,1) Char2,项 Char2,无序号，小四黑常规，空两字 Char2,标5 Char1"/>
    <w:qFormat/>
    <w:rPr>
      <w:b/>
      <w:bCs/>
      <w:kern w:val="2"/>
      <w:sz w:val="28"/>
      <w:szCs w:val="28"/>
    </w:rPr>
  </w:style>
  <w:style w:type="character" w:customStyle="1" w:styleId="2413CharChar">
    <w:name w:val="附件2.4.1样式3 Char Char"/>
  </w:style>
  <w:style w:type="character" w:customStyle="1" w:styleId="3113CharChar1">
    <w:name w:val="附件3.1.1  样式3 Char Char"/>
    <w:rPr>
      <w:rFonts w:ascii="黑体" w:eastAsia="黑体"/>
      <w:b/>
      <w:szCs w:val="24"/>
    </w:rPr>
  </w:style>
  <w:style w:type="character" w:customStyle="1" w:styleId="2313CharChar">
    <w:name w:val="附件2.3.1样式3 Char Char"/>
  </w:style>
  <w:style w:type="character" w:customStyle="1" w:styleId="3513CharChar0">
    <w:name w:val="附件3.5.1样式3 Char Char"/>
  </w:style>
  <w:style w:type="character" w:customStyle="1" w:styleId="21313CharChar">
    <w:name w:val="附件2.13.1样式3 Char Char"/>
    <w:rPr>
      <w:rFonts w:ascii="黑体" w:eastAsia="黑体" w:hAnsi="宋体"/>
      <w:b/>
      <w:szCs w:val="28"/>
    </w:rPr>
  </w:style>
  <w:style w:type="character" w:customStyle="1" w:styleId="2101CharChar">
    <w:name w:val="附件2.10.1 Char Char"/>
  </w:style>
  <w:style w:type="character" w:customStyle="1" w:styleId="213CharChar0">
    <w:name w:val="附件2.1样式3 Char Char"/>
  </w:style>
  <w:style w:type="character" w:customStyle="1" w:styleId="313CharChar0">
    <w:name w:val="附件3.1样式3 Char Char"/>
    <w:rPr>
      <w:rFonts w:ascii="黑体" w:eastAsia="黑体" w:hAnsi="Arial"/>
      <w:b/>
      <w:bCs/>
      <w:szCs w:val="32"/>
    </w:rPr>
  </w:style>
  <w:style w:type="character" w:customStyle="1" w:styleId="CharCharf4">
    <w:name w:val="页脚 Char Char"/>
    <w:rPr>
      <w:rFonts w:ascii="Times New Roman" w:eastAsia="宋体" w:hAnsi="Times New Roman" w:cs="Times New Roman"/>
      <w:sz w:val="18"/>
      <w:szCs w:val="18"/>
    </w:rPr>
  </w:style>
  <w:style w:type="character" w:customStyle="1" w:styleId="2fff6">
    <w:name w:val="纯文本 字符2"/>
    <w:aliases w:val="普通文字 字符1,文字缩进 字符1,普通文字 Char 字符1,注文字 字符1,Char Char Char Char Char Char Char 字符1, Char Char Char Char Char 字符1,Char Char Char Char Char 字符1,ÎÄ×ÖËõ½ø 字符1,??¡Á????? 字符1,???¨¢????? 字符1,???¡§¡é????? 字符1,????¡ì?¨¦????? 字符1,?????¨¬?¡§|????? 字符1,纯 字符"/>
    <w:rPr>
      <w:rFonts w:ascii="宋体" w:hAnsi="Courier New" w:cs="Times New Roman"/>
      <w:sz w:val="21"/>
      <w:szCs w:val="21"/>
    </w:rPr>
  </w:style>
  <w:style w:type="character" w:customStyle="1" w:styleId="affffffffffff3">
    <w:name w:val="宏文本 字符"/>
    <w:uiPriority w:val="99"/>
    <w:rPr>
      <w:rFonts w:ascii="Courier New" w:hAnsi="Courier New" w:cs="Courier New"/>
      <w:kern w:val="2"/>
      <w:sz w:val="24"/>
      <w:szCs w:val="24"/>
    </w:rPr>
  </w:style>
  <w:style w:type="paragraph" w:customStyle="1" w:styleId="Char230">
    <w:name w:val="Char23"/>
    <w:basedOn w:val="a0"/>
    <w:next w:val="a0"/>
    <w:qFormat/>
    <w:pPr>
      <w:widowControl/>
      <w:spacing w:after="160" w:line="240" w:lineRule="exact"/>
    </w:pPr>
    <w:rPr>
      <w:rFonts w:ascii="宋体" w:hAnsi="宋体"/>
      <w:kern w:val="0"/>
      <w:sz w:val="28"/>
    </w:rPr>
  </w:style>
  <w:style w:type="paragraph" w:customStyle="1" w:styleId="2221">
    <w:name w:val="样式 小四 行距: 固定值 22 磅 首行缩进:  2 字符"/>
    <w:basedOn w:val="a0"/>
    <w:pPr>
      <w:tabs>
        <w:tab w:val="left" w:pos="7821"/>
      </w:tabs>
      <w:spacing w:line="360" w:lineRule="auto"/>
      <w:ind w:leftChars="266" w:left="705" w:hangingChars="52" w:hanging="146"/>
    </w:pPr>
    <w:rPr>
      <w:rFonts w:ascii="宋体" w:hAnsi="宋体" w:cs="宋体"/>
      <w:snapToGrid w:val="0"/>
      <w:color w:val="000000"/>
      <w:kern w:val="0"/>
      <w:sz w:val="28"/>
      <w:szCs w:val="28"/>
      <w:lang w:val="zh-CN"/>
    </w:rPr>
  </w:style>
  <w:style w:type="table" w:customStyle="1" w:styleId="1fffa">
    <w:name w:val="灰度表格1"/>
    <w:basedOn w:val="a2"/>
    <w:uiPriority w:val="39"/>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6">
    <w:name w:val="Char Char Char Char Char Char Char Char Char Char6"/>
    <w:basedOn w:val="a0"/>
    <w:pPr>
      <w:spacing w:line="360" w:lineRule="auto"/>
    </w:pPr>
    <w:rPr>
      <w:rFonts w:ascii="宋体" w:hAnsi="宋体"/>
      <w:sz w:val="22"/>
    </w:rPr>
  </w:style>
  <w:style w:type="paragraph" w:customStyle="1" w:styleId="CharCharCharCharCharCharChar5">
    <w:name w:val="Char Char Char Char Char Char Char5"/>
    <w:basedOn w:val="a0"/>
    <w:pPr>
      <w:spacing w:line="360" w:lineRule="auto"/>
    </w:pPr>
    <w:rPr>
      <w:rFonts w:ascii="宋体" w:hAnsi="宋体"/>
      <w:sz w:val="22"/>
    </w:rPr>
  </w:style>
  <w:style w:type="character" w:customStyle="1" w:styleId="nava">
    <w:name w:val="nava"/>
  </w:style>
  <w:style w:type="paragraph" w:customStyle="1" w:styleId="CharChar2CharCharCharCharCharChar">
    <w:name w:val="Char Char2 Char Char Char Char Char Char"/>
    <w:basedOn w:val="a0"/>
    <w:pPr>
      <w:spacing w:line="360" w:lineRule="auto"/>
    </w:pPr>
    <w:rPr>
      <w:rFonts w:ascii="宋体" w:hAnsi="宋体"/>
      <w:sz w:val="22"/>
    </w:rPr>
  </w:style>
  <w:style w:type="paragraph" w:customStyle="1" w:styleId="5e">
    <w:name w:val="表内5"/>
    <w:basedOn w:val="a0"/>
    <w:pPr>
      <w:adjustRightInd w:val="0"/>
      <w:spacing w:line="300" w:lineRule="auto"/>
      <w:jc w:val="left"/>
      <w:textAlignment w:val="baseline"/>
    </w:pPr>
    <w:rPr>
      <w:rFonts w:ascii="宋体"/>
      <w:szCs w:val="20"/>
    </w:rPr>
  </w:style>
  <w:style w:type="paragraph" w:customStyle="1" w:styleId="affffffffffff4">
    <w:name w:val="样式 表中居中文字! + 小四"/>
    <w:basedOn w:val="a0"/>
    <w:pPr>
      <w:keepNext/>
      <w:autoSpaceDE w:val="0"/>
      <w:autoSpaceDN w:val="0"/>
      <w:adjustRightInd w:val="0"/>
      <w:jc w:val="center"/>
    </w:pPr>
    <w:rPr>
      <w:rFonts w:ascii="宋体" w:cs="宋体"/>
      <w:color w:val="000000"/>
      <w:kern w:val="0"/>
      <w:szCs w:val="21"/>
    </w:rPr>
  </w:style>
  <w:style w:type="paragraph" w:customStyle="1" w:styleId="affffffffffff5">
    <w:name w:val="不缩进正文"/>
    <w:basedOn w:val="a0"/>
    <w:pPr>
      <w:spacing w:line="360" w:lineRule="auto"/>
      <w:jc w:val="left"/>
    </w:pPr>
    <w:rPr>
      <w:sz w:val="24"/>
    </w:rPr>
  </w:style>
  <w:style w:type="paragraph" w:customStyle="1" w:styleId="affffffffffff6">
    <w:name w:val="表格备注"/>
    <w:basedOn w:val="7"/>
    <w:next w:val="aff7"/>
    <w:pPr>
      <w:keepLines w:val="0"/>
      <w:tabs>
        <w:tab w:val="left" w:pos="560"/>
      </w:tabs>
      <w:spacing w:before="0" w:after="0" w:line="336" w:lineRule="auto"/>
      <w:jc w:val="center"/>
    </w:pPr>
    <w:rPr>
      <w:rFonts w:ascii="黑体"/>
      <w:b w:val="0"/>
      <w:bCs w:val="0"/>
      <w:sz w:val="21"/>
      <w:szCs w:val="21"/>
    </w:rPr>
  </w:style>
  <w:style w:type="paragraph" w:customStyle="1" w:styleId="ST2032">
    <w:name w:val="ST20_32"/>
    <w:basedOn w:val="afa"/>
    <w:qFormat/>
    <w:pPr>
      <w:keepLines/>
      <w:tabs>
        <w:tab w:val="clear" w:pos="4153"/>
        <w:tab w:val="clear" w:pos="8306"/>
        <w:tab w:val="center" w:pos="4320"/>
      </w:tabs>
      <w:autoSpaceDE w:val="0"/>
      <w:autoSpaceDN w:val="0"/>
      <w:adjustRightInd w:val="0"/>
      <w:snapToGrid/>
      <w:spacing w:line="360" w:lineRule="atLeast"/>
      <w:jc w:val="center"/>
      <w:textAlignment w:val="baseline"/>
    </w:pPr>
    <w:rPr>
      <w:rFonts w:ascii="宋体" w:eastAsia="宋体" w:hAnsi="Tms Rmn"/>
      <w:snapToGrid/>
      <w:kern w:val="2"/>
      <w:sz w:val="28"/>
      <w:szCs w:val="20"/>
    </w:rPr>
  </w:style>
  <w:style w:type="paragraph" w:customStyle="1" w:styleId="gb1">
    <w:name w:val="gb1"/>
    <w:basedOn w:val="a0"/>
    <w:qFormat/>
    <w:pPr>
      <w:widowControl/>
      <w:tabs>
        <w:tab w:val="left" w:pos="227"/>
      </w:tabs>
      <w:overflowPunct w:val="0"/>
      <w:autoSpaceDE w:val="0"/>
      <w:autoSpaceDN w:val="0"/>
      <w:adjustRightInd w:val="0"/>
      <w:spacing w:before="120" w:after="120"/>
      <w:jc w:val="left"/>
      <w:textAlignment w:val="baseline"/>
    </w:pPr>
    <w:rPr>
      <w:rFonts w:ascii="Arial" w:eastAsia="仿宋体" w:hAnsi="Arial"/>
      <w:kern w:val="0"/>
      <w:sz w:val="24"/>
      <w:szCs w:val="20"/>
    </w:rPr>
  </w:style>
  <w:style w:type="paragraph" w:customStyle="1" w:styleId="10505">
    <w:name w:val="样式 样式1 + 段前: 0.5 行 段后: 0.5 行"/>
    <w:pPr>
      <w:tabs>
        <w:tab w:val="left" w:pos="960"/>
      </w:tabs>
      <w:spacing w:before="120" w:after="120"/>
      <w:ind w:left="960" w:hanging="420"/>
    </w:pPr>
    <w:rPr>
      <w:rFonts w:ascii="Arial" w:hAnsi="Arial"/>
      <w:b/>
      <w:bCs/>
      <w:sz w:val="24"/>
    </w:rPr>
  </w:style>
  <w:style w:type="paragraph" w:customStyle="1" w:styleId="CharCharCharCharCharCharCharCharChar1Char">
    <w:name w:val="Char Char Char Char Char Char Char Char Char1 Char"/>
    <w:basedOn w:val="a0"/>
    <w:pPr>
      <w:spacing w:line="360" w:lineRule="auto"/>
    </w:pPr>
    <w:rPr>
      <w:rFonts w:ascii="宋体" w:hAnsi="宋体"/>
      <w:sz w:val="22"/>
    </w:rPr>
  </w:style>
  <w:style w:type="paragraph" w:customStyle="1" w:styleId="T2">
    <w:name w:val="T2"/>
    <w:basedOn w:val="a0"/>
    <w:pPr>
      <w:adjustRightInd w:val="0"/>
      <w:spacing w:line="360" w:lineRule="atLeast"/>
      <w:ind w:firstLine="601"/>
      <w:textAlignment w:val="baseline"/>
    </w:pPr>
    <w:rPr>
      <w:rFonts w:ascii="宋体" w:cs="宋体"/>
      <w:color w:val="0000FF"/>
      <w:kern w:val="0"/>
      <w:sz w:val="28"/>
      <w:szCs w:val="28"/>
    </w:rPr>
  </w:style>
  <w:style w:type="table" w:customStyle="1" w:styleId="DefaultTableStyle">
    <w:name w:val="DefaultTableStyle"/>
    <w:uiPriority w:val="99"/>
    <w:rPr>
      <w:rFonts w:ascii="Arial" w:hAnsi="Arial" w:cs="Arial"/>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0" w:type="dxa"/>
        <w:bottom w:w="0" w:type="dxa"/>
        <w:right w:w="0" w:type="dxa"/>
      </w:tblCellMar>
    </w:tblPr>
    <w:trPr>
      <w:jc w:val="center"/>
    </w:trPr>
  </w:style>
  <w:style w:type="paragraph" w:customStyle="1" w:styleId="1fffb">
    <w:name w:val="建设单位名称1"/>
    <w:basedOn w:val="a0"/>
    <w:next w:val="a0"/>
    <w:pPr>
      <w:spacing w:beforeLines="200" w:line="360" w:lineRule="auto"/>
      <w:jc w:val="center"/>
    </w:pPr>
    <w:rPr>
      <w:b/>
      <w:sz w:val="44"/>
      <w:szCs w:val="28"/>
    </w:rPr>
  </w:style>
  <w:style w:type="paragraph" w:customStyle="1" w:styleId="1fffc">
    <w:name w:val="建设项目名称1"/>
    <w:basedOn w:val="1fffb"/>
    <w:pPr>
      <w:spacing w:beforeLines="0"/>
    </w:pPr>
  </w:style>
  <w:style w:type="paragraph" w:customStyle="1" w:styleId="1fffd">
    <w:name w:val="安全设施竣工验收评价报告1"/>
    <w:basedOn w:val="a0"/>
    <w:pPr>
      <w:spacing w:beforeLines="100" w:afterLines="300" w:line="360" w:lineRule="auto"/>
      <w:jc w:val="center"/>
    </w:pPr>
    <w:rPr>
      <w:rFonts w:eastAsia="黑体"/>
      <w:b/>
      <w:sz w:val="52"/>
      <w:szCs w:val="28"/>
    </w:rPr>
  </w:style>
  <w:style w:type="paragraph" w:customStyle="1" w:styleId="affffffffffff7">
    <w:name w:val="建设单位公章"/>
    <w:basedOn w:val="a0"/>
    <w:pPr>
      <w:spacing w:line="360" w:lineRule="auto"/>
      <w:jc w:val="center"/>
    </w:pPr>
    <w:rPr>
      <w:b/>
      <w:sz w:val="32"/>
      <w:szCs w:val="28"/>
    </w:rPr>
  </w:style>
  <w:style w:type="paragraph" w:customStyle="1" w:styleId="2fff7">
    <w:name w:val="建设项目名称2"/>
    <w:basedOn w:val="a0"/>
    <w:pPr>
      <w:spacing w:line="360" w:lineRule="auto"/>
      <w:jc w:val="center"/>
    </w:pPr>
    <w:rPr>
      <w:b/>
      <w:sz w:val="32"/>
      <w:szCs w:val="28"/>
    </w:rPr>
  </w:style>
  <w:style w:type="paragraph" w:customStyle="1" w:styleId="2fff8">
    <w:name w:val="日期2"/>
    <w:basedOn w:val="a0"/>
    <w:qFormat/>
    <w:pPr>
      <w:spacing w:line="360" w:lineRule="auto"/>
      <w:jc w:val="center"/>
    </w:pPr>
    <w:rPr>
      <w:b/>
      <w:sz w:val="28"/>
      <w:szCs w:val="28"/>
    </w:rPr>
  </w:style>
  <w:style w:type="paragraph" w:customStyle="1" w:styleId="affffffffffff8">
    <w:name w:val="前言"/>
    <w:basedOn w:val="a0"/>
    <w:pPr>
      <w:spacing w:beforeLines="100" w:afterLines="100" w:line="360" w:lineRule="auto"/>
      <w:jc w:val="center"/>
      <w:outlineLvl w:val="0"/>
    </w:pPr>
    <w:rPr>
      <w:rFonts w:eastAsia="黑体"/>
      <w:b/>
      <w:spacing w:val="320"/>
      <w:sz w:val="32"/>
      <w:szCs w:val="32"/>
    </w:rPr>
  </w:style>
  <w:style w:type="paragraph" w:customStyle="1" w:styleId="affffffffffff9">
    <w:name w:val="目    录"/>
    <w:basedOn w:val="a0"/>
    <w:pPr>
      <w:spacing w:beforeLines="100" w:afterLines="100" w:line="360" w:lineRule="auto"/>
      <w:jc w:val="center"/>
    </w:pPr>
    <w:rPr>
      <w:rFonts w:eastAsia="黑体"/>
      <w:b/>
      <w:sz w:val="32"/>
      <w:szCs w:val="32"/>
    </w:rPr>
  </w:style>
  <w:style w:type="paragraph" w:customStyle="1" w:styleId="affffffffffffa">
    <w:name w:val="表注第一行"/>
    <w:basedOn w:val="a0"/>
    <w:pPr>
      <w:spacing w:beforeLines="100" w:line="360" w:lineRule="auto"/>
      <w:ind w:firstLineChars="200" w:firstLine="200"/>
    </w:pPr>
    <w:rPr>
      <w:color w:val="000000"/>
      <w:szCs w:val="21"/>
    </w:rPr>
  </w:style>
  <w:style w:type="paragraph" w:customStyle="1" w:styleId="affffffffffffb">
    <w:name w:val="表注最后一行"/>
    <w:basedOn w:val="a0"/>
    <w:pPr>
      <w:spacing w:afterLines="100" w:line="360" w:lineRule="auto"/>
      <w:ind w:firstLineChars="200" w:firstLine="200"/>
    </w:pPr>
    <w:rPr>
      <w:szCs w:val="28"/>
    </w:rPr>
  </w:style>
  <w:style w:type="paragraph" w:customStyle="1" w:styleId="affffffffffffc">
    <w:name w:val="暂时"/>
    <w:basedOn w:val="a0"/>
    <w:rPr>
      <w:color w:val="0000FF"/>
      <w:sz w:val="18"/>
      <w:szCs w:val="18"/>
    </w:rPr>
  </w:style>
  <w:style w:type="paragraph" w:customStyle="1" w:styleId="116">
    <w:name w:val="附件1.1"/>
    <w:basedOn w:val="1f0"/>
    <w:next w:val="a0"/>
    <w:pPr>
      <w:autoSpaceDE w:val="0"/>
      <w:autoSpaceDN w:val="0"/>
      <w:adjustRightInd w:val="0"/>
      <w:spacing w:beforeLines="0" w:afterLines="0" w:line="240" w:lineRule="auto"/>
      <w:ind w:left="0" w:firstLine="0"/>
      <w:outlineLvl w:val="9"/>
    </w:pPr>
    <w:rPr>
      <w:rFonts w:ascii="Arial" w:eastAsia="宋体" w:hAnsi="Arial"/>
      <w:b w:val="0"/>
      <w:kern w:val="0"/>
      <w:sz w:val="24"/>
      <w:szCs w:val="20"/>
      <w:lang w:val="en-US" w:eastAsia="zh-CN"/>
    </w:rPr>
  </w:style>
  <w:style w:type="paragraph" w:customStyle="1" w:styleId="Char3CharCharCharCharCharChar3">
    <w:name w:val="Char3 Char Char Char Char Char Char3"/>
    <w:basedOn w:val="a0"/>
    <w:rPr>
      <w:sz w:val="24"/>
    </w:rPr>
  </w:style>
  <w:style w:type="table" w:customStyle="1" w:styleId="1fffe">
    <w:name w:val="黄桥表1"/>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J">
    <w:name w:val="LJ正文"/>
    <w:basedOn w:val="a0"/>
    <w:pPr>
      <w:spacing w:line="360" w:lineRule="auto"/>
      <w:ind w:firstLineChars="200" w:firstLine="560"/>
    </w:pPr>
    <w:rPr>
      <w:rFonts w:ascii="宋体" w:hAnsi="宋体" w:cs="宋体"/>
      <w:sz w:val="28"/>
      <w:szCs w:val="20"/>
    </w:rPr>
  </w:style>
  <w:style w:type="paragraph" w:customStyle="1" w:styleId="2CharChar7">
    <w:name w:val="首行缩进2字符 Char Char"/>
    <w:pPr>
      <w:widowControl w:val="0"/>
      <w:suppressAutoHyphens/>
      <w:adjustRightInd w:val="0"/>
      <w:snapToGrid w:val="0"/>
      <w:spacing w:line="300" w:lineRule="auto"/>
      <w:ind w:firstLineChars="200" w:firstLine="200"/>
      <w:jc w:val="both"/>
    </w:pPr>
    <w:rPr>
      <w:rFonts w:cs="宋体"/>
      <w:kern w:val="2"/>
      <w:sz w:val="28"/>
    </w:rPr>
  </w:style>
  <w:style w:type="character" w:customStyle="1" w:styleId="1Char7">
    <w:name w:val="正文首行缩进1 Char"/>
    <w:rPr>
      <w:sz w:val="28"/>
      <w:szCs w:val="24"/>
    </w:rPr>
  </w:style>
  <w:style w:type="paragraph" w:customStyle="1" w:styleId="affffffffffffd">
    <w:name w:val="表 居左"/>
    <w:basedOn w:val="a0"/>
    <w:next w:val="a0"/>
    <w:link w:val="Charffff1"/>
    <w:pPr>
      <w:ind w:left="1"/>
      <w:jc w:val="left"/>
    </w:pPr>
    <w:rPr>
      <w:rFonts w:ascii="宋体" w:hAnsi="宋体"/>
      <w:sz w:val="24"/>
      <w:szCs w:val="28"/>
      <w:lang w:val="x-none" w:eastAsia="x-none"/>
    </w:rPr>
  </w:style>
  <w:style w:type="character" w:customStyle="1" w:styleId="Charffff1">
    <w:name w:val="表 居左 Char"/>
    <w:link w:val="affffffffffffd"/>
    <w:rPr>
      <w:rFonts w:ascii="宋体" w:hAnsi="宋体"/>
      <w:kern w:val="2"/>
      <w:sz w:val="24"/>
      <w:szCs w:val="28"/>
    </w:rPr>
  </w:style>
  <w:style w:type="paragraph" w:customStyle="1" w:styleId="affffffffffffe">
    <w:name w:val="表 居中"/>
    <w:basedOn w:val="a0"/>
    <w:next w:val="a0"/>
    <w:pPr>
      <w:jc w:val="center"/>
    </w:pPr>
    <w:rPr>
      <w:rFonts w:cs="宋体"/>
      <w:sz w:val="24"/>
      <w:szCs w:val="28"/>
    </w:rPr>
  </w:style>
  <w:style w:type="paragraph" w:customStyle="1" w:styleId="1ffff">
    <w:name w:val="样式1 表标"/>
    <w:basedOn w:val="a0"/>
    <w:pPr>
      <w:adjustRightInd w:val="0"/>
      <w:snapToGrid w:val="0"/>
      <w:spacing w:line="300" w:lineRule="auto"/>
      <w:jc w:val="center"/>
    </w:pPr>
    <w:rPr>
      <w:rFonts w:ascii="宋体" w:eastAsia="黑体" w:hAnsi="宋体"/>
    </w:rPr>
  </w:style>
  <w:style w:type="paragraph" w:customStyle="1" w:styleId="2223">
    <w:name w:val="样式 样式 样式 首行缩进:  2 字符 + 首行缩进:  2 字符 + 首行缩进:  2 字符"/>
    <w:basedOn w:val="a0"/>
    <w:link w:val="222Char"/>
    <w:pPr>
      <w:tabs>
        <w:tab w:val="left" w:pos="540"/>
        <w:tab w:val="left" w:pos="600"/>
        <w:tab w:val="left" w:pos="720"/>
        <w:tab w:val="left" w:pos="1200"/>
        <w:tab w:val="left" w:pos="1440"/>
        <w:tab w:val="left" w:pos="2448"/>
        <w:tab w:val="left" w:pos="3888"/>
        <w:tab w:val="left" w:pos="4800"/>
        <w:tab w:val="left" w:pos="6480"/>
        <w:tab w:val="left" w:pos="6691"/>
        <w:tab w:val="left" w:pos="7353"/>
        <w:tab w:val="left" w:pos="8613"/>
      </w:tabs>
      <w:adjustRightInd w:val="0"/>
      <w:snapToGrid w:val="0"/>
      <w:spacing w:line="360" w:lineRule="auto"/>
      <w:jc w:val="center"/>
      <w:textAlignment w:val="baseline"/>
    </w:pPr>
    <w:rPr>
      <w:rFonts w:ascii="黑体" w:eastAsia="黑体" w:hAnsi="宋体"/>
      <w:snapToGrid w:val="0"/>
      <w:kern w:val="28"/>
      <w:sz w:val="24"/>
      <w:lang w:val="x-none" w:eastAsia="x-none"/>
    </w:rPr>
  </w:style>
  <w:style w:type="character" w:customStyle="1" w:styleId="222Char">
    <w:name w:val="样式 样式 样式 首行缩进:  2 字符 + 首行缩进:  2 字符 + 首行缩进:  2 字符 Char"/>
    <w:link w:val="2223"/>
    <w:rPr>
      <w:rFonts w:ascii="黑体" w:eastAsia="黑体" w:hAnsi="宋体"/>
      <w:snapToGrid w:val="0"/>
      <w:kern w:val="28"/>
      <w:sz w:val="24"/>
      <w:szCs w:val="24"/>
    </w:rPr>
  </w:style>
  <w:style w:type="paragraph" w:customStyle="1" w:styleId="affffff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lj0">
    <w:name w:val="lj"/>
    <w:basedOn w:val="a0"/>
    <w:pPr>
      <w:widowControl/>
      <w:spacing w:before="100" w:beforeAutospacing="1" w:after="100" w:afterAutospacing="1"/>
      <w:jc w:val="left"/>
    </w:pPr>
    <w:rPr>
      <w:rFonts w:ascii="宋体" w:hAnsi="宋体" w:cs="宋体"/>
      <w:kern w:val="0"/>
      <w:sz w:val="24"/>
    </w:rPr>
  </w:style>
  <w:style w:type="paragraph" w:customStyle="1" w:styleId="Char140">
    <w:name w:val="Char14"/>
    <w:basedOn w:val="a0"/>
    <w:pPr>
      <w:spacing w:line="360" w:lineRule="auto"/>
      <w:ind w:firstLineChars="200" w:firstLine="200"/>
    </w:pPr>
    <w:rPr>
      <w:rFonts w:ascii="宋体" w:hAnsi="宋体" w:cs="宋体"/>
      <w:sz w:val="24"/>
      <w:szCs w:val="20"/>
    </w:rPr>
  </w:style>
  <w:style w:type="paragraph" w:customStyle="1" w:styleId="1115">
    <w:name w:val="1.1.1"/>
    <w:basedOn w:val="a0"/>
    <w:pPr>
      <w:adjustRightInd w:val="0"/>
      <w:jc w:val="left"/>
      <w:textAlignment w:val="baseline"/>
    </w:pPr>
    <w:rPr>
      <w:rFonts w:ascii="宋体"/>
      <w:spacing w:val="10"/>
      <w:sz w:val="24"/>
    </w:rPr>
  </w:style>
  <w:style w:type="paragraph" w:customStyle="1" w:styleId="CharCharCharCharCharCharCharChar3">
    <w:name w:val="Char Char Char Char Char Char Char Char3"/>
    <w:basedOn w:val="a0"/>
    <w:pPr>
      <w:spacing w:line="360" w:lineRule="auto"/>
    </w:pPr>
    <w:rPr>
      <w:rFonts w:ascii="宋体" w:hAnsi="宋体"/>
      <w:sz w:val="22"/>
    </w:rPr>
  </w:style>
  <w:style w:type="paragraph" w:customStyle="1" w:styleId="CharChar60">
    <w:name w:val="Char Char6"/>
    <w:basedOn w:val="a0"/>
    <w:pPr>
      <w:tabs>
        <w:tab w:val="left" w:pos="0"/>
      </w:tabs>
    </w:pPr>
    <w:rPr>
      <w:szCs w:val="21"/>
    </w:rPr>
  </w:style>
  <w:style w:type="table" w:customStyle="1" w:styleId="117">
    <w:name w:val="网格型11"/>
    <w:basedOn w:val="a2"/>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1">
    <w:name w:val="网格型c1"/>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0">
    <w:name w:val="周的正文"/>
    <w:link w:val="Charffff2"/>
    <w:pPr>
      <w:spacing w:line="360" w:lineRule="auto"/>
      <w:ind w:firstLineChars="200" w:firstLine="200"/>
      <w:jc w:val="both"/>
    </w:pPr>
    <w:rPr>
      <w:rFonts w:ascii="宋体" w:hAnsi="黑体"/>
      <w:bCs/>
      <w:color w:val="000000"/>
      <w:kern w:val="2"/>
      <w:sz w:val="28"/>
      <w:szCs w:val="28"/>
    </w:rPr>
  </w:style>
  <w:style w:type="character" w:customStyle="1" w:styleId="Charffff2">
    <w:name w:val="周的正文 Char"/>
    <w:link w:val="afffffffffffff0"/>
    <w:rPr>
      <w:rFonts w:ascii="宋体" w:hAnsi="黑体"/>
      <w:bCs/>
      <w:color w:val="000000"/>
      <w:kern w:val="2"/>
      <w:sz w:val="28"/>
      <w:szCs w:val="28"/>
      <w:lang w:bidi="ar-SA"/>
    </w:rPr>
  </w:style>
  <w:style w:type="paragraph" w:customStyle="1" w:styleId="ParaCharCharCharCharCharCharCharCharCharChar">
    <w:name w:val="默认段落字体 Para Char Char Char Char Char Char Char Char Char Char"/>
    <w:basedOn w:val="3"/>
    <w:pPr>
      <w:numPr>
        <w:ilvl w:val="2"/>
      </w:numPr>
      <w:tabs>
        <w:tab w:val="left" w:pos="360"/>
        <w:tab w:val="left" w:pos="720"/>
        <w:tab w:val="left" w:pos="900"/>
      </w:tabs>
      <w:snapToGrid w:val="0"/>
      <w:spacing w:before="120" w:after="120"/>
      <w:ind w:leftChars="-12" w:left="542" w:firstLineChars="200" w:firstLine="200"/>
      <w:jc w:val="both"/>
    </w:pPr>
    <w:rPr>
      <w:rFonts w:ascii="Times New Roman"/>
      <w:b w:val="0"/>
      <w:bCs w:val="0"/>
      <w:snapToGrid w:val="0"/>
      <w:kern w:val="0"/>
      <w:szCs w:val="24"/>
    </w:rPr>
  </w:style>
  <w:style w:type="paragraph" w:customStyle="1" w:styleId="218">
    <w:name w:val="正文缩进21"/>
    <w:basedOn w:val="a0"/>
    <w:pPr>
      <w:spacing w:line="360" w:lineRule="auto"/>
      <w:ind w:firstLineChars="200" w:firstLine="200"/>
    </w:pPr>
    <w:rPr>
      <w:bCs/>
      <w:sz w:val="24"/>
      <w:szCs w:val="21"/>
    </w:rPr>
  </w:style>
  <w:style w:type="character" w:customStyle="1" w:styleId="cdbChar">
    <w:name w:val="cdb Char"/>
    <w:link w:val="cdb"/>
    <w:rPr>
      <w:sz w:val="24"/>
    </w:rPr>
  </w:style>
  <w:style w:type="paragraph" w:customStyle="1" w:styleId="cdb">
    <w:name w:val="cdb"/>
    <w:basedOn w:val="a0"/>
    <w:link w:val="cdbChar"/>
    <w:pPr>
      <w:spacing w:before="120"/>
      <w:ind w:left="851" w:firstLine="482"/>
    </w:pPr>
    <w:rPr>
      <w:kern w:val="0"/>
      <w:sz w:val="24"/>
      <w:szCs w:val="20"/>
      <w:lang w:val="x-none" w:eastAsia="x-none"/>
    </w:rPr>
  </w:style>
  <w:style w:type="character" w:customStyle="1" w:styleId="1Char8">
    <w:name w:val="正文1 Char"/>
    <w:qFormat/>
    <w:rPr>
      <w:rFonts w:cs="Times New Roman"/>
      <w:kern w:val="0"/>
      <w:sz w:val="24"/>
      <w:szCs w:val="28"/>
    </w:rPr>
  </w:style>
  <w:style w:type="character" w:customStyle="1" w:styleId="10Char0">
    <w:name w:val="正文样式10 Char"/>
    <w:link w:val="102"/>
    <w:rPr>
      <w:rFonts w:ascii="宋体" w:hAnsi="宋体" w:cs="Arial"/>
      <w:bCs/>
      <w:color w:val="FF00FF"/>
      <w:sz w:val="24"/>
      <w:lang w:val="zh-CN"/>
    </w:rPr>
  </w:style>
  <w:style w:type="paragraph" w:customStyle="1" w:styleId="102">
    <w:name w:val="正文样式10"/>
    <w:basedOn w:val="a0"/>
    <w:link w:val="10Char0"/>
    <w:pPr>
      <w:spacing w:line="500" w:lineRule="exact"/>
      <w:ind w:firstLineChars="200" w:firstLine="480"/>
    </w:pPr>
    <w:rPr>
      <w:rFonts w:ascii="宋体" w:hAnsi="宋体"/>
      <w:bCs/>
      <w:color w:val="FF00FF"/>
      <w:kern w:val="0"/>
      <w:sz w:val="24"/>
      <w:szCs w:val="20"/>
      <w:lang w:val="zh-CN" w:eastAsia="x-none"/>
    </w:rPr>
  </w:style>
  <w:style w:type="paragraph" w:customStyle="1" w:styleId="Char1CharCharCharCharCharCharCharChar1CharCharCharChar">
    <w:name w:val="Char1 Char Char Char Char Char Char Char Char1 Char Char Char Char"/>
    <w:basedOn w:val="a0"/>
    <w:pPr>
      <w:spacing w:line="360" w:lineRule="auto"/>
      <w:ind w:firstLineChars="200" w:firstLine="200"/>
    </w:pPr>
    <w:rPr>
      <w:rFonts w:ascii="宋体" w:hAnsi="宋体" w:cs="宋体"/>
      <w:sz w:val="24"/>
    </w:rPr>
  </w:style>
  <w:style w:type="paragraph" w:customStyle="1" w:styleId="NewNew">
    <w:name w:val="正文 New New"/>
    <w:pPr>
      <w:widowControl w:val="0"/>
      <w:jc w:val="both"/>
    </w:pPr>
    <w:rPr>
      <w:kern w:val="2"/>
      <w:sz w:val="21"/>
      <w:szCs w:val="24"/>
    </w:rPr>
  </w:style>
  <w:style w:type="table" w:customStyle="1" w:styleId="3fb">
    <w:name w:val="网格型3"/>
    <w:basedOn w:val="a2"/>
    <w:uiPriority w:val="59"/>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2">
    <w:name w:val="正文文本 (15)_"/>
    <w:link w:val="153"/>
    <w:rPr>
      <w:rFonts w:ascii="宋体" w:hAnsi="宋体" w:cs="宋体"/>
      <w:b/>
      <w:bCs/>
      <w:sz w:val="27"/>
      <w:szCs w:val="27"/>
      <w:shd w:val="clear" w:color="auto" w:fill="FFFFFF"/>
    </w:rPr>
  </w:style>
  <w:style w:type="paragraph" w:customStyle="1" w:styleId="153">
    <w:name w:val="正文文本 (15)"/>
    <w:basedOn w:val="a0"/>
    <w:link w:val="152"/>
    <w:pPr>
      <w:shd w:val="clear" w:color="auto" w:fill="FFFFFF"/>
      <w:spacing w:line="695" w:lineRule="exact"/>
      <w:jc w:val="left"/>
    </w:pPr>
    <w:rPr>
      <w:rFonts w:ascii="宋体" w:hAnsi="宋体"/>
      <w:b/>
      <w:bCs/>
      <w:kern w:val="0"/>
      <w:sz w:val="27"/>
      <w:szCs w:val="27"/>
      <w:lang w:val="x-none" w:eastAsia="x-none"/>
    </w:rPr>
  </w:style>
  <w:style w:type="character" w:customStyle="1" w:styleId="1ffff0">
    <w:name w:val="正文文本1"/>
    <w:rPr>
      <w:rFonts w:ascii="Arial Unicode MS" w:eastAsia="Arial Unicode MS" w:hAnsi="Arial Unicode MS" w:cs="Arial Unicode MS"/>
      <w:b w:val="0"/>
      <w:bCs w:val="0"/>
      <w:i w:val="0"/>
      <w:iCs w:val="0"/>
      <w:smallCaps w:val="0"/>
      <w:strike w:val="0"/>
      <w:color w:val="000000"/>
      <w:spacing w:val="0"/>
      <w:w w:val="100"/>
      <w:position w:val="0"/>
      <w:sz w:val="25"/>
      <w:szCs w:val="25"/>
      <w:u w:val="none"/>
      <w:lang w:val="en-US"/>
    </w:rPr>
  </w:style>
  <w:style w:type="table" w:customStyle="1" w:styleId="4f3">
    <w:name w:val="网格型4"/>
    <w:basedOn w:val="a2"/>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1">
    <w:name w:val="@制度条款"/>
    <w:basedOn w:val="a0"/>
    <w:pPr>
      <w:numPr>
        <w:ilvl w:val="1"/>
        <w:numId w:val="14"/>
      </w:numPr>
      <w:tabs>
        <w:tab w:val="left" w:pos="0"/>
        <w:tab w:val="left" w:pos="840"/>
      </w:tabs>
      <w:snapToGrid w:val="0"/>
      <w:spacing w:line="360" w:lineRule="auto"/>
    </w:pPr>
    <w:rPr>
      <w:rFonts w:ascii="Arial" w:eastAsia="仿宋_GB2312" w:hAnsi="Arial"/>
      <w:sz w:val="24"/>
    </w:rPr>
  </w:style>
  <w:style w:type="character" w:customStyle="1" w:styleId="87">
    <w:name w:val="标题 #8_"/>
    <w:link w:val="88"/>
    <w:rPr>
      <w:rFonts w:ascii="Arial Unicode MS" w:eastAsia="Arial Unicode MS" w:hAnsi="Arial Unicode MS" w:cs="Arial Unicode MS"/>
      <w:sz w:val="25"/>
      <w:szCs w:val="25"/>
      <w:shd w:val="clear" w:color="auto" w:fill="FFFFFF"/>
    </w:rPr>
  </w:style>
  <w:style w:type="paragraph" w:customStyle="1" w:styleId="88">
    <w:name w:val="标题 #8"/>
    <w:basedOn w:val="a0"/>
    <w:link w:val="87"/>
    <w:pPr>
      <w:shd w:val="clear" w:color="auto" w:fill="FFFFFF"/>
      <w:spacing w:before="360" w:after="360" w:line="522" w:lineRule="exact"/>
      <w:jc w:val="right"/>
      <w:outlineLvl w:val="7"/>
    </w:pPr>
    <w:rPr>
      <w:rFonts w:ascii="Arial Unicode MS" w:eastAsia="Arial Unicode MS" w:hAnsi="Arial Unicode MS"/>
      <w:kern w:val="0"/>
      <w:sz w:val="25"/>
      <w:szCs w:val="25"/>
      <w:lang w:val="x-none" w:eastAsia="x-none"/>
    </w:rPr>
  </w:style>
  <w:style w:type="paragraph" w:customStyle="1" w:styleId="7878">
    <w:name w:val="样式 段前: 7.8 磅 段后: 7.8 磅"/>
    <w:basedOn w:val="a0"/>
    <w:pPr>
      <w:autoSpaceDE w:val="0"/>
      <w:autoSpaceDN w:val="0"/>
      <w:adjustRightInd w:val="0"/>
      <w:spacing w:before="156" w:after="156"/>
      <w:ind w:firstLineChars="200" w:firstLine="560"/>
    </w:pPr>
    <w:rPr>
      <w:rFonts w:ascii="Arial" w:eastAsia="华文仿宋" w:hAnsi="Arial" w:cs="宋体"/>
      <w:kern w:val="0"/>
      <w:sz w:val="24"/>
    </w:rPr>
  </w:style>
  <w:style w:type="table" w:customStyle="1" w:styleId="5f">
    <w:name w:val="网格型5"/>
    <w:basedOn w:val="a2"/>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pt">
    <w:name w:val="正文文本 + 间距 2 pt"/>
    <w:rPr>
      <w:rFonts w:ascii="Arial Unicode MS" w:eastAsia="Arial Unicode MS" w:hAnsi="Arial Unicode MS" w:cs="Arial Unicode MS"/>
      <w:b w:val="0"/>
      <w:bCs w:val="0"/>
      <w:i w:val="0"/>
      <w:iCs w:val="0"/>
      <w:smallCaps w:val="0"/>
      <w:strike w:val="0"/>
      <w:color w:val="000000"/>
      <w:spacing w:val="40"/>
      <w:w w:val="100"/>
      <w:position w:val="0"/>
      <w:sz w:val="25"/>
      <w:szCs w:val="25"/>
      <w:u w:val="none"/>
      <w:lang w:val="zh-TW"/>
    </w:rPr>
  </w:style>
  <w:style w:type="character" w:customStyle="1" w:styleId="3fc">
    <w:name w:val="正文文本3"/>
    <w:rPr>
      <w:rFonts w:ascii="Arial Unicode MS" w:eastAsia="Arial Unicode MS" w:hAnsi="Arial Unicode MS" w:cs="Arial Unicode MS"/>
      <w:b w:val="0"/>
      <w:bCs w:val="0"/>
      <w:i w:val="0"/>
      <w:iCs w:val="0"/>
      <w:smallCaps w:val="0"/>
      <w:strike w:val="0"/>
      <w:color w:val="000000"/>
      <w:spacing w:val="0"/>
      <w:w w:val="100"/>
      <w:position w:val="0"/>
      <w:sz w:val="25"/>
      <w:szCs w:val="25"/>
      <w:u w:val="none"/>
      <w:lang w:val="zh-TW"/>
    </w:rPr>
  </w:style>
  <w:style w:type="character" w:customStyle="1" w:styleId="4f4">
    <w:name w:val="正文文本4"/>
    <w:rPr>
      <w:rFonts w:ascii="Arial Unicode MS" w:eastAsia="Arial Unicode MS" w:hAnsi="Arial Unicode MS" w:cs="Arial Unicode MS"/>
      <w:b w:val="0"/>
      <w:bCs w:val="0"/>
      <w:i w:val="0"/>
      <w:iCs w:val="0"/>
      <w:smallCaps w:val="0"/>
      <w:strike w:val="0"/>
      <w:color w:val="000000"/>
      <w:spacing w:val="0"/>
      <w:w w:val="100"/>
      <w:position w:val="0"/>
      <w:sz w:val="25"/>
      <w:szCs w:val="25"/>
      <w:u w:val="none"/>
      <w:lang w:val="en-US"/>
    </w:rPr>
  </w:style>
  <w:style w:type="character" w:customStyle="1" w:styleId="-1pt">
    <w:name w:val="正文文本 + 间距 -1 pt"/>
    <w:rPr>
      <w:rFonts w:ascii="Arial Unicode MS" w:eastAsia="Arial Unicode MS" w:hAnsi="Arial Unicode MS" w:cs="Arial Unicode MS"/>
      <w:b w:val="0"/>
      <w:bCs w:val="0"/>
      <w:i w:val="0"/>
      <w:iCs w:val="0"/>
      <w:smallCaps w:val="0"/>
      <w:strike w:val="0"/>
      <w:color w:val="000000"/>
      <w:spacing w:val="-30"/>
      <w:w w:val="100"/>
      <w:position w:val="0"/>
      <w:sz w:val="25"/>
      <w:szCs w:val="25"/>
      <w:u w:val="none"/>
      <w:lang w:val="zh-TW"/>
    </w:rPr>
  </w:style>
  <w:style w:type="character" w:customStyle="1" w:styleId="afffffffffffff2">
    <w:name w:val="表格标题_"/>
    <w:rPr>
      <w:rFonts w:ascii="宋体" w:hAnsi="宋体" w:cs="宋体"/>
      <w:sz w:val="23"/>
      <w:szCs w:val="23"/>
      <w:shd w:val="clear" w:color="auto" w:fill="FFFFFF"/>
    </w:rPr>
  </w:style>
  <w:style w:type="character" w:customStyle="1" w:styleId="ArialUnicodeMS">
    <w:name w:val="表格标题 + Arial Unicode MS"/>
    <w:aliases w:val="11 pt,正文文本 (17) + Arial Unicode MS"/>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en-US"/>
    </w:rPr>
  </w:style>
  <w:style w:type="character" w:customStyle="1" w:styleId="SimSun">
    <w:name w:val="正文文本 + SimSun"/>
    <w:aliases w:val="10 pt"/>
    <w:rPr>
      <w:rFonts w:ascii="宋体" w:eastAsia="宋体" w:hAnsi="宋体" w:cs="宋体"/>
      <w:b w:val="0"/>
      <w:bCs w:val="0"/>
      <w:i w:val="0"/>
      <w:iCs w:val="0"/>
      <w:smallCaps w:val="0"/>
      <w:strike w:val="0"/>
      <w:color w:val="000000"/>
      <w:spacing w:val="0"/>
      <w:w w:val="100"/>
      <w:position w:val="0"/>
      <w:sz w:val="20"/>
      <w:szCs w:val="20"/>
      <w:u w:val="none"/>
      <w:lang w:val="zh-TW"/>
    </w:rPr>
  </w:style>
  <w:style w:type="character" w:customStyle="1" w:styleId="95pt">
    <w:name w:val="正文文本 + 9.5 pt"/>
    <w:aliases w:val="粗体"/>
    <w:rPr>
      <w:rFonts w:ascii="Arial Unicode MS" w:eastAsia="Arial Unicode MS" w:hAnsi="Arial Unicode MS" w:cs="Arial Unicode MS"/>
      <w:b/>
      <w:bCs/>
      <w:i w:val="0"/>
      <w:iCs w:val="0"/>
      <w:smallCaps w:val="0"/>
      <w:strike w:val="0"/>
      <w:color w:val="000000"/>
      <w:spacing w:val="0"/>
      <w:w w:val="100"/>
      <w:position w:val="0"/>
      <w:sz w:val="19"/>
      <w:szCs w:val="19"/>
      <w:u w:val="none"/>
      <w:lang w:val="en-US"/>
    </w:rPr>
  </w:style>
  <w:style w:type="character" w:customStyle="1" w:styleId="11pt">
    <w:name w:val="正文文本 + 11 p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en-US"/>
    </w:rPr>
  </w:style>
  <w:style w:type="character" w:customStyle="1" w:styleId="171">
    <w:name w:val="正文文本 (17)_"/>
    <w:link w:val="172"/>
    <w:rPr>
      <w:rFonts w:ascii="宋体" w:hAnsi="宋体" w:cs="宋体"/>
      <w:sz w:val="23"/>
      <w:szCs w:val="23"/>
      <w:shd w:val="clear" w:color="auto" w:fill="FFFFFF"/>
    </w:rPr>
  </w:style>
  <w:style w:type="paragraph" w:customStyle="1" w:styleId="172">
    <w:name w:val="正文文本 (17)"/>
    <w:basedOn w:val="a0"/>
    <w:link w:val="171"/>
    <w:pPr>
      <w:shd w:val="clear" w:color="auto" w:fill="FFFFFF"/>
      <w:spacing w:before="600" w:after="120" w:line="0" w:lineRule="atLeast"/>
      <w:jc w:val="center"/>
    </w:pPr>
    <w:rPr>
      <w:rFonts w:ascii="宋体" w:hAnsi="宋体"/>
      <w:kern w:val="0"/>
      <w:sz w:val="23"/>
      <w:szCs w:val="23"/>
      <w:lang w:val="x-none" w:eastAsia="x-none"/>
    </w:rPr>
  </w:style>
  <w:style w:type="character" w:customStyle="1" w:styleId="2fff9">
    <w:name w:val="表格标题 (2)_"/>
    <w:link w:val="2fffa"/>
    <w:rPr>
      <w:rFonts w:ascii="Arial Unicode MS" w:eastAsia="Arial Unicode MS" w:hAnsi="Arial Unicode MS" w:cs="Arial Unicode MS"/>
      <w:sz w:val="22"/>
      <w:shd w:val="clear" w:color="auto" w:fill="FFFFFF"/>
    </w:rPr>
  </w:style>
  <w:style w:type="paragraph" w:customStyle="1" w:styleId="2fffa">
    <w:name w:val="表格标题 (2)"/>
    <w:basedOn w:val="a0"/>
    <w:link w:val="2fff9"/>
    <w:pPr>
      <w:shd w:val="clear" w:color="auto" w:fill="FFFFFF"/>
      <w:spacing w:line="0" w:lineRule="atLeast"/>
      <w:jc w:val="left"/>
    </w:pPr>
    <w:rPr>
      <w:rFonts w:ascii="Arial Unicode MS" w:eastAsia="Arial Unicode MS" w:hAnsi="Arial Unicode MS"/>
      <w:kern w:val="0"/>
      <w:sz w:val="22"/>
      <w:szCs w:val="20"/>
      <w:lang w:val="x-none" w:eastAsia="x-none"/>
    </w:rPr>
  </w:style>
  <w:style w:type="character" w:customStyle="1" w:styleId="9pt">
    <w:name w:val="正文文本 + 9 pt"/>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en-US"/>
    </w:rPr>
  </w:style>
  <w:style w:type="character" w:customStyle="1" w:styleId="181">
    <w:name w:val="正文文本 (18)_"/>
    <w:link w:val="182"/>
    <w:rPr>
      <w:rFonts w:ascii="Arial Unicode MS" w:eastAsia="Arial Unicode MS" w:hAnsi="Arial Unicode MS" w:cs="Arial Unicode MS"/>
      <w:sz w:val="22"/>
      <w:shd w:val="clear" w:color="auto" w:fill="FFFFFF"/>
    </w:rPr>
  </w:style>
  <w:style w:type="paragraph" w:customStyle="1" w:styleId="182">
    <w:name w:val="正文文本 (18)"/>
    <w:basedOn w:val="a0"/>
    <w:link w:val="181"/>
    <w:pPr>
      <w:shd w:val="clear" w:color="auto" w:fill="FFFFFF"/>
      <w:spacing w:after="120" w:line="0" w:lineRule="atLeast"/>
      <w:jc w:val="center"/>
    </w:pPr>
    <w:rPr>
      <w:rFonts w:ascii="Arial Unicode MS" w:eastAsia="Arial Unicode MS" w:hAnsi="Arial Unicode MS"/>
      <w:kern w:val="0"/>
      <w:sz w:val="22"/>
      <w:szCs w:val="20"/>
      <w:lang w:val="x-none" w:eastAsia="x-none"/>
    </w:rPr>
  </w:style>
  <w:style w:type="character" w:customStyle="1" w:styleId="3pt">
    <w:name w:val="正文文本 + 间距 3 pt"/>
    <w:rPr>
      <w:rFonts w:ascii="Arial Unicode MS" w:eastAsia="Arial Unicode MS" w:hAnsi="Arial Unicode MS" w:cs="Arial Unicode MS"/>
      <w:b w:val="0"/>
      <w:bCs w:val="0"/>
      <w:i w:val="0"/>
      <w:iCs w:val="0"/>
      <w:smallCaps w:val="0"/>
      <w:strike w:val="0"/>
      <w:color w:val="000000"/>
      <w:spacing w:val="70"/>
      <w:w w:val="100"/>
      <w:position w:val="0"/>
      <w:sz w:val="25"/>
      <w:szCs w:val="25"/>
      <w:u w:val="none"/>
      <w:lang w:val="zh-TW"/>
    </w:rPr>
  </w:style>
  <w:style w:type="character" w:customStyle="1" w:styleId="4f5">
    <w:name w:val="标题 #4_"/>
    <w:link w:val="4f6"/>
    <w:rPr>
      <w:rFonts w:ascii="宋体" w:hAnsi="宋体" w:cs="宋体"/>
      <w:b/>
      <w:bCs/>
      <w:sz w:val="27"/>
      <w:szCs w:val="27"/>
      <w:shd w:val="clear" w:color="auto" w:fill="FFFFFF"/>
    </w:rPr>
  </w:style>
  <w:style w:type="paragraph" w:customStyle="1" w:styleId="4f6">
    <w:name w:val="标题 #4"/>
    <w:basedOn w:val="a0"/>
    <w:link w:val="4f5"/>
    <w:pPr>
      <w:shd w:val="clear" w:color="auto" w:fill="FFFFFF"/>
      <w:spacing w:after="600" w:line="0" w:lineRule="atLeast"/>
      <w:jc w:val="left"/>
      <w:outlineLvl w:val="3"/>
    </w:pPr>
    <w:rPr>
      <w:rFonts w:ascii="宋体" w:hAnsi="宋体"/>
      <w:b/>
      <w:bCs/>
      <w:kern w:val="0"/>
      <w:sz w:val="27"/>
      <w:szCs w:val="27"/>
      <w:lang w:val="x-none" w:eastAsia="x-none"/>
    </w:rPr>
  </w:style>
  <w:style w:type="character" w:customStyle="1" w:styleId="4ArialUnicodeMS">
    <w:name w:val="标题 #4 + Arial Unicode MS"/>
    <w:aliases w:val="13 pt"/>
    <w:rPr>
      <w:rFonts w:ascii="Arial Unicode MS" w:eastAsia="Arial Unicode MS" w:hAnsi="Arial Unicode MS" w:cs="Arial Unicode MS"/>
      <w:b/>
      <w:bCs/>
      <w:i w:val="0"/>
      <w:iCs w:val="0"/>
      <w:smallCaps w:val="0"/>
      <w:strike w:val="0"/>
      <w:color w:val="000000"/>
      <w:spacing w:val="0"/>
      <w:w w:val="100"/>
      <w:position w:val="0"/>
      <w:sz w:val="26"/>
      <w:szCs w:val="26"/>
      <w:u w:val="none"/>
      <w:lang w:val="en-US"/>
    </w:rPr>
  </w:style>
  <w:style w:type="character" w:customStyle="1" w:styleId="68">
    <w:name w:val="标题 #6_"/>
    <w:link w:val="69"/>
    <w:rPr>
      <w:rFonts w:ascii="Arial Unicode MS" w:eastAsia="Arial Unicode MS" w:hAnsi="Arial Unicode MS" w:cs="Arial Unicode MS"/>
      <w:b/>
      <w:bCs/>
      <w:sz w:val="26"/>
      <w:szCs w:val="26"/>
      <w:shd w:val="clear" w:color="auto" w:fill="FFFFFF"/>
    </w:rPr>
  </w:style>
  <w:style w:type="paragraph" w:customStyle="1" w:styleId="69">
    <w:name w:val="标题 #6"/>
    <w:basedOn w:val="a0"/>
    <w:link w:val="68"/>
    <w:pPr>
      <w:shd w:val="clear" w:color="auto" w:fill="FFFFFF"/>
      <w:spacing w:before="480" w:after="360" w:line="0" w:lineRule="atLeast"/>
      <w:jc w:val="left"/>
      <w:outlineLvl w:val="5"/>
    </w:pPr>
    <w:rPr>
      <w:rFonts w:ascii="Arial Unicode MS" w:eastAsia="Arial Unicode MS" w:hAnsi="Arial Unicode MS"/>
      <w:b/>
      <w:bCs/>
      <w:kern w:val="0"/>
      <w:sz w:val="26"/>
      <w:szCs w:val="26"/>
      <w:lang w:val="x-none" w:eastAsia="x-none"/>
    </w:rPr>
  </w:style>
  <w:style w:type="character" w:customStyle="1" w:styleId="6SimSun">
    <w:name w:val="标题 #6 + SimSun"/>
    <w:aliases w:val="13.5 pt"/>
    <w:rPr>
      <w:rFonts w:ascii="宋体" w:eastAsia="宋体" w:hAnsi="宋体" w:cs="宋体"/>
      <w:b/>
      <w:bCs/>
      <w:i w:val="0"/>
      <w:iCs w:val="0"/>
      <w:smallCaps w:val="0"/>
      <w:strike w:val="0"/>
      <w:color w:val="000000"/>
      <w:spacing w:val="0"/>
      <w:w w:val="100"/>
      <w:position w:val="0"/>
      <w:sz w:val="27"/>
      <w:szCs w:val="27"/>
      <w:u w:val="none"/>
      <w:lang w:val="zh-TW"/>
    </w:rPr>
  </w:style>
  <w:style w:type="character" w:customStyle="1" w:styleId="103">
    <w:name w:val="正文文本 (10)"/>
    <w:rPr>
      <w:rFonts w:ascii="Arial Unicode MS" w:eastAsia="Arial Unicode MS" w:hAnsi="Arial Unicode MS" w:cs="Arial Unicode MS"/>
      <w:b w:val="0"/>
      <w:bCs w:val="0"/>
      <w:i w:val="0"/>
      <w:iCs w:val="0"/>
      <w:smallCaps w:val="0"/>
      <w:strike w:val="0"/>
      <w:color w:val="000000"/>
      <w:spacing w:val="0"/>
      <w:w w:val="100"/>
      <w:position w:val="0"/>
      <w:sz w:val="25"/>
      <w:szCs w:val="25"/>
      <w:u w:val="none"/>
      <w:lang w:val="zh-TW"/>
    </w:rPr>
  </w:style>
  <w:style w:type="paragraph" w:customStyle="1" w:styleId="1ffff1">
    <w:name w:val="正文+1"/>
    <w:basedOn w:val="a0"/>
    <w:next w:val="a0"/>
    <w:pPr>
      <w:autoSpaceDE w:val="0"/>
      <w:autoSpaceDN w:val="0"/>
      <w:adjustRightInd w:val="0"/>
      <w:jc w:val="left"/>
    </w:pPr>
    <w:rPr>
      <w:kern w:val="0"/>
      <w:sz w:val="24"/>
    </w:rPr>
  </w:style>
  <w:style w:type="paragraph" w:customStyle="1" w:styleId="afffffffffffff3">
    <w:name w:val="福建正文"/>
    <w:basedOn w:val="a0"/>
    <w:pPr>
      <w:spacing w:line="300" w:lineRule="auto"/>
      <w:ind w:firstLineChars="200" w:firstLine="480"/>
    </w:pPr>
    <w:rPr>
      <w:rFonts w:ascii="宋体" w:hAnsi="宋体"/>
      <w:snapToGrid w:val="0"/>
      <w:color w:val="000000"/>
      <w:sz w:val="24"/>
    </w:rPr>
  </w:style>
  <w:style w:type="paragraph" w:customStyle="1" w:styleId="afffffffffffff4">
    <w:name w:val="正文使用缩进"/>
    <w:basedOn w:val="a0"/>
    <w:pPr>
      <w:adjustRightInd w:val="0"/>
      <w:spacing w:before="240" w:after="240" w:line="360" w:lineRule="auto"/>
      <w:ind w:firstLineChars="200" w:firstLine="480"/>
      <w:textAlignment w:val="baseline"/>
      <w:outlineLvl w:val="0"/>
    </w:pPr>
    <w:rPr>
      <w:rFonts w:ascii="宋体" w:hAnsi="宋体"/>
      <w:sz w:val="24"/>
    </w:rPr>
  </w:style>
  <w:style w:type="paragraph" w:customStyle="1" w:styleId="afffffffffffff5">
    <w:name w:val="表内"/>
    <w:basedOn w:val="a0"/>
    <w:pPr>
      <w:jc w:val="center"/>
      <w:textAlignment w:val="center"/>
    </w:pPr>
    <w:rPr>
      <w:rFonts w:ascii="Arial" w:eastAsia="楷体_GB2312" w:hAnsi="Arial"/>
      <w:szCs w:val="21"/>
    </w:rPr>
  </w:style>
  <w:style w:type="paragraph" w:customStyle="1" w:styleId="21ALTZ2">
    <w:name w:val="样式 正文缩进标题2表正文正文非缩进段1四号缩进ALT+Z特点 + 首行缩进:  2 字符"/>
    <w:basedOn w:val="a9"/>
    <w:pPr>
      <w:widowControl/>
      <w:adjustRightInd w:val="0"/>
      <w:snapToGrid w:val="0"/>
      <w:spacing w:line="360" w:lineRule="auto"/>
      <w:ind w:firstLineChars="200" w:firstLine="200"/>
    </w:pPr>
    <w:rPr>
      <w:rFonts w:ascii="Times New Roman" w:cs="宋体"/>
      <w:kern w:val="24"/>
      <w:sz w:val="28"/>
      <w:szCs w:val="22"/>
    </w:rPr>
  </w:style>
  <w:style w:type="paragraph" w:customStyle="1" w:styleId="CharCharChar1CharCharCharCharCharCharCharCharCharCharCharCharChar">
    <w:name w:val="Char Char Char1 Char Char Char Char Char Char Char Char Char Char Char Char Char"/>
    <w:basedOn w:val="a0"/>
    <w:pPr>
      <w:tabs>
        <w:tab w:val="left" w:pos="360"/>
      </w:tabs>
    </w:pPr>
    <w:rPr>
      <w:sz w:val="24"/>
    </w:rPr>
  </w:style>
  <w:style w:type="paragraph" w:customStyle="1" w:styleId="CharCharChar1CharCharCharCharCharCharCharCharCharCharCharCharCharCharChar">
    <w:name w:val="Char Char Char1 Char Char Char Char Char Char Char Char Char Char Char Char Char Char Char"/>
    <w:basedOn w:val="a0"/>
    <w:pPr>
      <w:tabs>
        <w:tab w:val="left" w:pos="360"/>
      </w:tabs>
    </w:pPr>
    <w:rPr>
      <w:sz w:val="24"/>
    </w:rPr>
  </w:style>
  <w:style w:type="paragraph" w:customStyle="1" w:styleId="1116">
    <w:name w:val="标题111"/>
    <w:basedOn w:val="a0"/>
    <w:pPr>
      <w:overflowPunct w:val="0"/>
      <w:spacing w:line="360" w:lineRule="auto"/>
      <w:ind w:firstLineChars="200" w:firstLine="480"/>
    </w:pPr>
    <w:rPr>
      <w:rFonts w:ascii="宋体" w:hAnsi="宋体"/>
      <w:color w:val="000000"/>
      <w:kern w:val="32"/>
      <w:sz w:val="24"/>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0"/>
    <w:pPr>
      <w:tabs>
        <w:tab w:val="left" w:pos="360"/>
      </w:tabs>
    </w:pPr>
    <w:rPr>
      <w:sz w:val="24"/>
    </w:rPr>
  </w:style>
  <w:style w:type="paragraph" w:styleId="afffffffffffff6">
    <w:name w:val="Revision"/>
    <w:uiPriority w:val="99"/>
    <w:rPr>
      <w:kern w:val="2"/>
      <w:sz w:val="21"/>
      <w:szCs w:val="24"/>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a0"/>
    <w:pPr>
      <w:spacing w:line="360" w:lineRule="auto"/>
      <w:ind w:firstLineChars="200" w:firstLine="200"/>
    </w:pPr>
    <w:rPr>
      <w:rFonts w:ascii="宋体" w:hAnsi="宋体" w:cs="宋体"/>
      <w:sz w:val="24"/>
    </w:rPr>
  </w:style>
  <w:style w:type="paragraph" w:customStyle="1" w:styleId="afffffffffffff7">
    <w:name w:val="正文一"/>
    <w:basedOn w:val="a0"/>
    <w:pPr>
      <w:widowControl/>
      <w:adjustRightInd w:val="0"/>
      <w:snapToGrid w:val="0"/>
      <w:spacing w:line="480" w:lineRule="atLeast"/>
    </w:pPr>
    <w:rPr>
      <w:rFonts w:ascii="宋体"/>
      <w:snapToGrid w:val="0"/>
      <w:spacing w:val="6"/>
      <w:kern w:val="0"/>
      <w:sz w:val="24"/>
      <w:szCs w:val="20"/>
    </w:rPr>
  </w:style>
  <w:style w:type="paragraph" w:customStyle="1" w:styleId="afffffffffffff8">
    <w:name w:val="样式"/>
    <w:qFormat/>
    <w:pPr>
      <w:widowControl w:val="0"/>
      <w:autoSpaceDE w:val="0"/>
      <w:autoSpaceDN w:val="0"/>
      <w:adjustRightInd w:val="0"/>
    </w:pPr>
    <w:rPr>
      <w:rFonts w:ascii="宋体" w:hAnsi="宋体" w:cs="宋体"/>
      <w:sz w:val="24"/>
      <w:szCs w:val="24"/>
    </w:rPr>
  </w:style>
  <w:style w:type="table" w:customStyle="1" w:styleId="124">
    <w:name w:val="网格型12"/>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2">
    <w:name w:val="典雅型1"/>
    <w:basedOn w:val="a2"/>
    <w:unhideWhenUse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fffb">
    <w:name w:val="典雅型2"/>
    <w:basedOn w:val="a2"/>
    <w:unhideWhenUse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ffff3">
    <w:name w:val="表格主题1"/>
    <w:basedOn w:val="a2"/>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c">
    <w:name w:val="表格主题2"/>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d">
    <w:name w:val="典雅型3"/>
    <w:basedOn w:val="a2"/>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afffffffffffff9">
    <w:name w:val="页号"/>
    <w:basedOn w:val="afa"/>
    <w:qFormat/>
    <w:pPr>
      <w:pBdr>
        <w:top w:val="single" w:sz="2" w:space="1" w:color="auto"/>
      </w:pBdr>
    </w:pPr>
    <w:rPr>
      <w:rFonts w:eastAsia="宋体"/>
      <w:snapToGrid/>
      <w:kern w:val="2"/>
      <w:szCs w:val="20"/>
    </w:rPr>
  </w:style>
  <w:style w:type="paragraph" w:customStyle="1" w:styleId="154">
    <w:name w:val="样式 华文细黑 四号 加粗 行距: 1.5 倍行距"/>
    <w:basedOn w:val="2"/>
    <w:pPr>
      <w:keepLines/>
      <w:widowControl/>
      <w:numPr>
        <w:ilvl w:val="1"/>
      </w:numPr>
      <w:tabs>
        <w:tab w:val="left" w:pos="840"/>
      </w:tabs>
      <w:spacing w:beforeLines="50"/>
      <w:ind w:left="840" w:right="-360" w:hanging="420"/>
    </w:pPr>
    <w:rPr>
      <w:rFonts w:ascii="华文细黑" w:eastAsia="华文细黑" w:hAnsi="华文细黑"/>
      <w:b w:val="0"/>
      <w:bCs w:val="0"/>
      <w:spacing w:val="-4"/>
      <w:kern w:val="0"/>
      <w:sz w:val="28"/>
      <w:szCs w:val="22"/>
      <w:lang w:val="en-US" w:eastAsia="zh-CN"/>
    </w:rPr>
  </w:style>
  <w:style w:type="table" w:customStyle="1" w:styleId="412">
    <w:name w:val="网格型41"/>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4">
    <w:name w:val="浅色底纹1"/>
    <w:basedOn w:val="a2"/>
    <w:uiPriority w:val="60"/>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
    <w:name w:val="浅色底纹 - 强调文字颜色 11"/>
    <w:basedOn w:val="a2"/>
    <w:uiPriority w:val="60"/>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ffff5">
    <w:name w:val="浅色列表1"/>
    <w:basedOn w:val="a2"/>
    <w:uiPriority w:val="61"/>
    <w:rPr>
      <w:rFonts w:ascii="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ffff6">
    <w:name w:val="浅色网格1"/>
    <w:basedOn w:val="a2"/>
    <w:uiPriority w:val="62"/>
    <w:rPr>
      <w:rFonts w:ascii="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autami" w:eastAsia="Arial" w:hAnsi="Gautam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l2br w:val="nil"/>
          <w:tr2bl w:val="nil"/>
        </w:tcBorders>
      </w:tcPr>
    </w:tblStylePr>
    <w:tblStylePr w:type="lastRow">
      <w:pPr>
        <w:spacing w:before="0" w:after="0" w:line="240" w:lineRule="auto"/>
      </w:pPr>
      <w:rPr>
        <w:rFonts w:ascii="Gautami" w:eastAsia="Arial" w:hAnsi="Gautam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l2br w:val="nil"/>
          <w:tr2bl w:val="nil"/>
        </w:tcBorders>
      </w:tcPr>
    </w:tblStylePr>
    <w:tblStylePr w:type="firstCol">
      <w:rPr>
        <w:rFonts w:ascii="Gautami" w:eastAsia="Arial" w:hAnsi="Gautami" w:cs="Times New Roman"/>
        <w:b/>
        <w:bCs/>
      </w:rPr>
    </w:tblStylePr>
    <w:tblStylePr w:type="lastCol">
      <w:rPr>
        <w:rFonts w:ascii="Gautami" w:eastAsia="Arial" w:hAnsi="Gautami"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tcPr>
    </w:tblStylePr>
  </w:style>
  <w:style w:type="table" w:customStyle="1" w:styleId="-110">
    <w:name w:val="浅色网格 - 强调文字颜色 11"/>
    <w:basedOn w:val="a2"/>
    <w:uiPriority w:val="62"/>
    <w:rPr>
      <w:rFonts w:ascii="Calibri" w:hAnsi="Calibr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autami" w:eastAsia="Arial" w:hAnsi="Gautam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il"/>
          <w:tr2bl w:val="nil"/>
        </w:tcBorders>
      </w:tcPr>
    </w:tblStylePr>
    <w:tblStylePr w:type="lastRow">
      <w:pPr>
        <w:spacing w:before="0" w:after="0" w:line="240" w:lineRule="auto"/>
      </w:pPr>
      <w:rPr>
        <w:rFonts w:ascii="Gautami" w:eastAsia="Arial" w:hAnsi="Gautam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l2br w:val="nil"/>
          <w:tr2bl w:val="nil"/>
        </w:tcBorders>
      </w:tcPr>
    </w:tblStylePr>
    <w:tblStylePr w:type="firstCol">
      <w:rPr>
        <w:rFonts w:ascii="Gautami" w:eastAsia="Arial" w:hAnsi="Gautami" w:cs="Times New Roman"/>
        <w:b/>
        <w:bCs/>
      </w:rPr>
    </w:tblStylePr>
    <w:tblStylePr w:type="lastCol">
      <w:rPr>
        <w:rFonts w:ascii="Gautami" w:eastAsia="Arial" w:hAnsi="Gautami" w:cs="Times New Roma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4F81BD"/>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4F81BD"/>
          <w:tl2br w:val="nil"/>
          <w:tr2bl w:val="nil"/>
        </w:tcBorders>
      </w:tcPr>
    </w:tblStylePr>
  </w:style>
  <w:style w:type="character" w:customStyle="1" w:styleId="Charffff3">
    <w:name w:val="段 Char"/>
    <w:qFormat/>
    <w:locked/>
    <w:rPr>
      <w:rFonts w:ascii="宋体" w:hAnsi="宋体"/>
      <w:kern w:val="2"/>
      <w:sz w:val="21"/>
      <w:szCs w:val="22"/>
      <w:lang w:val="en-US" w:eastAsia="zh-CN" w:bidi="ar-SA"/>
    </w:rPr>
  </w:style>
  <w:style w:type="paragraph" w:customStyle="1" w:styleId="afffffffffffffa">
    <w:name w:val="数字编号列项（二级）"/>
    <w:qFormat/>
    <w:pPr>
      <w:numPr>
        <w:ilvl w:val="1"/>
        <w:numId w:val="15"/>
      </w:numPr>
      <w:tabs>
        <w:tab w:val="left" w:pos="1259"/>
      </w:tabs>
      <w:jc w:val="both"/>
    </w:pPr>
    <w:rPr>
      <w:rFonts w:ascii="宋体"/>
      <w:sz w:val="21"/>
    </w:rPr>
  </w:style>
  <w:style w:type="paragraph" w:customStyle="1" w:styleId="afffffffffffffb">
    <w:name w:val="列项●（二级）"/>
    <w:qFormat/>
    <w:pPr>
      <w:tabs>
        <w:tab w:val="left" w:pos="840"/>
      </w:tabs>
      <w:jc w:val="both"/>
    </w:pPr>
    <w:rPr>
      <w:rFonts w:ascii="宋体"/>
      <w:sz w:val="21"/>
    </w:rPr>
  </w:style>
  <w:style w:type="character" w:customStyle="1" w:styleId="Charffff4">
    <w:name w:val="四级 Char"/>
    <w:link w:val="afffffffffffffc"/>
    <w:locked/>
    <w:rPr>
      <w:rFonts w:ascii="宋体" w:hAnsi="宋体"/>
      <w:sz w:val="24"/>
      <w:szCs w:val="24"/>
    </w:rPr>
  </w:style>
  <w:style w:type="paragraph" w:customStyle="1" w:styleId="afffffffffffffc">
    <w:name w:val="四级"/>
    <w:basedOn w:val="a0"/>
    <w:link w:val="Charffff4"/>
    <w:qFormat/>
    <w:pPr>
      <w:numPr>
        <w:numId w:val="15"/>
      </w:numPr>
      <w:spacing w:line="360" w:lineRule="exact"/>
      <w:jc w:val="left"/>
      <w:outlineLvl w:val="3"/>
    </w:pPr>
    <w:rPr>
      <w:rFonts w:ascii="宋体" w:hAnsi="宋体"/>
      <w:kern w:val="0"/>
      <w:sz w:val="24"/>
      <w:lang w:val="x-none" w:eastAsia="x-none"/>
    </w:rPr>
  </w:style>
  <w:style w:type="paragraph" w:customStyle="1" w:styleId="afffffffffffffd">
    <w:name w:val="字母编号列项（一级）"/>
    <w:qFormat/>
    <w:pPr>
      <w:numPr>
        <w:numId w:val="16"/>
      </w:numPr>
      <w:tabs>
        <w:tab w:val="left" w:pos="839"/>
      </w:tabs>
      <w:jc w:val="both"/>
    </w:pPr>
    <w:rPr>
      <w:rFonts w:ascii="宋体"/>
      <w:sz w:val="21"/>
    </w:rPr>
  </w:style>
  <w:style w:type="character" w:customStyle="1" w:styleId="Charffff5">
    <w:name w:val="三级 Char"/>
    <w:link w:val="afffffffffffffe"/>
    <w:locked/>
    <w:rPr>
      <w:rFonts w:ascii="宋体" w:hAnsi="宋体"/>
      <w:sz w:val="24"/>
      <w:szCs w:val="24"/>
    </w:rPr>
  </w:style>
  <w:style w:type="paragraph" w:customStyle="1" w:styleId="afffffffffffffe">
    <w:name w:val="三级"/>
    <w:basedOn w:val="a0"/>
    <w:link w:val="Charffff5"/>
    <w:qFormat/>
    <w:pPr>
      <w:widowControl/>
      <w:spacing w:line="360" w:lineRule="exact"/>
      <w:ind w:left="1277" w:hanging="284"/>
      <w:jc w:val="left"/>
      <w:outlineLvl w:val="2"/>
    </w:pPr>
    <w:rPr>
      <w:rFonts w:ascii="宋体" w:hAnsi="宋体"/>
      <w:kern w:val="0"/>
      <w:sz w:val="24"/>
      <w:lang w:val="x-none" w:eastAsia="x-none"/>
    </w:rPr>
  </w:style>
  <w:style w:type="paragraph" w:customStyle="1" w:styleId="3fe">
    <w:name w:val="标题3（技术规程）"/>
    <w:basedOn w:val="a0"/>
    <w:pPr>
      <w:spacing w:beforeLines="50" w:afterLines="50" w:line="312" w:lineRule="auto"/>
      <w:outlineLvl w:val="2"/>
    </w:pPr>
    <w:rPr>
      <w:rFonts w:ascii="宋体" w:hAnsi="宋体" w:cs="宋体"/>
      <w:sz w:val="24"/>
      <w:szCs w:val="20"/>
    </w:rPr>
  </w:style>
  <w:style w:type="paragraph" w:customStyle="1" w:styleId="affffffffffffff">
    <w:name w:val="正文（技术规程）"/>
    <w:basedOn w:val="a0"/>
    <w:pPr>
      <w:spacing w:line="312" w:lineRule="auto"/>
      <w:ind w:firstLineChars="200" w:firstLine="200"/>
      <w:jc w:val="left"/>
    </w:pPr>
    <w:rPr>
      <w:rFonts w:cs="宋体"/>
      <w:szCs w:val="20"/>
    </w:rPr>
  </w:style>
  <w:style w:type="table" w:customStyle="1" w:styleId="513">
    <w:name w:val="网格型51"/>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
    <w:name w:val="表格主题3"/>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7">
    <w:name w:val="典雅型4"/>
    <w:basedOn w:val="a2"/>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7">
    <w:name w:val="网格型111"/>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典雅型11"/>
    <w:basedOn w:val="a2"/>
    <w:unhideWhenUse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9">
    <w:name w:val="典雅型21"/>
    <w:basedOn w:val="a2"/>
    <w:unhideWhenUse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9">
    <w:name w:val="表格主题11"/>
    <w:basedOn w:val="a2"/>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a">
    <w:name w:val="表格主题21"/>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典雅型31"/>
    <w:basedOn w:val="a2"/>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qk">
    <w:name w:val="qk正文"/>
    <w:basedOn w:val="a0"/>
    <w:link w:val="qkChar"/>
    <w:pPr>
      <w:numPr>
        <w:ilvl w:val="1"/>
      </w:numPr>
      <w:tabs>
        <w:tab w:val="left" w:pos="0"/>
      </w:tabs>
      <w:topLinePunct/>
      <w:adjustRightInd w:val="0"/>
      <w:snapToGrid w:val="0"/>
      <w:spacing w:line="312" w:lineRule="auto"/>
      <w:ind w:firstLineChars="200" w:firstLine="420"/>
      <w:jc w:val="left"/>
    </w:pPr>
    <w:rPr>
      <w:rFonts w:ascii="宋体" w:eastAsia="仿宋_GB2312" w:hAnsi="宋体"/>
      <w:kern w:val="0"/>
      <w:sz w:val="20"/>
      <w:szCs w:val="21"/>
      <w:lang w:val="x-none" w:eastAsia="x-none"/>
    </w:rPr>
  </w:style>
  <w:style w:type="character" w:customStyle="1" w:styleId="qkChar">
    <w:name w:val="qk正文 Char"/>
    <w:link w:val="qk"/>
    <w:rPr>
      <w:rFonts w:ascii="宋体" w:eastAsia="仿宋_GB2312" w:hAnsi="宋体"/>
      <w:szCs w:val="21"/>
    </w:rPr>
  </w:style>
  <w:style w:type="paragraph" w:customStyle="1" w:styleId="2fffd">
    <w:name w:val="@制度标题2"/>
    <w:basedOn w:val="3"/>
    <w:next w:val="a0"/>
    <w:pPr>
      <w:numPr>
        <w:numId w:val="17"/>
      </w:numPr>
      <w:tabs>
        <w:tab w:val="clear" w:pos="0"/>
      </w:tabs>
      <w:spacing w:before="260" w:after="260" w:line="415" w:lineRule="auto"/>
      <w:ind w:left="425" w:right="210" w:hanging="425"/>
      <w:jc w:val="both"/>
    </w:pPr>
    <w:rPr>
      <w:rFonts w:ascii="Arial" w:eastAsia="仿宋_GB2312" w:hAnsi="Arial"/>
      <w:sz w:val="28"/>
      <w:szCs w:val="28"/>
    </w:rPr>
  </w:style>
  <w:style w:type="table" w:customStyle="1" w:styleId="6a">
    <w:name w:val="网格型6"/>
    <w:basedOn w:val="a2"/>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e">
    <w:name w:val="浅色网格2"/>
    <w:basedOn w:val="a2"/>
    <w:uiPriority w:val="62"/>
    <w:rPr>
      <w:rFonts w:ascii="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autami" w:eastAsia="Arial" w:hAnsi="Gautam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l2br w:val="nil"/>
          <w:tr2bl w:val="nil"/>
        </w:tcBorders>
      </w:tcPr>
    </w:tblStylePr>
    <w:tblStylePr w:type="lastRow">
      <w:pPr>
        <w:spacing w:before="0" w:after="0" w:line="240" w:lineRule="auto"/>
      </w:pPr>
      <w:rPr>
        <w:rFonts w:ascii="Gautami" w:eastAsia="Arial" w:hAnsi="Gautam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l2br w:val="nil"/>
          <w:tr2bl w:val="nil"/>
        </w:tcBorders>
      </w:tcPr>
    </w:tblStylePr>
    <w:tblStylePr w:type="firstCol">
      <w:rPr>
        <w:rFonts w:ascii="Gautami" w:eastAsia="Arial" w:hAnsi="Gautami" w:cs="Times New Roman"/>
        <w:b/>
        <w:bCs/>
      </w:rPr>
    </w:tblStylePr>
    <w:tblStylePr w:type="lastCol">
      <w:rPr>
        <w:rFonts w:ascii="Gautami" w:eastAsia="Arial" w:hAnsi="Gautami"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tcPr>
    </w:tblStylePr>
  </w:style>
  <w:style w:type="paragraph" w:customStyle="1" w:styleId="reader-word-layer">
    <w:name w:val="reader-word-layer"/>
    <w:basedOn w:val="a0"/>
    <w:pPr>
      <w:widowControl/>
      <w:spacing w:before="100" w:beforeAutospacing="1" w:after="100" w:afterAutospacing="1"/>
      <w:jc w:val="left"/>
    </w:pPr>
    <w:rPr>
      <w:rFonts w:ascii="宋体" w:hAnsi="宋体" w:cs="宋体"/>
      <w:kern w:val="0"/>
      <w:sz w:val="24"/>
    </w:rPr>
  </w:style>
  <w:style w:type="paragraph" w:customStyle="1" w:styleId="xl163">
    <w:name w:val="xl163"/>
    <w:basedOn w:val="a0"/>
    <w:pPr>
      <w:widowControl/>
      <w:spacing w:before="100" w:beforeAutospacing="1" w:after="100" w:afterAutospacing="1"/>
      <w:jc w:val="left"/>
    </w:pPr>
    <w:rPr>
      <w:rFonts w:ascii="宋体" w:hAnsi="宋体" w:cs="宋体"/>
      <w:kern w:val="0"/>
      <w:sz w:val="24"/>
    </w:rPr>
  </w:style>
  <w:style w:type="paragraph" w:customStyle="1" w:styleId="xl164">
    <w:name w:val="xl164"/>
    <w:basedOn w:val="a0"/>
    <w:pPr>
      <w:widowControl/>
      <w:spacing w:before="100" w:beforeAutospacing="1" w:after="100" w:afterAutospacing="1"/>
      <w:jc w:val="left"/>
    </w:pPr>
    <w:rPr>
      <w:rFonts w:ascii="宋体" w:hAnsi="宋体" w:cs="宋体"/>
      <w:b/>
      <w:bCs/>
      <w:color w:val="000000"/>
      <w:kern w:val="0"/>
      <w:sz w:val="24"/>
    </w:rPr>
  </w:style>
  <w:style w:type="paragraph" w:customStyle="1" w:styleId="xl165">
    <w:name w:val="xl165"/>
    <w:basedOn w:val="a0"/>
    <w:pPr>
      <w:widowControl/>
      <w:spacing w:before="100" w:beforeAutospacing="1" w:after="100" w:afterAutospacing="1"/>
      <w:jc w:val="center"/>
    </w:pPr>
    <w:rPr>
      <w:rFonts w:ascii="宋体" w:hAnsi="宋体" w:cs="宋体"/>
      <w:kern w:val="0"/>
      <w:sz w:val="24"/>
    </w:rPr>
  </w:style>
  <w:style w:type="paragraph" w:customStyle="1" w:styleId="xl166">
    <w:name w:val="xl166"/>
    <w:basedOn w:val="a0"/>
    <w:pPr>
      <w:widowControl/>
      <w:spacing w:before="100" w:beforeAutospacing="1" w:after="100" w:afterAutospacing="1"/>
      <w:jc w:val="left"/>
    </w:pPr>
    <w:rPr>
      <w:rFonts w:ascii="宋体" w:hAnsi="宋体" w:cs="宋体"/>
      <w:kern w:val="0"/>
      <w:sz w:val="24"/>
    </w:rPr>
  </w:style>
  <w:style w:type="paragraph" w:customStyle="1" w:styleId="xl167">
    <w:name w:val="xl167"/>
    <w:basedOn w:val="a0"/>
    <w:pPr>
      <w:widowControl/>
      <w:spacing w:before="100" w:beforeAutospacing="1" w:after="100" w:afterAutospacing="1"/>
      <w:jc w:val="center"/>
    </w:pPr>
    <w:rPr>
      <w:rFonts w:ascii="宋体" w:hAnsi="宋体" w:cs="宋体"/>
      <w:kern w:val="0"/>
      <w:sz w:val="24"/>
    </w:rPr>
  </w:style>
  <w:style w:type="paragraph" w:customStyle="1" w:styleId="xl169">
    <w:name w:val="xl16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0">
    <w:name w:val="xl17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1">
    <w:name w:val="xl171"/>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72">
    <w:name w:val="xl17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3">
    <w:name w:val="xl173"/>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74">
    <w:name w:val="xl174"/>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5">
    <w:name w:val="xl17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6">
    <w:name w:val="xl17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7">
    <w:name w:val="xl177"/>
    <w:basedOn w:val="a0"/>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kern w:val="0"/>
      <w:sz w:val="20"/>
      <w:szCs w:val="20"/>
    </w:rPr>
  </w:style>
  <w:style w:type="paragraph" w:customStyle="1" w:styleId="xl178">
    <w:name w:val="xl178"/>
    <w:basedOn w:val="a0"/>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kern w:val="0"/>
      <w:sz w:val="20"/>
      <w:szCs w:val="20"/>
    </w:rPr>
  </w:style>
  <w:style w:type="paragraph" w:customStyle="1" w:styleId="xl179">
    <w:name w:val="xl179"/>
    <w:basedOn w:val="a0"/>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kern w:val="0"/>
      <w:sz w:val="20"/>
      <w:szCs w:val="20"/>
    </w:rPr>
  </w:style>
  <w:style w:type="paragraph" w:customStyle="1" w:styleId="xl180">
    <w:name w:val="xl180"/>
    <w:basedOn w:val="a0"/>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kern w:val="0"/>
      <w:sz w:val="20"/>
      <w:szCs w:val="20"/>
    </w:rPr>
  </w:style>
  <w:style w:type="paragraph" w:customStyle="1" w:styleId="xl181">
    <w:name w:val="xl181"/>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82">
    <w:name w:val="xl182"/>
    <w:basedOn w:val="a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183">
    <w:name w:val="xl183"/>
    <w:basedOn w:val="a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184">
    <w:name w:val="xl184"/>
    <w:basedOn w:val="a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185">
    <w:name w:val="xl185"/>
    <w:basedOn w:val="a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186">
    <w:name w:val="xl186"/>
    <w:basedOn w:val="a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187">
    <w:name w:val="xl187"/>
    <w:basedOn w:val="a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188">
    <w:name w:val="xl188"/>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89">
    <w:name w:val="xl18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190">
    <w:name w:val="xl190"/>
    <w:basedOn w:val="a0"/>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kern w:val="0"/>
      <w:sz w:val="20"/>
      <w:szCs w:val="20"/>
    </w:rPr>
  </w:style>
  <w:style w:type="paragraph" w:customStyle="1" w:styleId="xl191">
    <w:name w:val="xl191"/>
    <w:basedOn w:val="a0"/>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color w:val="FF0000"/>
      <w:kern w:val="0"/>
      <w:sz w:val="20"/>
      <w:szCs w:val="20"/>
    </w:rPr>
  </w:style>
  <w:style w:type="paragraph" w:customStyle="1" w:styleId="xl192">
    <w:name w:val="xl192"/>
    <w:basedOn w:val="a0"/>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kern w:val="0"/>
      <w:sz w:val="20"/>
      <w:szCs w:val="20"/>
    </w:rPr>
  </w:style>
  <w:style w:type="paragraph" w:customStyle="1" w:styleId="xl193">
    <w:name w:val="xl193"/>
    <w:basedOn w:val="a0"/>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kern w:val="0"/>
      <w:sz w:val="20"/>
      <w:szCs w:val="20"/>
    </w:rPr>
  </w:style>
  <w:style w:type="paragraph" w:customStyle="1" w:styleId="xl194">
    <w:name w:val="xl194"/>
    <w:basedOn w:val="a0"/>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kern w:val="0"/>
      <w:sz w:val="20"/>
      <w:szCs w:val="20"/>
    </w:rPr>
  </w:style>
  <w:style w:type="paragraph" w:customStyle="1" w:styleId="xl195">
    <w:name w:val="xl195"/>
    <w:basedOn w:val="a0"/>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kern w:val="0"/>
      <w:sz w:val="20"/>
      <w:szCs w:val="20"/>
    </w:rPr>
  </w:style>
  <w:style w:type="paragraph" w:customStyle="1" w:styleId="xl196">
    <w:name w:val="xl196"/>
    <w:basedOn w:val="a0"/>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kern w:val="0"/>
      <w:sz w:val="20"/>
      <w:szCs w:val="20"/>
    </w:rPr>
  </w:style>
  <w:style w:type="paragraph" w:customStyle="1" w:styleId="xl197">
    <w:name w:val="xl19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98">
    <w:name w:val="xl198"/>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20"/>
      <w:szCs w:val="20"/>
    </w:rPr>
  </w:style>
  <w:style w:type="paragraph" w:customStyle="1" w:styleId="xl199">
    <w:name w:val="xl19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00">
    <w:name w:val="xl200"/>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01">
    <w:name w:val="xl201"/>
    <w:basedOn w:val="a0"/>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kern w:val="0"/>
      <w:sz w:val="20"/>
      <w:szCs w:val="20"/>
    </w:rPr>
  </w:style>
  <w:style w:type="paragraph" w:customStyle="1" w:styleId="xl202">
    <w:name w:val="xl20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03">
    <w:name w:val="xl20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04">
    <w:name w:val="xl2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05">
    <w:name w:val="xl205"/>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06">
    <w:name w:val="xl20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07">
    <w:name w:val="xl20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208">
    <w:name w:val="xl20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09">
    <w:name w:val="xl20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10">
    <w:name w:val="xl210"/>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11">
    <w:name w:val="xl21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12">
    <w:name w:val="xl21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13">
    <w:name w:val="xl21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14">
    <w:name w:val="xl21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15">
    <w:name w:val="xl215"/>
    <w:basedOn w:val="a0"/>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b/>
      <w:bCs/>
      <w:kern w:val="0"/>
      <w:sz w:val="20"/>
      <w:szCs w:val="20"/>
    </w:rPr>
  </w:style>
  <w:style w:type="paragraph" w:customStyle="1" w:styleId="xl216">
    <w:name w:val="xl216"/>
    <w:basedOn w:val="a0"/>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kern w:val="0"/>
      <w:sz w:val="20"/>
      <w:szCs w:val="20"/>
    </w:rPr>
  </w:style>
  <w:style w:type="paragraph" w:customStyle="1" w:styleId="xl217">
    <w:name w:val="xl217"/>
    <w:basedOn w:val="a0"/>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kern w:val="0"/>
      <w:sz w:val="20"/>
      <w:szCs w:val="20"/>
    </w:rPr>
  </w:style>
  <w:style w:type="paragraph" w:customStyle="1" w:styleId="xl218">
    <w:name w:val="xl218"/>
    <w:basedOn w:val="a0"/>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kern w:val="0"/>
      <w:sz w:val="20"/>
      <w:szCs w:val="20"/>
    </w:rPr>
  </w:style>
  <w:style w:type="paragraph" w:customStyle="1" w:styleId="xl219">
    <w:name w:val="xl219"/>
    <w:basedOn w:val="a0"/>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kern w:val="0"/>
      <w:sz w:val="20"/>
      <w:szCs w:val="20"/>
    </w:rPr>
  </w:style>
  <w:style w:type="paragraph" w:customStyle="1" w:styleId="xl220">
    <w:name w:val="xl220"/>
    <w:basedOn w:val="a0"/>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kern w:val="0"/>
      <w:sz w:val="20"/>
      <w:szCs w:val="20"/>
    </w:rPr>
  </w:style>
  <w:style w:type="paragraph" w:customStyle="1" w:styleId="xl221">
    <w:name w:val="xl2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222">
    <w:name w:val="xl2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223">
    <w:name w:val="xl223"/>
    <w:basedOn w:val="a0"/>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kern w:val="0"/>
      <w:sz w:val="20"/>
      <w:szCs w:val="20"/>
    </w:rPr>
  </w:style>
  <w:style w:type="paragraph" w:customStyle="1" w:styleId="xl224">
    <w:name w:val="xl224"/>
    <w:basedOn w:val="a0"/>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b/>
      <w:bCs/>
      <w:kern w:val="0"/>
      <w:sz w:val="20"/>
      <w:szCs w:val="20"/>
    </w:rPr>
  </w:style>
  <w:style w:type="paragraph" w:customStyle="1" w:styleId="xl225">
    <w:name w:val="xl225"/>
    <w:basedOn w:val="a0"/>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b/>
      <w:bCs/>
      <w:color w:val="000000"/>
      <w:kern w:val="0"/>
      <w:sz w:val="20"/>
      <w:szCs w:val="20"/>
    </w:rPr>
  </w:style>
  <w:style w:type="paragraph" w:customStyle="1" w:styleId="xl226">
    <w:name w:val="xl226"/>
    <w:basedOn w:val="a0"/>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b/>
      <w:bCs/>
      <w:color w:val="000000"/>
      <w:kern w:val="0"/>
      <w:sz w:val="20"/>
      <w:szCs w:val="20"/>
    </w:rPr>
  </w:style>
  <w:style w:type="paragraph" w:customStyle="1" w:styleId="xl227">
    <w:name w:val="xl227"/>
    <w:basedOn w:val="a0"/>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b/>
      <w:bCs/>
      <w:color w:val="000000"/>
      <w:kern w:val="0"/>
      <w:sz w:val="20"/>
      <w:szCs w:val="20"/>
    </w:rPr>
  </w:style>
  <w:style w:type="paragraph" w:customStyle="1" w:styleId="xl228">
    <w:name w:val="xl228"/>
    <w:basedOn w:val="a0"/>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b/>
      <w:bCs/>
      <w:color w:val="000000"/>
      <w:kern w:val="0"/>
      <w:sz w:val="20"/>
      <w:szCs w:val="20"/>
    </w:rPr>
  </w:style>
  <w:style w:type="paragraph" w:customStyle="1" w:styleId="xl229">
    <w:name w:val="xl2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30">
    <w:name w:val="xl230"/>
    <w:basedOn w:val="a0"/>
    <w:qFormat/>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宋体" w:hAnsi="宋体" w:cs="宋体"/>
      <w:kern w:val="0"/>
      <w:sz w:val="20"/>
      <w:szCs w:val="20"/>
    </w:rPr>
  </w:style>
  <w:style w:type="paragraph" w:customStyle="1" w:styleId="xl231">
    <w:name w:val="xl231"/>
    <w:basedOn w:val="a0"/>
    <w:qFormat/>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宋体" w:hAnsi="宋体" w:cs="宋体"/>
      <w:kern w:val="0"/>
      <w:sz w:val="20"/>
      <w:szCs w:val="20"/>
    </w:rPr>
  </w:style>
  <w:style w:type="paragraph" w:customStyle="1" w:styleId="xl232">
    <w:name w:val="xl232"/>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33">
    <w:name w:val="xl233"/>
    <w:basedOn w:val="a0"/>
    <w:qFormat/>
    <w:pPr>
      <w:widowControl/>
      <w:pBdr>
        <w:top w:val="single" w:sz="4" w:space="0" w:color="auto"/>
        <w:left w:val="single" w:sz="4" w:space="0" w:color="auto"/>
        <w:bottom w:val="single" w:sz="4" w:space="0" w:color="auto"/>
      </w:pBdr>
      <w:shd w:val="clear" w:color="000000" w:fill="92D050"/>
      <w:spacing w:before="100" w:beforeAutospacing="1" w:after="100" w:afterAutospacing="1"/>
      <w:jc w:val="center"/>
    </w:pPr>
    <w:rPr>
      <w:rFonts w:ascii="宋体" w:hAnsi="宋体" w:cs="宋体"/>
      <w:kern w:val="0"/>
      <w:sz w:val="20"/>
      <w:szCs w:val="20"/>
    </w:rPr>
  </w:style>
  <w:style w:type="paragraph" w:customStyle="1" w:styleId="xl234">
    <w:name w:val="xl234"/>
    <w:basedOn w:val="a0"/>
    <w:qFormat/>
    <w:pPr>
      <w:widowControl/>
      <w:pBdr>
        <w:top w:val="single" w:sz="4" w:space="0" w:color="auto"/>
        <w:bottom w:val="single" w:sz="4" w:space="0" w:color="auto"/>
      </w:pBdr>
      <w:shd w:val="clear" w:color="000000" w:fill="92D050"/>
      <w:spacing w:before="100" w:beforeAutospacing="1" w:after="100" w:afterAutospacing="1"/>
      <w:jc w:val="center"/>
    </w:pPr>
    <w:rPr>
      <w:rFonts w:ascii="宋体" w:hAnsi="宋体" w:cs="宋体"/>
      <w:kern w:val="0"/>
      <w:sz w:val="20"/>
      <w:szCs w:val="20"/>
    </w:rPr>
  </w:style>
  <w:style w:type="paragraph" w:customStyle="1" w:styleId="xl235">
    <w:name w:val="xl235"/>
    <w:basedOn w:val="a0"/>
    <w:qFormat/>
    <w:pPr>
      <w:widowControl/>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kern w:val="0"/>
      <w:sz w:val="20"/>
      <w:szCs w:val="20"/>
    </w:rPr>
  </w:style>
  <w:style w:type="paragraph" w:customStyle="1" w:styleId="xl236">
    <w:name w:val="xl236"/>
    <w:basedOn w:val="a0"/>
    <w:qFormat/>
    <w:pPr>
      <w:widowControl/>
      <w:pBdr>
        <w:top w:val="single" w:sz="4" w:space="0" w:color="auto"/>
        <w:left w:val="single" w:sz="4" w:space="0" w:color="auto"/>
        <w:bottom w:val="single" w:sz="4" w:space="0" w:color="auto"/>
      </w:pBdr>
      <w:shd w:val="clear" w:color="000000" w:fill="FFC000"/>
      <w:spacing w:before="100" w:beforeAutospacing="1" w:after="100" w:afterAutospacing="1"/>
      <w:jc w:val="center"/>
    </w:pPr>
    <w:rPr>
      <w:rFonts w:ascii="宋体" w:hAnsi="宋体" w:cs="宋体"/>
      <w:kern w:val="0"/>
      <w:sz w:val="20"/>
      <w:szCs w:val="20"/>
    </w:rPr>
  </w:style>
  <w:style w:type="paragraph" w:customStyle="1" w:styleId="xl237">
    <w:name w:val="xl237"/>
    <w:basedOn w:val="a0"/>
    <w:qFormat/>
    <w:pPr>
      <w:widowControl/>
      <w:pBdr>
        <w:top w:val="single" w:sz="4" w:space="0" w:color="auto"/>
        <w:bottom w:val="single" w:sz="4" w:space="0" w:color="auto"/>
      </w:pBdr>
      <w:shd w:val="clear" w:color="000000" w:fill="FFC000"/>
      <w:spacing w:before="100" w:beforeAutospacing="1" w:after="100" w:afterAutospacing="1"/>
      <w:jc w:val="center"/>
    </w:pPr>
    <w:rPr>
      <w:rFonts w:ascii="宋体" w:hAnsi="宋体" w:cs="宋体"/>
      <w:kern w:val="0"/>
      <w:sz w:val="20"/>
      <w:szCs w:val="20"/>
    </w:rPr>
  </w:style>
  <w:style w:type="paragraph" w:customStyle="1" w:styleId="xl238">
    <w:name w:val="xl238"/>
    <w:basedOn w:val="a0"/>
    <w:qFormat/>
    <w:pPr>
      <w:widowControl/>
      <w:pBdr>
        <w:top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kern w:val="0"/>
      <w:sz w:val="20"/>
      <w:szCs w:val="20"/>
    </w:rPr>
  </w:style>
  <w:style w:type="paragraph" w:customStyle="1" w:styleId="xl239">
    <w:name w:val="xl239"/>
    <w:basedOn w:val="a0"/>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0"/>
    </w:rPr>
  </w:style>
  <w:style w:type="paragraph" w:customStyle="1" w:styleId="xl240">
    <w:name w:val="xl240"/>
    <w:basedOn w:val="a0"/>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ffff0">
    <w:name w:val="注："/>
    <w:next w:val="a0"/>
    <w:qFormat/>
    <w:pPr>
      <w:widowControl w:val="0"/>
      <w:numPr>
        <w:numId w:val="18"/>
      </w:numPr>
      <w:tabs>
        <w:tab w:val="left" w:pos="907"/>
      </w:tabs>
      <w:autoSpaceDE w:val="0"/>
      <w:autoSpaceDN w:val="0"/>
      <w:ind w:left="907" w:hanging="737"/>
      <w:jc w:val="both"/>
    </w:pPr>
    <w:rPr>
      <w:rFonts w:ascii="宋体"/>
      <w:sz w:val="18"/>
    </w:rPr>
  </w:style>
  <w:style w:type="character" w:customStyle="1" w:styleId="321">
    <w:name w:val="标题 3 字符2"/>
    <w:aliases w:val="REP3 字符1,REP31 字符1,REP32 字符1,REP33 字符1,REP34 字符1,REP35 字符1,REP36 字符1,REP37 字符1,REP38 字符1,REP39 字符1,REP310 字符1,REP311 字符1,REP312 字符1,REP313 字符1,REP314 字符1,REP321 字符1,REP331 字符1,REP341 字符1,REP351 字符1,REP361 字符1,REP371 字符1,REP381 字符1,REP391 字符1"/>
    <w:rPr>
      <w:rFonts w:ascii="黑体" w:eastAsia="黑体" w:cs="Times New Roman"/>
      <w:b/>
      <w:szCs w:val="24"/>
    </w:rPr>
  </w:style>
  <w:style w:type="character" w:customStyle="1" w:styleId="226">
    <w:name w:val="标题 2 字符2"/>
    <w:aliases w:val="标题 2 Char2 字符1,标题 2 Char Char 字符1,标题 2 Char1 Char Char 字符1,标题 2 Char Char Char Char 字符1,标题 2 Char1 Char Char Char Char 字符1,标题 2 Char Char Char Char Char Char 字符1,标题 2 Char2 Char Char 字符1,标题 2 Char1 Char1 Char Char 字符1,第一层条 字符"/>
    <w:uiPriority w:val="9"/>
    <w:qFormat/>
    <w:rPr>
      <w:rFonts w:ascii="黑体" w:eastAsia="黑体" w:hAnsi="Arial" w:cs="Times New Roman"/>
      <w:b/>
      <w:bCs/>
      <w:szCs w:val="32"/>
    </w:rPr>
  </w:style>
  <w:style w:type="character" w:customStyle="1" w:styleId="125">
    <w:name w:val="标题 1 字符2"/>
    <w:aliases w:val="标题 1! 字符1,标1 字符1,第一章 字符1,章 字符1,一级标题，黑粗，三号，序号 字符1,可研-标题 1 字符1,Part 字符1,H1 字符1,H11 字符1,H12 字符1,H13 字符1,H111 字符1,H121 字符1,H14 字符1,H15 字符1,H16 字符1,H17 字符1,H18 字符1,Number 1 字符1,一、 字符1,my标题1 字符1,标题 1 Char2 Char Char 字符1,标题 1 Char1 Char1 Char Char 字符1"/>
    <w:uiPriority w:val="9"/>
    <w:qFormat/>
    <w:rPr>
      <w:rFonts w:ascii="黑体" w:eastAsia="黑体" w:cs="Times New Roman"/>
      <w:b/>
      <w:bCs/>
      <w:kern w:val="44"/>
      <w:sz w:val="32"/>
      <w:szCs w:val="44"/>
    </w:rPr>
  </w:style>
  <w:style w:type="character" w:customStyle="1" w:styleId="affffffffffffff1">
    <w:name w:val="列表段落 字符"/>
    <w:uiPriority w:val="34"/>
    <w:qFormat/>
    <w:locked/>
    <w:rPr>
      <w:rFonts w:cs="Times New Roman"/>
      <w:szCs w:val="24"/>
    </w:rPr>
  </w:style>
  <w:style w:type="character" w:customStyle="1" w:styleId="1ffff7">
    <w:name w:val="标题 字符1"/>
    <w:rPr>
      <w:rFonts w:ascii="Arial" w:hAnsi="Arial" w:cs="Arial"/>
      <w:b/>
      <w:bCs/>
      <w:sz w:val="32"/>
      <w:szCs w:val="32"/>
    </w:rPr>
  </w:style>
  <w:style w:type="character" w:customStyle="1" w:styleId="1ffff8">
    <w:name w:val="宏文本 字符1"/>
    <w:rPr>
      <w:rFonts w:ascii="Courier New" w:hAnsi="Courier New" w:cs="Courier New"/>
      <w:sz w:val="24"/>
      <w:szCs w:val="24"/>
    </w:rPr>
  </w:style>
  <w:style w:type="character" w:customStyle="1" w:styleId="HTML10">
    <w:name w:val="HTML 预设格式 字符1"/>
    <w:rPr>
      <w:rFonts w:ascii="Courier New" w:hAnsi="Courier New" w:cs="Courier New"/>
      <w:sz w:val="20"/>
      <w:szCs w:val="20"/>
    </w:rPr>
  </w:style>
  <w:style w:type="paragraph" w:customStyle="1" w:styleId="CharChar2CharCharCharCharCharChar1">
    <w:name w:val="Char Char2 Char Char Char Char Char Char1"/>
    <w:basedOn w:val="a0"/>
    <w:pPr>
      <w:spacing w:line="360" w:lineRule="auto"/>
    </w:pPr>
    <w:rPr>
      <w:rFonts w:ascii="宋体" w:hAnsi="宋体"/>
      <w:sz w:val="22"/>
    </w:rPr>
  </w:style>
  <w:style w:type="paragraph" w:customStyle="1" w:styleId="CharCharCharCharCharCharCharCharCharCharCharCharChar1">
    <w:name w:val="Char Char Char Char Char Char Char Char Char Char Char Char Char1"/>
    <w:basedOn w:val="a0"/>
    <w:pPr>
      <w:spacing w:line="360" w:lineRule="auto"/>
    </w:pPr>
    <w:rPr>
      <w:rFonts w:ascii="宋体" w:hAnsi="宋体"/>
      <w:sz w:val="22"/>
    </w:rPr>
  </w:style>
  <w:style w:type="paragraph" w:customStyle="1" w:styleId="CharCharCharCharCharCharCharCharChar1Char1">
    <w:name w:val="Char Char Char Char Char Char Char Char Char1 Char1"/>
    <w:basedOn w:val="a0"/>
    <w:pPr>
      <w:spacing w:line="360" w:lineRule="auto"/>
    </w:pPr>
    <w:rPr>
      <w:rFonts w:ascii="宋体" w:hAnsi="宋体"/>
      <w:sz w:val="22"/>
    </w:rPr>
  </w:style>
  <w:style w:type="paragraph" w:customStyle="1" w:styleId="CharCharCharCharCharCharCharCharCharCharCharCharCharCharCharCharCharCharChar2">
    <w:name w:val="Char Char Char Char Char Char Char Char Char Char Char Char Char Char Char Char Char Char Char2"/>
    <w:basedOn w:val="a0"/>
  </w:style>
  <w:style w:type="paragraph" w:customStyle="1" w:styleId="Char1CharCharCharCharCharCharCharChar1CharCharCharChar1">
    <w:name w:val="Char1 Char Char Char Char Char Char Char Char1 Char Char Char Char1"/>
    <w:basedOn w:val="a0"/>
    <w:pPr>
      <w:spacing w:line="360" w:lineRule="auto"/>
      <w:ind w:firstLineChars="200" w:firstLine="200"/>
    </w:pPr>
    <w:rPr>
      <w:rFonts w:ascii="宋体" w:hAnsi="宋体" w:cs="宋体"/>
      <w:sz w:val="24"/>
    </w:rPr>
  </w:style>
  <w:style w:type="character" w:customStyle="1" w:styleId="2ffff">
    <w:name w:val="正文文本首行缩进 2 字符"/>
    <w:uiPriority w:val="99"/>
    <w:qFormat/>
    <w:rPr>
      <w:rFonts w:ascii="Calibri" w:hAnsi="Calibri" w:cs="Times New Roman"/>
      <w:sz w:val="21"/>
      <w:szCs w:val="20"/>
    </w:rPr>
  </w:style>
  <w:style w:type="character" w:customStyle="1" w:styleId="5f0">
    <w:name w:val="正文文本首行缩进 字符5"/>
    <w:aliases w:val="正文首行缩进 字符,可研-正文首行缩进 Char Char Char 字符1,Char Char Char Char Char Char Char Char Char Char Char Char Char Char Char Char Char Char Char Char Char Char Char Char Char Char Char 字符1,正文首行缩进 Char Char 字符1,正文首行缩进 Char Char Char Char Char Char 字符1"/>
  </w:style>
  <w:style w:type="character" w:customStyle="1" w:styleId="2ffff0">
    <w:name w:val="标题 字符2"/>
    <w:aliases w:val="标题2 字符1,h4标题4 字符1"/>
    <w:rPr>
      <w:rFonts w:ascii="Arial" w:hAnsi="Arial" w:cs="Arial"/>
      <w:b/>
      <w:bCs/>
      <w:sz w:val="32"/>
      <w:szCs w:val="32"/>
    </w:rPr>
  </w:style>
  <w:style w:type="character" w:customStyle="1" w:styleId="HTML20">
    <w:name w:val="HTML 预设格式 字符2"/>
    <w:rPr>
      <w:rFonts w:ascii="Courier New" w:hAnsi="Courier New" w:cs="Times New Roman"/>
      <w:sz w:val="20"/>
      <w:szCs w:val="20"/>
    </w:rPr>
  </w:style>
  <w:style w:type="character" w:customStyle="1" w:styleId="2ffff1">
    <w:name w:val="页眉 字符2"/>
    <w:aliases w:val="页眉zxl 字符2,h 字符2,页眉，DHCC 公司页眉 字符2,ITTHEADER 字符2,带横线 字符2,Header1 字符2,even 字符2,even Char 字符2,页眉1 字符2,页眉2 字符2,页眉2. 字符2,页眉0 字符2,g 字符2"/>
    <w:uiPriority w:val="99"/>
    <w:rPr>
      <w:rFonts w:cs="Times New Roman"/>
      <w:sz w:val="18"/>
      <w:szCs w:val="18"/>
    </w:rPr>
  </w:style>
  <w:style w:type="table" w:customStyle="1" w:styleId="11a">
    <w:name w:val="灰度表格11"/>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Char4">
    <w:name w:val="5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077">
    <w:name w:val="样式 首行缩进:  0.77 厘米"/>
    <w:basedOn w:val="a0"/>
    <w:qFormat/>
    <w:rPr>
      <w:rFonts w:cs="宋体"/>
      <w:szCs w:val="20"/>
    </w:rPr>
  </w:style>
  <w:style w:type="paragraph" w:customStyle="1" w:styleId="0770">
    <w:name w:val="样式 左 首行缩进:  0.77 厘米"/>
    <w:basedOn w:val="a0"/>
    <w:qFormat/>
    <w:pPr>
      <w:jc w:val="left"/>
    </w:pPr>
    <w:rPr>
      <w:rFonts w:cs="宋体"/>
      <w:szCs w:val="20"/>
    </w:rPr>
  </w:style>
  <w:style w:type="character" w:customStyle="1" w:styleId="affffffffffffff2">
    <w:name w:val="题注 字符"/>
    <w:aliases w:val="表格题注 字符"/>
    <w:qFormat/>
    <w:rPr>
      <w:rFonts w:ascii="Arial" w:eastAsia="黑体" w:hAnsi="Arial" w:cs="Times New Roman"/>
      <w:sz w:val="21"/>
      <w:szCs w:val="20"/>
    </w:rPr>
  </w:style>
  <w:style w:type="character" w:customStyle="1" w:styleId="CharChar12">
    <w:name w:val="表格文字居中 Char Char1"/>
    <w:qFormat/>
    <w:rPr>
      <w:rFonts w:ascii="Arial" w:hAnsi="Arial"/>
      <w:kern w:val="2"/>
      <w:sz w:val="21"/>
      <w:szCs w:val="21"/>
    </w:rPr>
  </w:style>
  <w:style w:type="paragraph" w:customStyle="1" w:styleId="1-4">
    <w:name w:val="样式 标准表格文字1-小4 + 黑色"/>
    <w:basedOn w:val="a0"/>
    <w:link w:val="1-4Char"/>
    <w:qFormat/>
    <w:pPr>
      <w:adjustRightInd w:val="0"/>
      <w:snapToGrid w:val="0"/>
      <w:jc w:val="center"/>
    </w:pPr>
    <w:rPr>
      <w:rFonts w:ascii="宋体" w:hAnsi="宋体"/>
      <w:snapToGrid w:val="0"/>
      <w:color w:val="000000"/>
      <w:kern w:val="0"/>
      <w:lang w:val="x-none" w:eastAsia="x-none"/>
    </w:rPr>
  </w:style>
  <w:style w:type="character" w:customStyle="1" w:styleId="1-4Char">
    <w:name w:val="样式 标准表格文字1-小4 + 黑色 Char"/>
    <w:link w:val="1-4"/>
    <w:qFormat/>
    <w:rPr>
      <w:rFonts w:ascii="宋体" w:hAnsi="宋体"/>
      <w:snapToGrid w:val="0"/>
      <w:color w:val="000000"/>
      <w:sz w:val="21"/>
      <w:szCs w:val="24"/>
    </w:rPr>
  </w:style>
  <w:style w:type="paragraph" w:customStyle="1" w:styleId="206324">
    <w:name w:val="样式 正文首行缩进 + 加粗 居中 首行缩进:  2 字符 段前: 0.6 磅 段后: 3 磅 行距: 固定值 24 磅"/>
    <w:basedOn w:val="aff7"/>
    <w:qFormat/>
    <w:pPr>
      <w:adjustRightInd w:val="0"/>
      <w:snapToGrid w:val="0"/>
      <w:spacing w:after="60" w:line="320" w:lineRule="exact"/>
      <w:ind w:left="-57" w:right="-108" w:firstLineChars="79" w:firstLine="172"/>
      <w:jc w:val="center"/>
    </w:pPr>
    <w:rPr>
      <w:rFonts w:ascii="Arial" w:hAnsi="Arial" w:cs="Arial"/>
      <w:bCs/>
      <w:spacing w:val="4"/>
      <w:szCs w:val="21"/>
      <w:lang w:val="en-US" w:eastAsia="zh-CN"/>
    </w:rPr>
  </w:style>
  <w:style w:type="character" w:customStyle="1" w:styleId="CharCharCharCharCharCharCharCharCharCharChar0">
    <w:name w:val="正文首行缩进 Char Char Char  Char Char Char Char Char Char Char Char"/>
    <w:aliases w:val="正文首行缩进 Char Char Char Char Char Char Char Char,正文首行缩进 Char Char Char Char Char Char Char Char Char Char Char Char Char,正文首行缩进2 Char,可研-正文首行缩进 Char Char"/>
    <w:qFormat/>
    <w:rPr>
      <w:rFonts w:eastAsia="宋体"/>
      <w:spacing w:val="10"/>
      <w:kern w:val="24"/>
      <w:sz w:val="24"/>
      <w:lang w:val="en-US" w:eastAsia="zh-CN" w:bidi="ar-SA"/>
    </w:rPr>
  </w:style>
  <w:style w:type="paragraph" w:customStyle="1" w:styleId="1ffff9">
    <w:name w:val="表格样式1"/>
    <w:basedOn w:val="a0"/>
    <w:qFormat/>
    <w:pPr>
      <w:adjustRightInd w:val="0"/>
      <w:spacing w:line="20" w:lineRule="atLeast"/>
      <w:jc w:val="center"/>
      <w:textAlignment w:val="baseline"/>
    </w:pPr>
    <w:rPr>
      <w:rFonts w:ascii="宋体"/>
      <w:kern w:val="0"/>
      <w:szCs w:val="20"/>
    </w:rPr>
  </w:style>
  <w:style w:type="paragraph" w:customStyle="1" w:styleId="affffffffffffff3">
    <w:name w:val="附件正文"/>
    <w:basedOn w:val="a0"/>
    <w:link w:val="Charffff6"/>
    <w:qFormat/>
    <w:pPr>
      <w:spacing w:line="520" w:lineRule="exact"/>
      <w:ind w:firstLineChars="187" w:firstLine="524"/>
    </w:pPr>
    <w:rPr>
      <w:rFonts w:ascii="宋体" w:hAnsi="宋体"/>
      <w:sz w:val="28"/>
      <w:szCs w:val="28"/>
      <w:lang w:val="x-none" w:eastAsia="x-none"/>
    </w:rPr>
  </w:style>
  <w:style w:type="character" w:customStyle="1" w:styleId="Charffff6">
    <w:name w:val="附件正文 Char"/>
    <w:link w:val="affffffffffffff3"/>
    <w:qFormat/>
    <w:rPr>
      <w:rFonts w:ascii="宋体" w:hAnsi="宋体"/>
      <w:kern w:val="2"/>
      <w:sz w:val="28"/>
      <w:szCs w:val="28"/>
    </w:rPr>
  </w:style>
  <w:style w:type="character" w:customStyle="1" w:styleId="CharCharf5">
    <w:name w:val="表格文字居中 Char Char"/>
    <w:qFormat/>
    <w:rPr>
      <w:kern w:val="2"/>
      <w:sz w:val="21"/>
      <w:szCs w:val="21"/>
    </w:rPr>
  </w:style>
  <w:style w:type="paragraph" w:customStyle="1" w:styleId="affffffffffffff4">
    <w:name w:val="题栏"/>
    <w:basedOn w:val="afc"/>
    <w:qFormat/>
    <w:pPr>
      <w:pBdr>
        <w:bottom w:val="none" w:sz="0" w:space="0" w:color="auto"/>
      </w:pBdr>
      <w:spacing w:line="360" w:lineRule="auto"/>
    </w:pPr>
    <w:rPr>
      <w:rFonts w:eastAsia="宋体"/>
      <w:snapToGrid/>
      <w:kern w:val="2"/>
      <w:sz w:val="21"/>
    </w:rPr>
  </w:style>
  <w:style w:type="paragraph" w:customStyle="1" w:styleId="6b">
    <w:name w:val="样式 标题 6 +"/>
    <w:basedOn w:val="6"/>
    <w:link w:val="6Char0"/>
    <w:qFormat/>
    <w:pPr>
      <w:keepNext w:val="0"/>
      <w:keepLines/>
      <w:spacing w:before="60" w:after="60" w:line="240" w:lineRule="auto"/>
      <w:jc w:val="center"/>
    </w:pPr>
    <w:rPr>
      <w:rFonts w:ascii="Arial" w:hAnsi="Arial"/>
      <w:sz w:val="21"/>
      <w:lang w:val="x-none" w:eastAsia="x-none"/>
    </w:rPr>
  </w:style>
  <w:style w:type="character" w:customStyle="1" w:styleId="6Char0">
    <w:name w:val="样式 标题 6 + Char"/>
    <w:link w:val="6b"/>
    <w:qFormat/>
    <w:rPr>
      <w:rFonts w:ascii="Arial" w:hAnsi="Arial"/>
      <w:b/>
      <w:bCs/>
      <w:kern w:val="2"/>
      <w:sz w:val="21"/>
      <w:szCs w:val="24"/>
    </w:rPr>
  </w:style>
  <w:style w:type="paragraph" w:customStyle="1" w:styleId="CharCharCharCharCharCharCharChar0">
    <w:name w:val="样式 正文首行缩进正文首行缩进 Char Char Char Char Char Char正文首行缩进 Char Char ..."/>
    <w:basedOn w:val="aff7"/>
    <w:link w:val="CharCharCharCharCharCharCharCharChar3"/>
    <w:qFormat/>
    <w:pPr>
      <w:overflowPunct w:val="0"/>
      <w:spacing w:after="0" w:line="360" w:lineRule="auto"/>
      <w:ind w:firstLineChars="200" w:firstLine="592"/>
    </w:pPr>
    <w:rPr>
      <w:spacing w:val="8"/>
      <w:kern w:val="28"/>
      <w:sz w:val="28"/>
      <w:szCs w:val="28"/>
    </w:rPr>
  </w:style>
  <w:style w:type="character" w:customStyle="1" w:styleId="CharCharCharCharCharCharCharCharChar3">
    <w:name w:val="样式 正文首行缩进正文首行缩进 Char Char Char Char Char Char正文首行缩进 Char Char ... Char"/>
    <w:link w:val="CharCharCharCharCharCharCharChar0"/>
    <w:qFormat/>
    <w:rPr>
      <w:spacing w:val="8"/>
      <w:kern w:val="28"/>
      <w:sz w:val="28"/>
      <w:szCs w:val="28"/>
    </w:rPr>
  </w:style>
  <w:style w:type="character" w:customStyle="1" w:styleId="3Char6">
    <w:name w:val="3级标题 Char"/>
    <w:qFormat/>
    <w:rPr>
      <w:rFonts w:ascii="Times New Roman" w:eastAsia="宋体" w:hAnsi="Times New Roman" w:cs="Times New Roman"/>
      <w:b/>
      <w:bCs/>
      <w:sz w:val="32"/>
      <w:szCs w:val="32"/>
    </w:rPr>
  </w:style>
  <w:style w:type="character" w:customStyle="1" w:styleId="Char1f3">
    <w:name w:val="日期 Char1"/>
    <w:uiPriority w:val="99"/>
    <w:qFormat/>
    <w:rPr>
      <w:rFonts w:ascii="Times New Roman" w:eastAsia="宋体" w:hAnsi="Times New Roman" w:cs="Times New Roman"/>
      <w:szCs w:val="24"/>
    </w:rPr>
  </w:style>
  <w:style w:type="paragraph" w:customStyle="1" w:styleId="affffffffffffff5">
    <w:name w:val="样式 表格文字居中 + 自动设置"/>
    <w:basedOn w:val="a0"/>
    <w:link w:val="Charffff7"/>
    <w:qFormat/>
    <w:pPr>
      <w:tabs>
        <w:tab w:val="left" w:pos="628"/>
        <w:tab w:val="left" w:pos="1727"/>
        <w:tab w:val="left" w:pos="1884"/>
      </w:tabs>
      <w:adjustRightInd w:val="0"/>
      <w:snapToGrid w:val="0"/>
      <w:jc w:val="center"/>
    </w:pPr>
    <w:rPr>
      <w:rFonts w:ascii="宋体" w:hAnsi="宋体"/>
      <w:kern w:val="0"/>
      <w:szCs w:val="21"/>
      <w:lang w:val="x-none" w:eastAsia="x-none"/>
    </w:rPr>
  </w:style>
  <w:style w:type="character" w:customStyle="1" w:styleId="Charffff7">
    <w:name w:val="样式 表格文字居中 + 自动设置 Char"/>
    <w:link w:val="affffffffffffff5"/>
    <w:qFormat/>
    <w:rPr>
      <w:rFonts w:ascii="宋体" w:hAnsi="宋体"/>
      <w:sz w:val="21"/>
      <w:szCs w:val="21"/>
    </w:rPr>
  </w:style>
  <w:style w:type="paragraph" w:customStyle="1" w:styleId="3ff0">
    <w:name w:val="样式 标题 3 + 加粗"/>
    <w:basedOn w:val="3"/>
    <w:qFormat/>
    <w:pPr>
      <w:numPr>
        <w:ilvl w:val="2"/>
      </w:numPr>
      <w:spacing w:beforeLines="30" w:line="300" w:lineRule="auto"/>
      <w:jc w:val="both"/>
    </w:pPr>
    <w:rPr>
      <w:rFonts w:ascii="Times New Roman" w:eastAsia="宋体"/>
      <w:kern w:val="0"/>
      <w:szCs w:val="24"/>
    </w:rPr>
  </w:style>
  <w:style w:type="paragraph" w:customStyle="1" w:styleId="affffffffffffff6">
    <w:name w:val="排版正文"/>
    <w:basedOn w:val="a0"/>
    <w:qFormat/>
    <w:pPr>
      <w:spacing w:line="380" w:lineRule="exact"/>
      <w:ind w:firstLineChars="200" w:firstLine="200"/>
    </w:pPr>
    <w:rPr>
      <w:sz w:val="24"/>
    </w:rPr>
  </w:style>
  <w:style w:type="paragraph" w:customStyle="1" w:styleId="CM12">
    <w:name w:val="CM12"/>
    <w:basedOn w:val="Default"/>
    <w:next w:val="Default"/>
    <w:qFormat/>
    <w:pPr>
      <w:spacing w:after="265" w:line="240" w:lineRule="auto"/>
      <w:ind w:firstLineChars="0" w:firstLine="0"/>
      <w:jc w:val="left"/>
    </w:pPr>
    <w:rPr>
      <w:rFonts w:ascii="DotumChe" w:eastAsia="DotumChe"/>
      <w:kern w:val="0"/>
      <w:sz w:val="24"/>
    </w:rPr>
  </w:style>
  <w:style w:type="paragraph" w:customStyle="1" w:styleId="moban">
    <w:name w:val="moban"/>
    <w:basedOn w:val="a0"/>
    <w:qFormat/>
    <w:pPr>
      <w:pBdr>
        <w:bottom w:val="single" w:sz="4" w:space="5" w:color="auto"/>
      </w:pBdr>
      <w:spacing w:line="360" w:lineRule="auto"/>
    </w:pPr>
    <w:rPr>
      <w:szCs w:val="20"/>
    </w:rPr>
  </w:style>
  <w:style w:type="paragraph" w:customStyle="1" w:styleId="05515">
    <w:name w:val="样式 底端: (单实线 自动设置  0.5 磅 行宽 距正文:  5 磅 边框间距: ) 行距: 1.5 倍行距"/>
    <w:basedOn w:val="a0"/>
    <w:next w:val="af2"/>
    <w:qFormat/>
    <w:pPr>
      <w:spacing w:line="360" w:lineRule="auto"/>
      <w:ind w:firstLineChars="100" w:firstLine="210"/>
    </w:pPr>
    <w:rPr>
      <w:rFonts w:cs="宋体"/>
    </w:rPr>
  </w:style>
  <w:style w:type="paragraph" w:customStyle="1" w:styleId="2ffff2">
    <w:name w:val="2级"/>
    <w:basedOn w:val="af6"/>
    <w:qFormat/>
    <w:pPr>
      <w:widowControl w:val="0"/>
      <w:spacing w:before="0" w:beforeAutospacing="0" w:after="0" w:afterAutospacing="0"/>
      <w:jc w:val="both"/>
    </w:pPr>
    <w:rPr>
      <w:rFonts w:hAnsi="Courier New" w:cs="Courier New"/>
      <w:kern w:val="2"/>
      <w:sz w:val="28"/>
      <w:szCs w:val="22"/>
    </w:rPr>
  </w:style>
  <w:style w:type="paragraph" w:customStyle="1" w:styleId="3ff1">
    <w:name w:val="3级"/>
    <w:basedOn w:val="af6"/>
    <w:qFormat/>
    <w:pPr>
      <w:widowControl w:val="0"/>
      <w:spacing w:before="0" w:beforeAutospacing="0" w:after="0" w:afterAutospacing="0"/>
      <w:jc w:val="both"/>
    </w:pPr>
    <w:rPr>
      <w:rFonts w:hAnsi="Courier New" w:cs="Courier New"/>
      <w:kern w:val="2"/>
      <w:sz w:val="28"/>
      <w:szCs w:val="22"/>
    </w:rPr>
  </w:style>
  <w:style w:type="paragraph" w:customStyle="1" w:styleId="4f8">
    <w:name w:val="4级"/>
    <w:basedOn w:val="3ff1"/>
    <w:qFormat/>
    <w:rPr>
      <w:rFonts w:ascii="黑体" w:eastAsia="黑体"/>
      <w:b/>
      <w:bCs/>
    </w:rPr>
  </w:style>
  <w:style w:type="paragraph" w:customStyle="1" w:styleId="affffffffffffff7">
    <w:name w:val="前言、引言标题"/>
    <w:next w:val="a0"/>
    <w:qFormat/>
    <w:pPr>
      <w:shd w:val="clear" w:color="FFFFFF" w:fill="FFFFFF"/>
      <w:spacing w:before="640" w:after="560" w:line="460" w:lineRule="exact"/>
      <w:jc w:val="center"/>
      <w:outlineLvl w:val="0"/>
    </w:pPr>
    <w:rPr>
      <w:rFonts w:ascii="黑体" w:eastAsia="黑体"/>
      <w:sz w:val="28"/>
      <w:szCs w:val="28"/>
    </w:rPr>
  </w:style>
  <w:style w:type="paragraph" w:customStyle="1" w:styleId="CharCharChar2Char">
    <w:name w:val="Char Char Char2 Char"/>
    <w:basedOn w:val="2"/>
    <w:qFormat/>
    <w:pPr>
      <w:keepLines/>
      <w:numPr>
        <w:ilvl w:val="1"/>
      </w:numPr>
      <w:tabs>
        <w:tab w:val="left" w:pos="425"/>
        <w:tab w:val="left" w:pos="680"/>
      </w:tabs>
      <w:adjustRightInd w:val="0"/>
      <w:spacing w:line="480" w:lineRule="exact"/>
      <w:ind w:left="425" w:hanging="425"/>
      <w:jc w:val="both"/>
    </w:pPr>
    <w:rPr>
      <w:rFonts w:ascii="Times New Roman" w:eastAsia="宋体" w:hAnsi="Times New Roman"/>
      <w:kern w:val="0"/>
      <w:szCs w:val="20"/>
    </w:rPr>
  </w:style>
  <w:style w:type="paragraph" w:customStyle="1" w:styleId="affffffffffffff8">
    <w:name w:val="二级条标题"/>
    <w:basedOn w:val="a0"/>
    <w:next w:val="4"/>
    <w:link w:val="Charffff8"/>
    <w:qFormat/>
    <w:pPr>
      <w:widowControl/>
      <w:tabs>
        <w:tab w:val="left" w:pos="360"/>
      </w:tabs>
      <w:ind w:left="1680" w:hanging="420"/>
      <w:jc w:val="left"/>
      <w:outlineLvl w:val="3"/>
    </w:pPr>
    <w:rPr>
      <w:rFonts w:eastAsia="黑体"/>
      <w:kern w:val="0"/>
      <w:szCs w:val="20"/>
      <w:lang w:val="x-none" w:eastAsia="x-none"/>
    </w:rPr>
  </w:style>
  <w:style w:type="character" w:customStyle="1" w:styleId="Charffff8">
    <w:name w:val="二级条标题 Char"/>
    <w:link w:val="affffffffffffff8"/>
    <w:rPr>
      <w:rFonts w:eastAsia="黑体"/>
      <w:sz w:val="21"/>
    </w:rPr>
  </w:style>
  <w:style w:type="paragraph" w:customStyle="1" w:styleId="affffffffffffff9">
    <w:name w:val="一级标题样式"/>
    <w:basedOn w:val="aff5"/>
    <w:qFormat/>
    <w:pPr>
      <w:autoSpaceDE w:val="0"/>
      <w:autoSpaceDN w:val="0"/>
      <w:adjustRightInd w:val="0"/>
      <w:snapToGrid w:val="0"/>
      <w:spacing w:before="381" w:after="381"/>
    </w:pPr>
    <w:rPr>
      <w:rFonts w:ascii="黑体" w:eastAsia="黑体" w:hAnsi="华文细黑" w:cs="宋体"/>
      <w:color w:val="000000"/>
      <w:szCs w:val="20"/>
      <w:lang w:val="en-US" w:eastAsia="zh-CN"/>
    </w:rPr>
  </w:style>
  <w:style w:type="paragraph" w:customStyle="1" w:styleId="affffffffffffffa">
    <w:name w:val="三级条标题"/>
    <w:basedOn w:val="affffffffffffff8"/>
    <w:next w:val="a0"/>
    <w:link w:val="Charffff9"/>
    <w:qFormat/>
    <w:pPr>
      <w:tabs>
        <w:tab w:val="clear" w:pos="360"/>
      </w:tabs>
      <w:ind w:left="0" w:firstLine="0"/>
      <w:outlineLvl w:val="4"/>
    </w:pPr>
  </w:style>
  <w:style w:type="character" w:customStyle="1" w:styleId="Charffff9">
    <w:name w:val="三级条标题 Char"/>
    <w:link w:val="affffffffffffffa"/>
    <w:rPr>
      <w:rFonts w:eastAsia="黑体"/>
      <w:sz w:val="21"/>
    </w:rPr>
  </w:style>
  <w:style w:type="paragraph" w:customStyle="1" w:styleId="affffffffffffffb">
    <w:name w:val="四级条标题"/>
    <w:basedOn w:val="affffffffffffffa"/>
    <w:next w:val="a0"/>
    <w:qFormat/>
    <w:pPr>
      <w:outlineLvl w:val="5"/>
    </w:pPr>
  </w:style>
  <w:style w:type="paragraph" w:customStyle="1" w:styleId="affffffffffffffc">
    <w:name w:val="五级条标题"/>
    <w:basedOn w:val="affffffffffffffb"/>
    <w:next w:val="a0"/>
    <w:qFormat/>
    <w:pPr>
      <w:outlineLvl w:val="6"/>
    </w:pPr>
  </w:style>
  <w:style w:type="paragraph" w:customStyle="1" w:styleId="affffffffffffffd">
    <w:name w:val="封面标准文稿编辑信息"/>
    <w:qFormat/>
    <w:pPr>
      <w:spacing w:before="180" w:line="180" w:lineRule="exact"/>
      <w:jc w:val="center"/>
    </w:pPr>
    <w:rPr>
      <w:rFonts w:ascii="宋体"/>
      <w:sz w:val="21"/>
    </w:rPr>
  </w:style>
  <w:style w:type="paragraph" w:customStyle="1" w:styleId="1170">
    <w:name w:val="样式 标题 1 + (符号) 宋体 行距: 固定值 17 磅"/>
    <w:basedOn w:val="1"/>
    <w:qFormat/>
    <w:pPr>
      <w:keepLines/>
      <w:spacing w:beforeLines="0" w:before="0" w:afterLines="0" w:after="0"/>
      <w:jc w:val="left"/>
    </w:pPr>
    <w:rPr>
      <w:rFonts w:cs="宋体"/>
      <w:bCs/>
      <w:kern w:val="44"/>
      <w:sz w:val="21"/>
      <w:szCs w:val="20"/>
    </w:rPr>
  </w:style>
  <w:style w:type="paragraph" w:customStyle="1" w:styleId="affffffffffffffe">
    <w:name w:val="列项——"/>
    <w:qFormat/>
    <w:pPr>
      <w:widowControl w:val="0"/>
      <w:tabs>
        <w:tab w:val="left" w:pos="854"/>
      </w:tabs>
      <w:ind w:leftChars="200" w:left="840" w:hangingChars="200" w:hanging="420"/>
      <w:jc w:val="both"/>
    </w:pPr>
    <w:rPr>
      <w:rFonts w:ascii="宋体"/>
      <w:sz w:val="21"/>
    </w:rPr>
  </w:style>
  <w:style w:type="paragraph" w:customStyle="1" w:styleId="CM1">
    <w:name w:val="CM1"/>
    <w:basedOn w:val="Default"/>
    <w:next w:val="Default"/>
    <w:qFormat/>
    <w:pPr>
      <w:spacing w:line="240" w:lineRule="auto"/>
      <w:ind w:firstLineChars="0" w:firstLine="0"/>
      <w:jc w:val="left"/>
    </w:pPr>
    <w:rPr>
      <w:rFonts w:ascii="DotumChe" w:eastAsia="DotumChe"/>
      <w:kern w:val="0"/>
      <w:sz w:val="24"/>
    </w:rPr>
  </w:style>
  <w:style w:type="paragraph" w:customStyle="1" w:styleId="afffffffffffffff">
    <w:name w:val="表格文字中"/>
    <w:basedOn w:val="a0"/>
    <w:link w:val="Charffffa"/>
    <w:qFormat/>
    <w:pPr>
      <w:keepNext/>
      <w:tabs>
        <w:tab w:val="left" w:pos="1727"/>
        <w:tab w:val="left" w:pos="1884"/>
      </w:tabs>
      <w:adjustRightInd w:val="0"/>
      <w:snapToGrid w:val="0"/>
      <w:spacing w:before="156"/>
      <w:jc w:val="center"/>
      <w:outlineLvl w:val="0"/>
    </w:pPr>
    <w:rPr>
      <w:rFonts w:ascii="宋体"/>
      <w:snapToGrid w:val="0"/>
      <w:kern w:val="0"/>
      <w:sz w:val="24"/>
      <w:szCs w:val="20"/>
      <w:lang w:val="x-none" w:eastAsia="x-none"/>
    </w:rPr>
  </w:style>
  <w:style w:type="character" w:customStyle="1" w:styleId="Charffffa">
    <w:name w:val="表格文字中 Char"/>
    <w:link w:val="afffffffffffffff"/>
    <w:locked/>
    <w:rPr>
      <w:rFonts w:ascii="宋体"/>
      <w:snapToGrid w:val="0"/>
      <w:sz w:val="24"/>
    </w:rPr>
  </w:style>
  <w:style w:type="character" w:customStyle="1" w:styleId="afffffffffffffff0">
    <w:name w:val="篇号"/>
    <w:qFormat/>
    <w:rPr>
      <w:rFonts w:eastAsia="黑体"/>
      <w:sz w:val="32"/>
    </w:rPr>
  </w:style>
  <w:style w:type="paragraph" w:customStyle="1" w:styleId="1ffffa">
    <w:name w:val="列表1"/>
    <w:basedOn w:val="a0"/>
    <w:qFormat/>
    <w:pPr>
      <w:tabs>
        <w:tab w:val="left" w:pos="1727"/>
        <w:tab w:val="left" w:pos="1884"/>
      </w:tabs>
      <w:spacing w:before="100" w:beforeAutospacing="1"/>
      <w:jc w:val="center"/>
      <w:outlineLvl w:val="0"/>
    </w:pPr>
    <w:rPr>
      <w:rFonts w:ascii="宋体"/>
      <w:kern w:val="0"/>
      <w:sz w:val="32"/>
      <w:szCs w:val="20"/>
    </w:rPr>
  </w:style>
  <w:style w:type="paragraph" w:customStyle="1" w:styleId="afffffffffffffff1">
    <w:name w:val="表标"/>
    <w:basedOn w:val="a0"/>
    <w:next w:val="25"/>
    <w:qFormat/>
    <w:rPr>
      <w:kern w:val="0"/>
      <w:sz w:val="28"/>
    </w:rPr>
  </w:style>
  <w:style w:type="paragraph" w:customStyle="1" w:styleId="cd2">
    <w:name w:val="cd2"/>
    <w:basedOn w:val="cd1"/>
    <w:qFormat/>
    <w:pPr>
      <w:adjustRightInd/>
      <w:spacing w:before="0" w:line="400" w:lineRule="exact"/>
      <w:jc w:val="left"/>
      <w:textAlignment w:val="auto"/>
    </w:pPr>
    <w:rPr>
      <w:rFonts w:ascii="宋体" w:eastAsia="宋体" w:hAnsi="宋体"/>
      <w:kern w:val="2"/>
      <w:sz w:val="24"/>
      <w:szCs w:val="24"/>
    </w:rPr>
  </w:style>
  <w:style w:type="paragraph" w:customStyle="1" w:styleId="cd1">
    <w:name w:val="cd1"/>
    <w:basedOn w:val="a0"/>
    <w:qFormat/>
    <w:pPr>
      <w:adjustRightInd w:val="0"/>
      <w:spacing w:before="120" w:line="360" w:lineRule="auto"/>
      <w:jc w:val="center"/>
      <w:textAlignment w:val="baseline"/>
    </w:pPr>
    <w:rPr>
      <w:rFonts w:eastAsia="黑体"/>
      <w:kern w:val="0"/>
      <w:sz w:val="28"/>
      <w:szCs w:val="20"/>
    </w:rPr>
  </w:style>
  <w:style w:type="paragraph" w:customStyle="1" w:styleId="4f9">
    <w:name w:val="二级标签（首行缩进4字）"/>
    <w:basedOn w:val="a0"/>
    <w:qFormat/>
    <w:pPr>
      <w:widowControl/>
      <w:spacing w:line="360" w:lineRule="auto"/>
      <w:ind w:left="420" w:hanging="420"/>
      <w:jc w:val="left"/>
    </w:pPr>
    <w:rPr>
      <w:kern w:val="0"/>
      <w:sz w:val="24"/>
      <w:szCs w:val="20"/>
    </w:rPr>
  </w:style>
  <w:style w:type="paragraph" w:customStyle="1" w:styleId="afffffffffffffff2">
    <w:name w:val="框中文字，中宋三号，居中，单倍"/>
    <w:basedOn w:val="a0"/>
    <w:qFormat/>
    <w:pPr>
      <w:jc w:val="center"/>
    </w:pPr>
    <w:rPr>
      <w:rFonts w:eastAsia="华文中宋"/>
      <w:b/>
      <w:bCs/>
      <w:kern w:val="0"/>
      <w:sz w:val="32"/>
      <w:szCs w:val="21"/>
    </w:rPr>
  </w:style>
  <w:style w:type="paragraph" w:customStyle="1" w:styleId="afffffffffffffff3">
    <w:name w:val="标签正文（首行缩进两字）"/>
    <w:basedOn w:val="a0"/>
    <w:qFormat/>
    <w:pPr>
      <w:spacing w:line="360" w:lineRule="auto"/>
      <w:ind w:hanging="106"/>
    </w:pPr>
    <w:rPr>
      <w:rFonts w:ascii="宋体" w:eastAsia="黑体"/>
      <w:bCs/>
      <w:color w:val="000000"/>
      <w:kern w:val="0"/>
      <w:sz w:val="24"/>
    </w:rPr>
  </w:style>
  <w:style w:type="paragraph" w:customStyle="1" w:styleId="1ffffb">
    <w:name w:val="正文样式1"/>
    <w:basedOn w:val="a0"/>
    <w:qFormat/>
    <w:pPr>
      <w:adjustRightInd w:val="0"/>
      <w:snapToGrid w:val="0"/>
      <w:spacing w:line="360" w:lineRule="auto"/>
      <w:ind w:firstLine="510"/>
      <w:textAlignment w:val="baseline"/>
    </w:pPr>
    <w:rPr>
      <w:kern w:val="24"/>
      <w:sz w:val="24"/>
      <w:szCs w:val="20"/>
    </w:rPr>
  </w:style>
  <w:style w:type="paragraph" w:customStyle="1" w:styleId="afffffffffffffff4">
    <w:name w:val="表中居中文字"/>
    <w:basedOn w:val="a0"/>
    <w:qFormat/>
    <w:pPr>
      <w:widowControl/>
      <w:autoSpaceDE w:val="0"/>
      <w:autoSpaceDN w:val="0"/>
      <w:spacing w:line="360" w:lineRule="auto"/>
      <w:jc w:val="center"/>
      <w:textAlignment w:val="bottom"/>
    </w:pPr>
    <w:rPr>
      <w:rFonts w:ascii="宋体" w:hAnsi="宋体" w:cs="Arial"/>
      <w:sz w:val="24"/>
      <w:szCs w:val="18"/>
    </w:rPr>
  </w:style>
  <w:style w:type="paragraph" w:customStyle="1" w:styleId="xl61">
    <w:name w:val="xl61"/>
    <w:basedOn w:val="a0"/>
    <w:qFormat/>
    <w:pPr>
      <w:keepNext/>
      <w:widowControl/>
      <w:pBdr>
        <w:right w:val="single" w:sz="4" w:space="0" w:color="auto"/>
      </w:pBdr>
      <w:spacing w:before="100" w:beforeAutospacing="1" w:after="100" w:afterAutospacing="1" w:line="480" w:lineRule="exact"/>
      <w:jc w:val="center"/>
      <w:textAlignment w:val="center"/>
    </w:pPr>
    <w:rPr>
      <w:rFonts w:ascii="Arial" w:hAnsi="Arial" w:cs="Arial"/>
      <w:spacing w:val="10"/>
      <w:kern w:val="0"/>
      <w:sz w:val="18"/>
      <w:szCs w:val="18"/>
    </w:rPr>
  </w:style>
  <w:style w:type="paragraph" w:customStyle="1" w:styleId="50505">
    <w:name w:val="样式 标题5 + 段前: 0.5 行 段后: 0.5 行"/>
    <w:basedOn w:val="a0"/>
    <w:qFormat/>
    <w:pPr>
      <w:autoSpaceDE w:val="0"/>
      <w:autoSpaceDN w:val="0"/>
      <w:snapToGrid w:val="0"/>
      <w:spacing w:line="360" w:lineRule="atLeast"/>
      <w:ind w:firstLine="567"/>
      <w:jc w:val="left"/>
      <w:textAlignment w:val="bottom"/>
      <w:outlineLvl w:val="4"/>
    </w:pPr>
    <w:rPr>
      <w:color w:val="000000"/>
      <w:kern w:val="0"/>
      <w:szCs w:val="20"/>
    </w:rPr>
  </w:style>
  <w:style w:type="paragraph" w:customStyle="1" w:styleId="1818241">
    <w:name w:val="样式 样式 黑体 三号 加粗 段前: 18 磅 段后: 18 磅 行距: 固定值 24 磅1 + 非加粗"/>
    <w:basedOn w:val="2"/>
    <w:qFormat/>
    <w:pPr>
      <w:keepLines/>
      <w:numPr>
        <w:ilvl w:val="1"/>
      </w:numPr>
      <w:spacing w:after="360" w:line="480" w:lineRule="exact"/>
      <w:jc w:val="both"/>
    </w:pPr>
    <w:rPr>
      <w:bCs w:val="0"/>
    </w:rPr>
  </w:style>
  <w:style w:type="paragraph" w:customStyle="1" w:styleId="afffffffffffffff5">
    <w:name w:val="样式 宋体 小四"/>
    <w:basedOn w:val="aff7"/>
    <w:qFormat/>
    <w:rPr>
      <w:rFonts w:ascii="宋体" w:hAnsi="宋体"/>
      <w:sz w:val="24"/>
      <w:lang w:val="en-US" w:eastAsia="zh-CN"/>
    </w:rPr>
  </w:style>
  <w:style w:type="paragraph" w:customStyle="1" w:styleId="3ff2">
    <w:name w:val="正文样式3"/>
    <w:basedOn w:val="a0"/>
    <w:qFormat/>
    <w:pPr>
      <w:adjustRightInd w:val="0"/>
      <w:spacing w:line="20" w:lineRule="atLeast"/>
      <w:jc w:val="center"/>
      <w:textAlignment w:val="baseline"/>
    </w:pPr>
    <w:rPr>
      <w:kern w:val="0"/>
      <w:sz w:val="24"/>
      <w:szCs w:val="20"/>
    </w:rPr>
  </w:style>
  <w:style w:type="paragraph" w:customStyle="1" w:styleId="afffffffffffffff6">
    <w:name w:val="图名"/>
    <w:basedOn w:val="a0"/>
    <w:qFormat/>
    <w:pPr>
      <w:jc w:val="center"/>
    </w:pPr>
    <w:rPr>
      <w:rFonts w:ascii="宋体" w:hAnsi="宋体"/>
      <w:szCs w:val="20"/>
    </w:rPr>
  </w:style>
  <w:style w:type="paragraph" w:customStyle="1" w:styleId="Tblhead">
    <w:name w:val="Tblhead"/>
    <w:basedOn w:val="a0"/>
    <w:next w:val="a0"/>
    <w:qFormat/>
    <w:pPr>
      <w:pageBreakBefore/>
      <w:suppressAutoHyphens/>
      <w:autoSpaceDE w:val="0"/>
      <w:autoSpaceDN w:val="0"/>
      <w:adjustRightInd w:val="0"/>
      <w:jc w:val="center"/>
      <w:textAlignment w:val="baseline"/>
    </w:pPr>
    <w:rPr>
      <w:rFonts w:ascii="宋体"/>
      <w:spacing w:val="-3"/>
      <w:kern w:val="0"/>
      <w:sz w:val="24"/>
      <w:szCs w:val="20"/>
    </w:rPr>
  </w:style>
  <w:style w:type="paragraph" w:customStyle="1" w:styleId="afffffffffffffff7">
    <w:name w:val="表后注释"/>
    <w:basedOn w:val="aff7"/>
    <w:next w:val="aff7"/>
    <w:qFormat/>
    <w:pPr>
      <w:tabs>
        <w:tab w:val="left" w:pos="720"/>
      </w:tabs>
      <w:spacing w:after="0" w:line="360" w:lineRule="exact"/>
      <w:ind w:firstLineChars="0" w:firstLine="0"/>
    </w:pPr>
    <w:rPr>
      <w:rFonts w:ascii="宋体" w:hAnsi="宋体"/>
      <w:color w:val="000000"/>
      <w:spacing w:val="4"/>
      <w:kern w:val="24"/>
      <w:lang w:val="en-US" w:eastAsia="zh-CN"/>
    </w:rPr>
  </w:style>
  <w:style w:type="paragraph" w:customStyle="1" w:styleId="106">
    <w:name w:val="样式 黑色 首行缩进:  1.06 厘米"/>
    <w:basedOn w:val="a0"/>
    <w:next w:val="aff7"/>
    <w:qFormat/>
    <w:pPr>
      <w:spacing w:line="520" w:lineRule="exact"/>
      <w:ind w:firstLineChars="200" w:firstLine="600"/>
    </w:pPr>
    <w:rPr>
      <w:rFonts w:cs="宋体"/>
      <w:color w:val="000000"/>
      <w:spacing w:val="10"/>
      <w:kern w:val="24"/>
      <w:sz w:val="28"/>
      <w:szCs w:val="28"/>
    </w:rPr>
  </w:style>
  <w:style w:type="paragraph" w:customStyle="1" w:styleId="afffffffffffffff8">
    <w:name w:val="公式"/>
    <w:basedOn w:val="a0"/>
    <w:next w:val="a0"/>
    <w:qFormat/>
    <w:pPr>
      <w:spacing w:line="480" w:lineRule="exact"/>
      <w:jc w:val="center"/>
    </w:pPr>
    <w:rPr>
      <w:kern w:val="24"/>
      <w:sz w:val="24"/>
    </w:rPr>
  </w:style>
  <w:style w:type="paragraph" w:customStyle="1" w:styleId="afffffffffffffff9">
    <w:name w:val="文本框文字"/>
    <w:basedOn w:val="a0"/>
    <w:qFormat/>
    <w:pPr>
      <w:spacing w:line="300" w:lineRule="exact"/>
      <w:jc w:val="center"/>
    </w:pPr>
    <w:rPr>
      <w:kern w:val="21"/>
      <w:szCs w:val="21"/>
    </w:rPr>
  </w:style>
  <w:style w:type="paragraph" w:customStyle="1" w:styleId="251">
    <w:name w:val="样式 行距: 固定值 25 磅"/>
    <w:basedOn w:val="a0"/>
    <w:qFormat/>
    <w:pPr>
      <w:snapToGrid w:val="0"/>
      <w:spacing w:line="500" w:lineRule="exact"/>
      <w:ind w:firstLineChars="200" w:firstLine="600"/>
    </w:pPr>
    <w:rPr>
      <w:rFonts w:cs="宋体"/>
      <w:snapToGrid w:val="0"/>
      <w:spacing w:val="10"/>
      <w:kern w:val="24"/>
      <w:sz w:val="28"/>
      <w:szCs w:val="28"/>
    </w:rPr>
  </w:style>
  <w:style w:type="character" w:customStyle="1" w:styleId="1ffffc">
    <w:name w:val="超链接1"/>
    <w:qFormat/>
    <w:rPr>
      <w:color w:val="auto"/>
      <w:sz w:val="18"/>
      <w:u w:val="none"/>
    </w:rPr>
  </w:style>
  <w:style w:type="paragraph" w:customStyle="1" w:styleId="xl59">
    <w:name w:val="xl59"/>
    <w:basedOn w:val="a0"/>
    <w:qFormat/>
    <w:pPr>
      <w:widowControl/>
      <w:pBdr>
        <w:bottom w:val="single" w:sz="8" w:space="0" w:color="auto"/>
        <w:right w:val="single" w:sz="8" w:space="0" w:color="000000"/>
      </w:pBdr>
      <w:spacing w:before="100" w:beforeAutospacing="1" w:after="100" w:afterAutospacing="1"/>
      <w:textAlignment w:val="top"/>
    </w:pPr>
    <w:rPr>
      <w:rFonts w:ascii="Arial Unicode MS" w:eastAsia="Arial Unicode MS" w:hAnsi="Arial Unicode MS"/>
      <w:kern w:val="0"/>
      <w:szCs w:val="21"/>
    </w:rPr>
  </w:style>
  <w:style w:type="paragraph" w:customStyle="1" w:styleId="21b">
    <w:name w:val="正文文本 21"/>
    <w:basedOn w:val="a0"/>
    <w:qFormat/>
    <w:pPr>
      <w:adjustRightInd w:val="0"/>
      <w:spacing w:after="120"/>
      <w:ind w:left="420"/>
      <w:textAlignment w:val="baseline"/>
    </w:pPr>
    <w:rPr>
      <w:szCs w:val="20"/>
    </w:rPr>
  </w:style>
  <w:style w:type="paragraph" w:customStyle="1" w:styleId="1ffffd">
    <w:name w:val="普通(网站)1"/>
    <w:basedOn w:val="a0"/>
    <w:qFormat/>
    <w:pPr>
      <w:widowControl/>
      <w:adjustRightInd w:val="0"/>
      <w:spacing w:before="100" w:after="100"/>
      <w:jc w:val="left"/>
      <w:textAlignment w:val="baseline"/>
    </w:pPr>
    <w:rPr>
      <w:rFonts w:ascii="Arial Unicode MS" w:eastAsia="Arial Unicode MS" w:hAnsi="Arial Unicode MS"/>
      <w:color w:val="000000"/>
      <w:kern w:val="0"/>
      <w:sz w:val="24"/>
      <w:szCs w:val="20"/>
    </w:rPr>
  </w:style>
  <w:style w:type="character" w:customStyle="1" w:styleId="2ffff3">
    <w:name w:val="超链接2"/>
    <w:qFormat/>
    <w:rPr>
      <w:color w:val="auto"/>
      <w:sz w:val="18"/>
      <w:u w:val="none"/>
    </w:rPr>
  </w:style>
  <w:style w:type="paragraph" w:customStyle="1" w:styleId="227">
    <w:name w:val="正文文本 22"/>
    <w:basedOn w:val="a0"/>
    <w:qFormat/>
    <w:pPr>
      <w:adjustRightInd w:val="0"/>
      <w:spacing w:after="120"/>
      <w:ind w:left="420"/>
      <w:textAlignment w:val="baseline"/>
    </w:pPr>
    <w:rPr>
      <w:szCs w:val="20"/>
    </w:rPr>
  </w:style>
  <w:style w:type="paragraph" w:customStyle="1" w:styleId="2ffff4">
    <w:name w:val="普通(网站)2"/>
    <w:basedOn w:val="a0"/>
    <w:qFormat/>
    <w:pPr>
      <w:widowControl/>
      <w:adjustRightInd w:val="0"/>
      <w:spacing w:before="100" w:after="100"/>
      <w:jc w:val="left"/>
      <w:textAlignment w:val="baseline"/>
    </w:pPr>
    <w:rPr>
      <w:rFonts w:ascii="Arial Unicode MS" w:eastAsia="Arial Unicode MS" w:hAnsi="Arial Unicode MS"/>
      <w:color w:val="000000"/>
      <w:kern w:val="0"/>
      <w:sz w:val="24"/>
      <w:szCs w:val="20"/>
    </w:rPr>
  </w:style>
  <w:style w:type="paragraph" w:customStyle="1" w:styleId="afffffffffffffffa">
    <w:name w:val="表 格 文字"/>
    <w:basedOn w:val="36"/>
    <w:qFormat/>
    <w:pPr>
      <w:spacing w:beforeLines="20" w:afterLines="20" w:line="240" w:lineRule="auto"/>
      <w:ind w:firstLine="0"/>
      <w:jc w:val="center"/>
    </w:pPr>
    <w:rPr>
      <w:rFonts w:ascii="Calibri" w:hAnsi="Calibri"/>
      <w:sz w:val="21"/>
      <w:szCs w:val="21"/>
      <w:lang w:val="en-US" w:eastAsia="zh-CN"/>
    </w:rPr>
  </w:style>
  <w:style w:type="paragraph" w:customStyle="1" w:styleId="CharCharCharCharCharCharCharCharCharCharCharCharCharChar">
    <w:name w:val="Char Char Char Char Char Char Char Char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15Char">
    <w:name w:val="正文正文正文 1.5 倍行距 Char"/>
    <w:basedOn w:val="a0"/>
    <w:link w:val="15CharChar"/>
    <w:qFormat/>
    <w:pPr>
      <w:spacing w:before="60" w:after="60" w:line="360" w:lineRule="auto"/>
      <w:ind w:firstLineChars="200" w:firstLine="480"/>
    </w:pPr>
    <w:rPr>
      <w:rFonts w:ascii="宋体" w:hAnsi="宋体"/>
      <w:sz w:val="24"/>
      <w:lang w:val="x-none" w:eastAsia="x-none"/>
    </w:rPr>
  </w:style>
  <w:style w:type="character" w:customStyle="1" w:styleId="15CharChar">
    <w:name w:val="正文正文正文 1.5 倍行距 Char Char"/>
    <w:link w:val="15Char"/>
    <w:qFormat/>
    <w:rPr>
      <w:rFonts w:ascii="宋体" w:hAnsi="宋体"/>
      <w:kern w:val="2"/>
      <w:sz w:val="24"/>
      <w:szCs w:val="24"/>
    </w:rPr>
  </w:style>
  <w:style w:type="paragraph" w:customStyle="1" w:styleId="42H4H4144CharChar12">
    <w:name w:val="样式 标题 4条 2[三级节名]点标题H4H41第三层条小小节河石管道4标题 4 Char Char款标题1...2"/>
    <w:basedOn w:val="4"/>
    <w:link w:val="42H4H4144CharChar12Char"/>
    <w:qFormat/>
    <w:pPr>
      <w:numPr>
        <w:ilvl w:val="3"/>
      </w:numPr>
      <w:spacing w:before="120" w:after="120" w:line="360" w:lineRule="auto"/>
      <w:jc w:val="both"/>
    </w:pPr>
    <w:rPr>
      <w:rFonts w:ascii="Times New Roman" w:eastAsia="宋体" w:hAnsi="Times New Roman"/>
      <w:b w:val="0"/>
      <w:bCs w:val="0"/>
      <w:kern w:val="0"/>
      <w:szCs w:val="24"/>
      <w:lang w:val="x-none" w:eastAsia="x-none"/>
    </w:rPr>
  </w:style>
  <w:style w:type="character" w:customStyle="1" w:styleId="42H4H4144CharChar12Char">
    <w:name w:val="样式 标题 4条 2[三级节名]点标题H4H41第三层条小小节河石管道4标题 4 Char Char款标题1...2 Char"/>
    <w:link w:val="42H4H4144CharChar12"/>
    <w:qFormat/>
    <w:rPr>
      <w:sz w:val="24"/>
      <w:szCs w:val="24"/>
    </w:rPr>
  </w:style>
  <w:style w:type="paragraph" w:customStyle="1" w:styleId="afffffffffffffffb">
    <w:name w:val="大炼油正文"/>
    <w:basedOn w:val="a0"/>
    <w:link w:val="Charffffb"/>
    <w:qFormat/>
    <w:pPr>
      <w:spacing w:line="520" w:lineRule="exact"/>
      <w:ind w:firstLineChars="187" w:firstLine="524"/>
    </w:pPr>
    <w:rPr>
      <w:rFonts w:ascii="宋体" w:hAnsi="宋体"/>
      <w:sz w:val="28"/>
      <w:szCs w:val="28"/>
      <w:lang w:val="x-none" w:eastAsia="x-none"/>
    </w:rPr>
  </w:style>
  <w:style w:type="character" w:customStyle="1" w:styleId="Charffffb">
    <w:name w:val="大炼油正文 Char"/>
    <w:link w:val="afffffffffffffffb"/>
    <w:qFormat/>
    <w:rPr>
      <w:rFonts w:ascii="宋体" w:hAnsi="宋体"/>
      <w:kern w:val="2"/>
      <w:sz w:val="28"/>
      <w:szCs w:val="28"/>
    </w:rPr>
  </w:style>
  <w:style w:type="paragraph" w:customStyle="1" w:styleId="TOC1">
    <w:name w:val="TOC 标题1"/>
    <w:basedOn w:val="1"/>
    <w:next w:val="a0"/>
    <w:uiPriority w:val="39"/>
    <w:qFormat/>
    <w:pPr>
      <w:keepLines/>
      <w:widowControl/>
      <w:spacing w:beforeLines="0" w:before="0" w:afterLines="0" w:after="0" w:line="276" w:lineRule="auto"/>
      <w:jc w:val="left"/>
      <w:outlineLvl w:val="9"/>
    </w:pPr>
    <w:rPr>
      <w:rFonts w:ascii="Cambria" w:hAnsi="Cambria"/>
      <w:bCs/>
      <w:color w:val="365F91"/>
      <w:kern w:val="0"/>
      <w:sz w:val="28"/>
      <w:szCs w:val="28"/>
    </w:rPr>
  </w:style>
  <w:style w:type="paragraph" w:customStyle="1" w:styleId="3GB2312121224">
    <w:name w:val="样式 标题 3条 + 楷体_GB2312 四号 红色 段前: 12 磅 段后: 12 磅 行距: 固定值 24 磅"/>
    <w:basedOn w:val="3"/>
    <w:qFormat/>
    <w:pPr>
      <w:numPr>
        <w:ilvl w:val="2"/>
      </w:numPr>
      <w:spacing w:before="240" w:after="240" w:line="480" w:lineRule="exact"/>
      <w:jc w:val="both"/>
    </w:pPr>
    <w:rPr>
      <w:rFonts w:ascii="楷体_GB2312"/>
      <w:spacing w:val="20"/>
      <w:sz w:val="28"/>
      <w:szCs w:val="20"/>
    </w:rPr>
  </w:style>
  <w:style w:type="paragraph" w:customStyle="1" w:styleId="CharCharCharCharCharCharCharCharCharCharCharCharCharCharCharChar">
    <w:name w:val="Char Char Char Char Char Char Char Char Char Char Char Char Char Char Char Char"/>
    <w:basedOn w:val="a0"/>
    <w:qFormat/>
    <w:rPr>
      <w:szCs w:val="21"/>
    </w:rPr>
  </w:style>
  <w:style w:type="paragraph" w:customStyle="1" w:styleId="N">
    <w:name w:val="标准表格正文N"/>
    <w:basedOn w:val="af2"/>
    <w:qFormat/>
    <w:pPr>
      <w:spacing w:line="360" w:lineRule="auto"/>
    </w:pPr>
    <w:rPr>
      <w:kern w:val="0"/>
    </w:rPr>
  </w:style>
  <w:style w:type="paragraph" w:customStyle="1" w:styleId="line">
    <w:name w:val="line"/>
    <w:basedOn w:val="a0"/>
    <w:qFormat/>
    <w:pPr>
      <w:widowControl/>
      <w:spacing w:before="100" w:beforeAutospacing="1" w:after="100" w:afterAutospacing="1" w:line="405" w:lineRule="atLeast"/>
      <w:jc w:val="left"/>
    </w:pPr>
    <w:rPr>
      <w:rFonts w:ascii="宋体" w:hAnsi="宋体" w:cs="宋体"/>
      <w:color w:val="000000"/>
      <w:kern w:val="0"/>
      <w:sz w:val="22"/>
      <w:szCs w:val="22"/>
    </w:rPr>
  </w:style>
  <w:style w:type="paragraph" w:customStyle="1" w:styleId="CharChar14CharChar">
    <w:name w:val="Char Char14 Char Char"/>
    <w:basedOn w:val="a0"/>
    <w:qFormat/>
    <w:pPr>
      <w:widowControl/>
      <w:spacing w:after="160" w:line="240" w:lineRule="exact"/>
      <w:jc w:val="left"/>
    </w:pPr>
    <w:rPr>
      <w:rFonts w:ascii="Verdana" w:hAnsi="Verdana"/>
      <w:kern w:val="0"/>
      <w:sz w:val="20"/>
      <w:szCs w:val="20"/>
      <w:lang w:eastAsia="en-US"/>
    </w:rPr>
  </w:style>
  <w:style w:type="character" w:customStyle="1" w:styleId="biaoti-61">
    <w:name w:val="biaoti-61"/>
    <w:qFormat/>
    <w:rPr>
      <w:b/>
      <w:bCs/>
      <w:color w:val="000066"/>
      <w:sz w:val="30"/>
      <w:szCs w:val="30"/>
    </w:rPr>
  </w:style>
  <w:style w:type="paragraph" w:customStyle="1" w:styleId="2ffff5">
    <w:name w:val="样式 正文首行缩进2字符! + 黑色"/>
    <w:basedOn w:val="a0"/>
    <w:link w:val="2Charf1"/>
    <w:qFormat/>
    <w:pPr>
      <w:adjustRightInd w:val="0"/>
      <w:snapToGrid w:val="0"/>
      <w:spacing w:line="360" w:lineRule="auto"/>
      <w:ind w:firstLineChars="200" w:firstLine="560"/>
      <w:jc w:val="left"/>
    </w:pPr>
    <w:rPr>
      <w:rFonts w:ascii="宋体"/>
      <w:color w:val="000000"/>
      <w:sz w:val="28"/>
      <w:szCs w:val="28"/>
      <w:lang w:val="x-none" w:eastAsia="x-none"/>
    </w:rPr>
  </w:style>
  <w:style w:type="character" w:customStyle="1" w:styleId="2Charf1">
    <w:name w:val="样式 正文首行缩进2字符! + 黑色 Char"/>
    <w:link w:val="2ffff5"/>
    <w:qFormat/>
    <w:rPr>
      <w:rFonts w:ascii="宋体"/>
      <w:color w:val="000000"/>
      <w:kern w:val="2"/>
      <w:sz w:val="28"/>
      <w:szCs w:val="28"/>
    </w:rPr>
  </w:style>
  <w:style w:type="paragraph" w:customStyle="1" w:styleId="21c">
    <w:name w:val="样式 正文首行缩进2字符! + 黑色1"/>
    <w:basedOn w:val="a0"/>
    <w:link w:val="21Char"/>
    <w:qFormat/>
    <w:pPr>
      <w:adjustRightInd w:val="0"/>
      <w:snapToGrid w:val="0"/>
      <w:spacing w:line="360" w:lineRule="auto"/>
      <w:ind w:firstLineChars="200" w:firstLine="560"/>
      <w:jc w:val="left"/>
    </w:pPr>
    <w:rPr>
      <w:rFonts w:ascii="宋体"/>
      <w:color w:val="000000"/>
      <w:kern w:val="0"/>
      <w:sz w:val="28"/>
      <w:szCs w:val="28"/>
      <w:lang w:val="x-none" w:eastAsia="x-none"/>
    </w:rPr>
  </w:style>
  <w:style w:type="character" w:customStyle="1" w:styleId="21Char">
    <w:name w:val="样式 正文首行缩进2字符! + 黑色1 Char"/>
    <w:link w:val="21c"/>
    <w:qFormat/>
    <w:rPr>
      <w:rFonts w:ascii="宋体"/>
      <w:color w:val="000000"/>
      <w:sz w:val="28"/>
      <w:szCs w:val="28"/>
    </w:rPr>
  </w:style>
  <w:style w:type="paragraph" w:customStyle="1" w:styleId="afffffffffffffffc">
    <w:name w:val="题注 + 居中!"/>
    <w:basedOn w:val="aa"/>
    <w:link w:val="Charffffc"/>
    <w:qFormat/>
    <w:pPr>
      <w:adjustRightInd w:val="0"/>
      <w:snapToGrid w:val="0"/>
      <w:jc w:val="center"/>
    </w:pPr>
    <w:rPr>
      <w:rFonts w:ascii="黑体"/>
      <w:sz w:val="24"/>
      <w:szCs w:val="24"/>
    </w:rPr>
  </w:style>
  <w:style w:type="character" w:customStyle="1" w:styleId="Charffffc">
    <w:name w:val="题注 + 居中! Char"/>
    <w:link w:val="afffffffffffffffc"/>
    <w:qFormat/>
    <w:rPr>
      <w:rFonts w:ascii="黑体" w:eastAsia="黑体" w:hAnsi="Arial"/>
      <w:kern w:val="2"/>
      <w:sz w:val="24"/>
      <w:szCs w:val="24"/>
    </w:rPr>
  </w:style>
  <w:style w:type="paragraph" w:customStyle="1" w:styleId="1-40">
    <w:name w:val="标准表格文字1-小4"/>
    <w:basedOn w:val="a0"/>
    <w:link w:val="1-4CharChar"/>
    <w:qFormat/>
    <w:pPr>
      <w:adjustRightInd w:val="0"/>
      <w:snapToGrid w:val="0"/>
      <w:jc w:val="center"/>
    </w:pPr>
    <w:rPr>
      <w:rFonts w:ascii="宋体" w:hAnsi="宋体"/>
      <w:snapToGrid w:val="0"/>
      <w:kern w:val="0"/>
      <w:szCs w:val="21"/>
      <w:lang w:val="x-none" w:eastAsia="x-none"/>
    </w:rPr>
  </w:style>
  <w:style w:type="character" w:customStyle="1" w:styleId="1-4CharChar">
    <w:name w:val="标准表格文字1-小4 Char Char"/>
    <w:link w:val="1-40"/>
    <w:qFormat/>
    <w:rPr>
      <w:rFonts w:ascii="宋体" w:hAnsi="宋体"/>
      <w:snapToGrid w:val="0"/>
      <w:sz w:val="21"/>
      <w:szCs w:val="21"/>
    </w:rPr>
  </w:style>
  <w:style w:type="paragraph" w:customStyle="1" w:styleId="afffffffffffffffd">
    <w:name w:val="表格 标题"/>
    <w:basedOn w:val="aa"/>
    <w:link w:val="CharCharf6"/>
    <w:qFormat/>
    <w:pPr>
      <w:keepNext/>
      <w:keepLines/>
      <w:adjustRightInd w:val="0"/>
      <w:snapToGrid w:val="0"/>
      <w:spacing w:line="360" w:lineRule="auto"/>
      <w:ind w:firstLineChars="200" w:firstLine="200"/>
      <w:jc w:val="center"/>
    </w:pPr>
    <w:rPr>
      <w:rFonts w:ascii="黑体" w:hAnsi="宋体"/>
      <w:sz w:val="24"/>
    </w:rPr>
  </w:style>
  <w:style w:type="character" w:customStyle="1" w:styleId="CharCharf6">
    <w:name w:val="表格 标题 Char Char"/>
    <w:link w:val="afffffffffffffffd"/>
    <w:qFormat/>
    <w:rPr>
      <w:rFonts w:ascii="黑体" w:eastAsia="黑体" w:hAnsi="宋体"/>
      <w:kern w:val="2"/>
      <w:sz w:val="24"/>
    </w:rPr>
  </w:style>
  <w:style w:type="paragraph" w:customStyle="1" w:styleId="afffffffffffffffe">
    <w:name w:val="表内序号"/>
    <w:basedOn w:val="a0"/>
    <w:qFormat/>
    <w:pPr>
      <w:adjustRightInd w:val="0"/>
      <w:spacing w:line="360" w:lineRule="auto"/>
      <w:jc w:val="center"/>
      <w:textAlignment w:val="baseline"/>
    </w:pPr>
    <w:rPr>
      <w:rFonts w:ascii="宋体"/>
      <w:kern w:val="0"/>
      <w:sz w:val="24"/>
      <w:szCs w:val="20"/>
    </w:rPr>
  </w:style>
  <w:style w:type="paragraph" w:customStyle="1" w:styleId="affffffffffffffff">
    <w:name w:val="新正文样式"/>
    <w:basedOn w:val="a0"/>
    <w:qFormat/>
    <w:pPr>
      <w:tabs>
        <w:tab w:val="left" w:pos="567"/>
      </w:tabs>
      <w:spacing w:line="360" w:lineRule="auto"/>
      <w:ind w:firstLineChars="200" w:firstLine="560"/>
    </w:pPr>
    <w:rPr>
      <w:rFonts w:eastAsia="华文中宋"/>
      <w:spacing w:val="20"/>
      <w:sz w:val="24"/>
      <w:szCs w:val="20"/>
    </w:rPr>
  </w:style>
  <w:style w:type="paragraph" w:customStyle="1" w:styleId="ksheet">
    <w:name w:val="ksheet"/>
    <w:basedOn w:val="a0"/>
    <w:qFormat/>
    <w:pPr>
      <w:autoSpaceDE w:val="0"/>
      <w:autoSpaceDN w:val="0"/>
      <w:adjustRightInd w:val="0"/>
      <w:spacing w:line="300" w:lineRule="exact"/>
      <w:jc w:val="center"/>
      <w:textAlignment w:val="baseline"/>
    </w:pPr>
    <w:rPr>
      <w:rFonts w:ascii="宋体"/>
      <w:snapToGrid w:val="0"/>
      <w:color w:val="000000"/>
      <w:kern w:val="0"/>
      <w:szCs w:val="20"/>
    </w:rPr>
  </w:style>
  <w:style w:type="paragraph" w:customStyle="1" w:styleId="3-002">
    <w:name w:val="样式 标题3 + 右侧:  -0.02 字符"/>
    <w:basedOn w:val="a0"/>
    <w:next w:val="a0"/>
    <w:link w:val="3-002Char"/>
    <w:qFormat/>
    <w:pPr>
      <w:jc w:val="left"/>
    </w:pPr>
    <w:rPr>
      <w:rFonts w:eastAsia="黑体"/>
      <w:sz w:val="24"/>
      <w:lang w:val="x-none" w:eastAsia="x-none"/>
    </w:rPr>
  </w:style>
  <w:style w:type="character" w:customStyle="1" w:styleId="3-002Char">
    <w:name w:val="样式 标题3 + 右侧:  -0.02 字符 Char"/>
    <w:link w:val="3-002"/>
    <w:qFormat/>
    <w:rPr>
      <w:rFonts w:eastAsia="黑体"/>
      <w:kern w:val="2"/>
      <w:sz w:val="24"/>
      <w:szCs w:val="24"/>
    </w:rPr>
  </w:style>
  <w:style w:type="paragraph" w:customStyle="1" w:styleId="affffffffffffffff0">
    <w:name w:val="文字描述"/>
    <w:basedOn w:val="af6"/>
    <w:link w:val="Charffffd"/>
    <w:qFormat/>
    <w:pPr>
      <w:widowControl w:val="0"/>
      <w:spacing w:before="0" w:beforeAutospacing="0" w:after="0" w:afterAutospacing="0" w:line="360" w:lineRule="atLeast"/>
      <w:ind w:firstLine="420"/>
    </w:pPr>
    <w:rPr>
      <w:rFonts w:hAnsi="Courier New"/>
      <w:kern w:val="2"/>
      <w:sz w:val="21"/>
      <w:szCs w:val="21"/>
      <w:lang w:val="x-none" w:eastAsia="x-none"/>
    </w:rPr>
  </w:style>
  <w:style w:type="character" w:customStyle="1" w:styleId="Charffffd">
    <w:name w:val="文字描述 Char"/>
    <w:link w:val="affffffffffffffff0"/>
    <w:qFormat/>
    <w:rPr>
      <w:rFonts w:ascii="宋体" w:hAnsi="Courier New" w:cs="Courier New"/>
      <w:kern w:val="2"/>
      <w:sz w:val="21"/>
      <w:szCs w:val="21"/>
    </w:rPr>
  </w:style>
  <w:style w:type="paragraph" w:customStyle="1" w:styleId="SectionSubtitle">
    <w:name w:val="Section Subtitle"/>
    <w:basedOn w:val="a0"/>
    <w:next w:val="a0"/>
    <w:qFormat/>
    <w:pPr>
      <w:widowControl/>
      <w:pBdr>
        <w:left w:val="single" w:sz="6" w:space="2" w:color="FFFFFF"/>
        <w:bottom w:val="single" w:sz="6" w:space="2" w:color="FFFFFF"/>
        <w:right w:val="single" w:sz="6" w:space="2" w:color="FFFFFF"/>
      </w:pBdr>
      <w:shd w:val="pct10" w:color="auto" w:fill="auto"/>
      <w:spacing w:before="120" w:line="280" w:lineRule="atLeast"/>
      <w:jc w:val="left"/>
    </w:pPr>
    <w:rPr>
      <w:rFonts w:ascii="Arial" w:hAnsi="Arial"/>
      <w:kern w:val="0"/>
      <w:position w:val="6"/>
      <w:sz w:val="20"/>
      <w:szCs w:val="20"/>
    </w:rPr>
  </w:style>
  <w:style w:type="character" w:customStyle="1" w:styleId="CharChar16">
    <w:name w:val="Char Char16"/>
    <w:semiHidden/>
    <w:qFormat/>
    <w:rPr>
      <w:rFonts w:eastAsia="宋体"/>
      <w:kern w:val="2"/>
      <w:sz w:val="18"/>
      <w:szCs w:val="18"/>
      <w:lang w:val="en-US" w:eastAsia="zh-CN" w:bidi="ar-SA"/>
    </w:rPr>
  </w:style>
  <w:style w:type="character" w:customStyle="1" w:styleId="Footer1CharChar">
    <w:name w:val="Footer1 Char Char"/>
    <w:qFormat/>
    <w:rPr>
      <w:rFonts w:eastAsia="宋体"/>
      <w:kern w:val="2"/>
      <w:sz w:val="18"/>
      <w:szCs w:val="18"/>
      <w:lang w:val="en-US" w:eastAsia="zh-CN" w:bidi="ar-SA"/>
    </w:rPr>
  </w:style>
  <w:style w:type="paragraph" w:customStyle="1" w:styleId="affffffffffffffff1">
    <w:name w:val="大炼油表头"/>
    <w:basedOn w:val="a0"/>
    <w:qFormat/>
    <w:pPr>
      <w:spacing w:line="520" w:lineRule="exact"/>
      <w:jc w:val="center"/>
    </w:pPr>
    <w:rPr>
      <w:rFonts w:ascii="黑体" w:eastAsia="黑体" w:hAnsi="宋体"/>
      <w:b/>
      <w:szCs w:val="21"/>
    </w:rPr>
  </w:style>
  <w:style w:type="paragraph" w:customStyle="1" w:styleId="affffffffffffffff2">
    <w:name w:val="ÕýÎÄ"/>
    <w:qFormat/>
    <w:pPr>
      <w:overflowPunct w:val="0"/>
      <w:autoSpaceDE w:val="0"/>
      <w:autoSpaceDN w:val="0"/>
      <w:adjustRightInd w:val="0"/>
      <w:spacing w:line="360" w:lineRule="auto"/>
      <w:ind w:left="567" w:right="567" w:firstLine="680"/>
      <w:textAlignment w:val="baseline"/>
    </w:pPr>
    <w:rPr>
      <w:rFonts w:ascii="宋体"/>
      <w:sz w:val="24"/>
      <w:lang w:val="en-GB"/>
    </w:rPr>
  </w:style>
  <w:style w:type="paragraph" w:customStyle="1" w:styleId="affffffffffffffff3">
    <w:name w:val="报告图表"/>
    <w:basedOn w:val="a0"/>
    <w:link w:val="Charffffe"/>
    <w:qFormat/>
    <w:pPr>
      <w:tabs>
        <w:tab w:val="left" w:pos="2160"/>
      </w:tabs>
      <w:spacing w:line="360" w:lineRule="auto"/>
      <w:jc w:val="center"/>
      <w:outlineLvl w:val="3"/>
    </w:pPr>
    <w:rPr>
      <w:rFonts w:ascii="黑体" w:eastAsia="黑体" w:hAnsi="宋体"/>
      <w:b/>
      <w:sz w:val="28"/>
      <w:szCs w:val="20"/>
      <w:lang w:val="x-none" w:eastAsia="x-none"/>
    </w:rPr>
  </w:style>
  <w:style w:type="character" w:customStyle="1" w:styleId="Charffffe">
    <w:name w:val="报告图表 Char"/>
    <w:link w:val="affffffffffffffff3"/>
    <w:qFormat/>
    <w:rPr>
      <w:rFonts w:ascii="黑体" w:eastAsia="黑体" w:hAnsi="宋体"/>
      <w:b/>
      <w:kern w:val="2"/>
      <w:sz w:val="28"/>
    </w:rPr>
  </w:style>
  <w:style w:type="paragraph" w:customStyle="1" w:styleId="3ff3">
    <w:name w:val="报告3"/>
    <w:basedOn w:val="affffffffffffffff3"/>
    <w:link w:val="3Char7"/>
    <w:qFormat/>
    <w:pPr>
      <w:spacing w:line="520" w:lineRule="exact"/>
      <w:jc w:val="left"/>
    </w:pPr>
  </w:style>
  <w:style w:type="character" w:customStyle="1" w:styleId="3Char7">
    <w:name w:val="报告3 Char"/>
    <w:link w:val="3ff3"/>
    <w:qFormat/>
    <w:rPr>
      <w:rFonts w:ascii="黑体" w:eastAsia="黑体" w:hAnsi="宋体"/>
      <w:b/>
      <w:kern w:val="2"/>
      <w:sz w:val="28"/>
    </w:rPr>
  </w:style>
  <w:style w:type="paragraph" w:customStyle="1" w:styleId="2Heading2Major">
    <w:name w:val="样式 标题 2一级条_Heading 2Major + 加粗"/>
    <w:basedOn w:val="2"/>
    <w:link w:val="2Heading2MajorChar"/>
    <w:qFormat/>
    <w:pPr>
      <w:keepLines/>
      <w:numPr>
        <w:ilvl w:val="1"/>
      </w:numPr>
      <w:spacing w:after="260" w:line="416" w:lineRule="auto"/>
      <w:jc w:val="both"/>
    </w:pPr>
    <w:rPr>
      <w:rFonts w:eastAsia="宋体"/>
      <w:b w:val="0"/>
      <w:sz w:val="21"/>
      <w:lang w:val="x-none" w:eastAsia="x-none"/>
    </w:rPr>
  </w:style>
  <w:style w:type="character" w:customStyle="1" w:styleId="2Heading2MajorChar">
    <w:name w:val="样式 标题 2一级条_Heading 2Major + 加粗 Char"/>
    <w:link w:val="2Heading2Major"/>
    <w:qFormat/>
    <w:rPr>
      <w:rFonts w:ascii="Arial" w:hAnsi="Arial"/>
      <w:bCs/>
      <w:kern w:val="2"/>
      <w:sz w:val="21"/>
      <w:szCs w:val="32"/>
    </w:rPr>
  </w:style>
  <w:style w:type="paragraph" w:customStyle="1" w:styleId="affffffffffffffff4">
    <w:name w:val="项目符号"/>
    <w:qFormat/>
    <w:pPr>
      <w:widowControl w:val="0"/>
      <w:tabs>
        <w:tab w:val="left" w:pos="1200"/>
        <w:tab w:val="left" w:pos="4536"/>
      </w:tabs>
      <w:spacing w:line="440" w:lineRule="exact"/>
    </w:pPr>
    <w:rPr>
      <w:rFonts w:ascii="宋体" w:hAnsi="宋体"/>
      <w:kern w:val="2"/>
      <w:sz w:val="24"/>
    </w:rPr>
  </w:style>
  <w:style w:type="paragraph" w:customStyle="1" w:styleId="4fa">
    <w:name w:val="报告4"/>
    <w:basedOn w:val="3"/>
    <w:link w:val="4Char2"/>
    <w:qFormat/>
    <w:pPr>
      <w:keepLines w:val="0"/>
      <w:widowControl/>
      <w:numPr>
        <w:ilvl w:val="2"/>
      </w:numPr>
      <w:tabs>
        <w:tab w:val="left" w:pos="1560"/>
      </w:tabs>
      <w:snapToGrid w:val="0"/>
      <w:spacing w:afterLines="50" w:line="520" w:lineRule="exact"/>
    </w:pPr>
    <w:rPr>
      <w:rFonts w:hAnsi="宋体"/>
      <w:bCs w:val="0"/>
      <w:kern w:val="0"/>
      <w:sz w:val="28"/>
      <w:szCs w:val="28"/>
      <w:lang w:val="en-GB" w:eastAsia="x-none"/>
    </w:rPr>
  </w:style>
  <w:style w:type="character" w:customStyle="1" w:styleId="4Char2">
    <w:name w:val="报告4 Char"/>
    <w:link w:val="4fa"/>
    <w:qFormat/>
    <w:rPr>
      <w:rFonts w:ascii="黑体" w:eastAsia="黑体" w:hAnsi="宋体"/>
      <w:b/>
      <w:sz w:val="28"/>
      <w:szCs w:val="28"/>
      <w:lang w:val="en-GB"/>
    </w:rPr>
  </w:style>
  <w:style w:type="paragraph" w:customStyle="1" w:styleId="HeadingBase">
    <w:name w:val="Heading Base"/>
    <w:basedOn w:val="af2"/>
    <w:next w:val="af2"/>
    <w:link w:val="HeadingBaseChar"/>
    <w:qFormat/>
    <w:pPr>
      <w:keepNext/>
      <w:keepLines/>
      <w:widowControl/>
      <w:spacing w:line="220" w:lineRule="atLeast"/>
      <w:ind w:right="-360"/>
      <w:jc w:val="left"/>
    </w:pPr>
    <w:rPr>
      <w:rFonts w:ascii="Arial" w:hAnsi="Arial"/>
      <w:spacing w:val="-4"/>
      <w:kern w:val="0"/>
      <w:sz w:val="18"/>
      <w:szCs w:val="20"/>
    </w:rPr>
  </w:style>
  <w:style w:type="character" w:customStyle="1" w:styleId="HeadingBaseChar">
    <w:name w:val="Heading Base Char"/>
    <w:link w:val="HeadingBase"/>
    <w:qFormat/>
    <w:rPr>
      <w:rFonts w:ascii="Arial" w:hAnsi="Arial"/>
      <w:spacing w:val="-4"/>
      <w:sz w:val="18"/>
    </w:rPr>
  </w:style>
  <w:style w:type="paragraph" w:customStyle="1" w:styleId="JobTitle">
    <w:name w:val="Job Title"/>
    <w:next w:val="Achievement"/>
    <w:qFormat/>
    <w:pPr>
      <w:spacing w:after="40" w:line="220" w:lineRule="atLeast"/>
    </w:pPr>
    <w:rPr>
      <w:rFonts w:ascii="Arial" w:hAnsi="Arial"/>
      <w:b/>
      <w:spacing w:val="-10"/>
    </w:rPr>
  </w:style>
  <w:style w:type="paragraph" w:customStyle="1" w:styleId="Achievement">
    <w:name w:val="Achievement"/>
    <w:basedOn w:val="af2"/>
    <w:qFormat/>
    <w:pPr>
      <w:widowControl/>
      <w:tabs>
        <w:tab w:val="left" w:pos="1098"/>
      </w:tabs>
      <w:spacing w:after="60" w:line="220" w:lineRule="atLeast"/>
      <w:ind w:left="1098" w:right="-360" w:hanging="180"/>
      <w:jc w:val="left"/>
    </w:pPr>
    <w:rPr>
      <w:kern w:val="0"/>
      <w:sz w:val="20"/>
      <w:szCs w:val="20"/>
    </w:rPr>
  </w:style>
  <w:style w:type="character" w:customStyle="1" w:styleId="Lead-inEmphasis">
    <w:name w:val="Lead-in Emphasis"/>
    <w:qFormat/>
    <w:rPr>
      <w:rFonts w:ascii="Arial" w:hAnsi="Arial"/>
      <w:b/>
      <w:spacing w:val="-8"/>
      <w:sz w:val="18"/>
    </w:rPr>
  </w:style>
  <w:style w:type="paragraph" w:customStyle="1" w:styleId="affffffffffffffff5">
    <w:name w:val="标准书脚_奇数页"/>
    <w:qFormat/>
    <w:pPr>
      <w:spacing w:before="120"/>
      <w:jc w:val="right"/>
    </w:pPr>
    <w:rPr>
      <w:sz w:val="18"/>
    </w:rPr>
  </w:style>
  <w:style w:type="paragraph" w:customStyle="1" w:styleId="affffffffffffffff6">
    <w:name w:val="标准书眉_奇数页"/>
    <w:next w:val="a0"/>
    <w:qFormat/>
    <w:pPr>
      <w:tabs>
        <w:tab w:val="center" w:pos="4154"/>
        <w:tab w:val="right" w:pos="8306"/>
      </w:tabs>
      <w:spacing w:after="120"/>
      <w:jc w:val="right"/>
    </w:pPr>
    <w:rPr>
      <w:sz w:val="21"/>
    </w:rPr>
  </w:style>
  <w:style w:type="paragraph" w:customStyle="1" w:styleId="affffffffffffffff7">
    <w:name w:val="列项——（一级）"/>
    <w:qFormat/>
    <w:pPr>
      <w:widowControl w:val="0"/>
      <w:tabs>
        <w:tab w:val="left" w:pos="854"/>
      </w:tabs>
      <w:ind w:leftChars="200" w:left="840" w:hangingChars="200" w:hanging="420"/>
      <w:jc w:val="both"/>
    </w:pPr>
    <w:rPr>
      <w:rFonts w:ascii="宋体"/>
      <w:sz w:val="21"/>
    </w:rPr>
  </w:style>
  <w:style w:type="paragraph" w:customStyle="1" w:styleId="affffffffffffffff8">
    <w:name w:val="目次、索引正文"/>
    <w:qFormat/>
    <w:pPr>
      <w:spacing w:line="320" w:lineRule="exact"/>
      <w:jc w:val="both"/>
    </w:pPr>
    <w:rPr>
      <w:rFonts w:ascii="宋体"/>
      <w:sz w:val="21"/>
    </w:rPr>
  </w:style>
  <w:style w:type="paragraph" w:customStyle="1" w:styleId="affffffffffffffff9">
    <w:name w:val="正文表标题"/>
    <w:next w:val="4"/>
    <w:qFormat/>
    <w:pPr>
      <w:jc w:val="center"/>
    </w:pPr>
    <w:rPr>
      <w:rFonts w:ascii="黑体" w:eastAsia="黑体"/>
      <w:sz w:val="21"/>
    </w:rPr>
  </w:style>
  <w:style w:type="paragraph" w:customStyle="1" w:styleId="affffffffffffffffa">
    <w:name w:val="正文图标题"/>
    <w:next w:val="4"/>
    <w:qFormat/>
    <w:pPr>
      <w:jc w:val="center"/>
    </w:pPr>
    <w:rPr>
      <w:rFonts w:ascii="黑体" w:eastAsia="黑体"/>
      <w:sz w:val="21"/>
    </w:rPr>
  </w:style>
  <w:style w:type="paragraph" w:customStyle="1" w:styleId="affffffffffffffffb">
    <w:name w:val="列项◆（三级）"/>
    <w:qFormat/>
    <w:pPr>
      <w:tabs>
        <w:tab w:val="left" w:pos="960"/>
      </w:tabs>
      <w:ind w:leftChars="600" w:left="800" w:hangingChars="200" w:hanging="200"/>
    </w:pPr>
    <w:rPr>
      <w:rFonts w:ascii="宋体"/>
      <w:sz w:val="21"/>
    </w:rPr>
  </w:style>
  <w:style w:type="paragraph" w:customStyle="1" w:styleId="affffffffffffffffc">
    <w:name w:val="非标题一级条"/>
    <w:next w:val="a0"/>
    <w:qFormat/>
    <w:pPr>
      <w:spacing w:line="440" w:lineRule="exact"/>
    </w:pPr>
    <w:rPr>
      <w:rFonts w:ascii="宋体"/>
      <w:sz w:val="24"/>
    </w:rPr>
  </w:style>
  <w:style w:type="paragraph" w:customStyle="1" w:styleId="affffffffffffffffd">
    <w:name w:val="目次"/>
    <w:qFormat/>
    <w:pPr>
      <w:tabs>
        <w:tab w:val="left" w:pos="425"/>
      </w:tabs>
      <w:spacing w:beforeLines="200" w:afterLines="100" w:line="440" w:lineRule="exact"/>
      <w:ind w:left="425" w:hanging="425"/>
      <w:jc w:val="center"/>
    </w:pPr>
    <w:rPr>
      <w:rFonts w:ascii="黑体" w:eastAsia="黑体"/>
      <w:sz w:val="24"/>
    </w:rPr>
  </w:style>
  <w:style w:type="paragraph" w:customStyle="1" w:styleId="affffffffffffffffe">
    <w:name w:val="附录标识"/>
    <w:next w:val="a0"/>
    <w:qFormat/>
    <w:pPr>
      <w:tabs>
        <w:tab w:val="left" w:pos="425"/>
      </w:tabs>
      <w:spacing w:beforeLines="100" w:line="440" w:lineRule="exact"/>
      <w:ind w:hanging="425"/>
      <w:jc w:val="center"/>
      <w:outlineLvl w:val="0"/>
    </w:pPr>
    <w:rPr>
      <w:rFonts w:ascii="黑体" w:eastAsia="黑体"/>
      <w:sz w:val="24"/>
    </w:rPr>
  </w:style>
  <w:style w:type="paragraph" w:customStyle="1" w:styleId="afffffffffffffffff">
    <w:name w:val="附录章标题"/>
    <w:next w:val="4"/>
    <w:qFormat/>
    <w:pPr>
      <w:wordWrap w:val="0"/>
      <w:overflowPunct w:val="0"/>
      <w:autoSpaceDE w:val="0"/>
      <w:spacing w:beforeLines="50"/>
      <w:jc w:val="both"/>
      <w:outlineLvl w:val="1"/>
    </w:pPr>
    <w:rPr>
      <w:rFonts w:ascii="黑体" w:eastAsia="黑体"/>
      <w:kern w:val="21"/>
      <w:sz w:val="21"/>
    </w:rPr>
  </w:style>
  <w:style w:type="paragraph" w:customStyle="1" w:styleId="afffffffffffffffff0">
    <w:name w:val="附录一级条"/>
    <w:next w:val="a0"/>
    <w:qFormat/>
    <w:pPr>
      <w:spacing w:line="440" w:lineRule="exact"/>
    </w:pPr>
    <w:rPr>
      <w:rFonts w:ascii="宋体"/>
      <w:sz w:val="24"/>
    </w:rPr>
  </w:style>
  <w:style w:type="paragraph" w:customStyle="1" w:styleId="afffffffffffffffff1">
    <w:name w:val="封面正文"/>
    <w:qFormat/>
    <w:pPr>
      <w:tabs>
        <w:tab w:val="left" w:pos="1080"/>
      </w:tabs>
      <w:ind w:left="1080" w:hanging="1080"/>
      <w:jc w:val="both"/>
    </w:pPr>
  </w:style>
  <w:style w:type="paragraph" w:customStyle="1" w:styleId="afffffffffffffffff2">
    <w:name w:val="附录表标题"/>
    <w:next w:val="4"/>
    <w:qFormat/>
    <w:pPr>
      <w:tabs>
        <w:tab w:val="left" w:pos="1440"/>
      </w:tabs>
      <w:ind w:left="1440" w:hanging="1440"/>
      <w:jc w:val="center"/>
      <w:textAlignment w:val="baseline"/>
    </w:pPr>
    <w:rPr>
      <w:rFonts w:ascii="黑体" w:eastAsia="黑体"/>
      <w:kern w:val="21"/>
      <w:sz w:val="21"/>
    </w:rPr>
  </w:style>
  <w:style w:type="paragraph" w:customStyle="1" w:styleId="afffffffffffffffff3">
    <w:name w:val="附录图标题"/>
    <w:next w:val="4"/>
    <w:qFormat/>
    <w:pPr>
      <w:jc w:val="center"/>
    </w:pPr>
    <w:rPr>
      <w:rFonts w:ascii="黑体" w:eastAsia="黑体"/>
      <w:sz w:val="21"/>
    </w:rPr>
  </w:style>
  <w:style w:type="paragraph" w:customStyle="1" w:styleId="afffffffffffffffff4">
    <w:name w:val="列项·"/>
    <w:qFormat/>
    <w:pPr>
      <w:tabs>
        <w:tab w:val="left" w:pos="840"/>
        <w:tab w:val="left" w:pos="960"/>
      </w:tabs>
      <w:ind w:leftChars="200" w:left="840" w:hangingChars="200" w:hanging="420"/>
      <w:jc w:val="both"/>
    </w:pPr>
    <w:rPr>
      <w:rFonts w:ascii="宋体"/>
      <w:sz w:val="21"/>
    </w:rPr>
  </w:style>
  <w:style w:type="paragraph" w:customStyle="1" w:styleId="2Heading2Major0">
    <w:name w:val="标题 2一级条_Heading 2Major + 加粗 + 宋体"/>
    <w:basedOn w:val="2Heading2Major"/>
    <w:link w:val="2Heading2MajorChar0"/>
    <w:qFormat/>
    <w:rPr>
      <w:rFonts w:ascii="宋体" w:hAnsi="宋体"/>
      <w:color w:val="000000"/>
      <w:spacing w:val="-4"/>
      <w:szCs w:val="21"/>
    </w:rPr>
  </w:style>
  <w:style w:type="character" w:customStyle="1" w:styleId="2Heading2MajorChar0">
    <w:name w:val="标题 2一级条_Heading 2Major + 加粗 + 宋体 Char"/>
    <w:aliases w:val="黑色 Char"/>
    <w:link w:val="2Heading2Major0"/>
    <w:qFormat/>
    <w:rPr>
      <w:rFonts w:ascii="宋体" w:hAnsi="宋体"/>
      <w:bCs/>
      <w:color w:val="000000"/>
      <w:spacing w:val="-4"/>
      <w:kern w:val="2"/>
      <w:sz w:val="21"/>
      <w:szCs w:val="21"/>
    </w:rPr>
  </w:style>
  <w:style w:type="paragraph" w:customStyle="1" w:styleId="Luettelot">
    <w:name w:val="Luettelot"/>
    <w:next w:val="a0"/>
    <w:qFormat/>
    <w:pPr>
      <w:tabs>
        <w:tab w:val="left" w:pos="1173"/>
      </w:tabs>
      <w:ind w:left="1173" w:hanging="453"/>
    </w:pPr>
    <w:rPr>
      <w:rFonts w:eastAsia="Times New Roman"/>
      <w:sz w:val="24"/>
      <w:lang w:val="fi-FI" w:eastAsia="en-US"/>
    </w:rPr>
  </w:style>
  <w:style w:type="paragraph" w:customStyle="1" w:styleId="1ffffe">
    <w:name w:val="无间隔1"/>
    <w:qFormat/>
    <w:rPr>
      <w:rFonts w:ascii="Calibri" w:hAnsi="Calibri"/>
      <w:sz w:val="22"/>
      <w:szCs w:val="22"/>
      <w:lang w:eastAsia="en-US" w:bidi="en-US"/>
    </w:rPr>
  </w:style>
  <w:style w:type="paragraph" w:customStyle="1" w:styleId="1fffff">
    <w:name w:val="引用1"/>
    <w:basedOn w:val="a0"/>
    <w:next w:val="a0"/>
    <w:link w:val="Charfffff"/>
    <w:uiPriority w:val="29"/>
    <w:qFormat/>
    <w:pPr>
      <w:widowControl/>
      <w:spacing w:after="200" w:line="276" w:lineRule="auto"/>
      <w:jc w:val="left"/>
    </w:pPr>
    <w:rPr>
      <w:rFonts w:ascii="Calibri" w:hAnsi="Calibri"/>
      <w:i/>
      <w:iCs/>
      <w:color w:val="000000"/>
      <w:sz w:val="22"/>
      <w:szCs w:val="22"/>
      <w:lang w:val="x-none" w:eastAsia="en-US" w:bidi="en-US"/>
    </w:rPr>
  </w:style>
  <w:style w:type="character" w:customStyle="1" w:styleId="Charfffff">
    <w:name w:val="引用 Char"/>
    <w:link w:val="1fffff"/>
    <w:uiPriority w:val="29"/>
    <w:qFormat/>
    <w:rPr>
      <w:rFonts w:ascii="Calibri" w:hAnsi="Calibri"/>
      <w:i/>
      <w:iCs/>
      <w:color w:val="000000"/>
      <w:kern w:val="2"/>
      <w:sz w:val="22"/>
      <w:szCs w:val="22"/>
      <w:lang w:eastAsia="en-US" w:bidi="en-US"/>
    </w:rPr>
  </w:style>
  <w:style w:type="paragraph" w:customStyle="1" w:styleId="1fffff0">
    <w:name w:val="明显引用1"/>
    <w:basedOn w:val="a0"/>
    <w:next w:val="a0"/>
    <w:link w:val="Charfffff0"/>
    <w:uiPriority w:val="30"/>
    <w:qFormat/>
    <w:pPr>
      <w:widowControl/>
      <w:pBdr>
        <w:bottom w:val="single" w:sz="4" w:space="4" w:color="4F81BD"/>
      </w:pBdr>
      <w:spacing w:before="200" w:after="280" w:line="276" w:lineRule="auto"/>
      <w:ind w:left="936" w:right="936"/>
      <w:jc w:val="left"/>
    </w:pPr>
    <w:rPr>
      <w:rFonts w:ascii="Calibri" w:hAnsi="Calibri"/>
      <w:b/>
      <w:bCs/>
      <w:i/>
      <w:iCs/>
      <w:color w:val="4F81BD"/>
      <w:sz w:val="22"/>
      <w:szCs w:val="22"/>
      <w:lang w:val="x-none" w:eastAsia="en-US" w:bidi="en-US"/>
    </w:rPr>
  </w:style>
  <w:style w:type="character" w:customStyle="1" w:styleId="Charfffff0">
    <w:name w:val="明显引用 Char"/>
    <w:link w:val="1fffff0"/>
    <w:uiPriority w:val="30"/>
    <w:qFormat/>
    <w:rPr>
      <w:rFonts w:ascii="Calibri" w:hAnsi="Calibri"/>
      <w:b/>
      <w:bCs/>
      <w:i/>
      <w:iCs/>
      <w:color w:val="4F81BD"/>
      <w:kern w:val="2"/>
      <w:sz w:val="22"/>
      <w:szCs w:val="22"/>
      <w:lang w:eastAsia="en-US" w:bidi="en-US"/>
    </w:rPr>
  </w:style>
  <w:style w:type="paragraph" w:customStyle="1" w:styleId="afffffffffffffffff5">
    <w:name w:val="标准称谓"/>
    <w:next w:val="a0"/>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ffffffffffff6">
    <w:name w:val="标准书脚_偶数页"/>
    <w:qFormat/>
    <w:pPr>
      <w:spacing w:before="120"/>
    </w:pPr>
    <w:rPr>
      <w:sz w:val="18"/>
    </w:rPr>
  </w:style>
  <w:style w:type="paragraph" w:customStyle="1" w:styleId="afffffffffffffffff7">
    <w:name w:val="标准书眉一"/>
    <w:qFormat/>
    <w:pPr>
      <w:jc w:val="both"/>
    </w:pPr>
  </w:style>
  <w:style w:type="paragraph" w:customStyle="1" w:styleId="afffffffffffffffff8">
    <w:name w:val="发布部门"/>
    <w:next w:val="4"/>
    <w:qFormat/>
    <w:pPr>
      <w:framePr w:w="7433" w:h="585" w:hRule="exact" w:hSpace="180" w:vSpace="180" w:wrap="around" w:hAnchor="margin" w:xAlign="center" w:y="14401" w:anchorLock="1"/>
      <w:jc w:val="center"/>
    </w:pPr>
    <w:rPr>
      <w:rFonts w:ascii="宋体"/>
      <w:b/>
      <w:spacing w:val="20"/>
      <w:w w:val="135"/>
      <w:sz w:val="36"/>
    </w:rPr>
  </w:style>
  <w:style w:type="paragraph" w:customStyle="1" w:styleId="afffffffffffffffff9">
    <w:name w:val="发布日期"/>
    <w:qFormat/>
    <w:pPr>
      <w:framePr w:w="4000" w:h="473" w:hRule="exact" w:hSpace="180" w:vSpace="180" w:wrap="around" w:hAnchor="margin" w:y="13511" w:anchorLock="1"/>
    </w:pPr>
    <w:rPr>
      <w:rFonts w:eastAsia="黑体"/>
      <w:sz w:val="28"/>
    </w:rPr>
  </w:style>
  <w:style w:type="paragraph" w:customStyle="1" w:styleId="1fffff1">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fffffffffffa">
    <w:name w:val="封面标准英文名称"/>
    <w:qFormat/>
    <w:pPr>
      <w:widowControl w:val="0"/>
      <w:spacing w:before="370" w:line="400" w:lineRule="exact"/>
      <w:jc w:val="center"/>
    </w:pPr>
    <w:rPr>
      <w:sz w:val="28"/>
    </w:rPr>
  </w:style>
  <w:style w:type="paragraph" w:customStyle="1" w:styleId="afffffffffffffffffb">
    <w:name w:val="封面一致性程度标识"/>
    <w:qFormat/>
    <w:pPr>
      <w:spacing w:before="440" w:line="400" w:lineRule="exact"/>
      <w:jc w:val="center"/>
    </w:pPr>
    <w:rPr>
      <w:rFonts w:ascii="宋体"/>
      <w:sz w:val="28"/>
    </w:rPr>
  </w:style>
  <w:style w:type="paragraph" w:customStyle="1" w:styleId="afffffffffffffffffc">
    <w:name w:val="其他标准称谓"/>
    <w:qFormat/>
    <w:pPr>
      <w:spacing w:line="0" w:lineRule="atLeast"/>
      <w:jc w:val="distribute"/>
    </w:pPr>
    <w:rPr>
      <w:rFonts w:ascii="黑体" w:eastAsia="黑体" w:hAnsi="宋体"/>
      <w:sz w:val="52"/>
    </w:rPr>
  </w:style>
  <w:style w:type="paragraph" w:customStyle="1" w:styleId="afffffffffffffffffd">
    <w:name w:val="示例"/>
    <w:next w:val="4"/>
    <w:qFormat/>
    <w:pPr>
      <w:tabs>
        <w:tab w:val="left" w:pos="816"/>
      </w:tabs>
      <w:ind w:firstLineChars="233" w:firstLine="419"/>
      <w:jc w:val="both"/>
    </w:pPr>
    <w:rPr>
      <w:rFonts w:ascii="宋体"/>
      <w:sz w:val="18"/>
    </w:rPr>
  </w:style>
  <w:style w:type="paragraph" w:customStyle="1" w:styleId="afffffffffffffffffe">
    <w:name w:val="图表脚注"/>
    <w:next w:val="4"/>
    <w:qFormat/>
    <w:pPr>
      <w:ind w:leftChars="200" w:left="300" w:hangingChars="100" w:hanging="100"/>
      <w:jc w:val="both"/>
    </w:pPr>
    <w:rPr>
      <w:rFonts w:ascii="宋体"/>
      <w:sz w:val="18"/>
    </w:rPr>
  </w:style>
  <w:style w:type="paragraph" w:customStyle="1" w:styleId="affffffffffffffffff">
    <w:name w:val="文献分类号"/>
    <w:qFormat/>
    <w:pPr>
      <w:framePr w:hSpace="180" w:vSpace="180" w:wrap="around" w:hAnchor="margin" w:y="1" w:anchorLock="1"/>
      <w:widowControl w:val="0"/>
      <w:textAlignment w:val="center"/>
    </w:pPr>
    <w:rPr>
      <w:rFonts w:eastAsia="黑体"/>
      <w:sz w:val="21"/>
    </w:rPr>
  </w:style>
  <w:style w:type="paragraph" w:customStyle="1" w:styleId="affffffffffffffffff0">
    <w:name w:val="无标题条"/>
    <w:next w:val="4"/>
    <w:qFormat/>
    <w:pPr>
      <w:jc w:val="both"/>
    </w:pPr>
    <w:rPr>
      <w:sz w:val="21"/>
    </w:rPr>
  </w:style>
  <w:style w:type="paragraph" w:customStyle="1" w:styleId="affffffffffffffffff1">
    <w:name w:val="注×："/>
    <w:qFormat/>
    <w:pPr>
      <w:widowControl w:val="0"/>
      <w:tabs>
        <w:tab w:val="left" w:pos="630"/>
      </w:tabs>
      <w:autoSpaceDE w:val="0"/>
      <w:autoSpaceDN w:val="0"/>
      <w:ind w:left="900" w:hanging="500"/>
      <w:jc w:val="both"/>
    </w:pPr>
    <w:rPr>
      <w:rFonts w:ascii="宋体"/>
      <w:sz w:val="18"/>
    </w:rPr>
  </w:style>
  <w:style w:type="paragraph" w:customStyle="1" w:styleId="affffffffffffffffff2">
    <w:name w:val="编号列项（三级）"/>
    <w:qFormat/>
    <w:pPr>
      <w:ind w:leftChars="600" w:left="800" w:hangingChars="200" w:hanging="200"/>
    </w:pPr>
    <w:rPr>
      <w:rFonts w:ascii="宋体"/>
      <w:sz w:val="21"/>
    </w:rPr>
  </w:style>
  <w:style w:type="paragraph" w:customStyle="1" w:styleId="affffffffffffffffff3">
    <w:name w:val="附录性质"/>
    <w:next w:val="affffffffffffffffff4"/>
    <w:qFormat/>
    <w:pPr>
      <w:tabs>
        <w:tab w:val="left" w:pos="1174"/>
      </w:tabs>
      <w:spacing w:line="440" w:lineRule="exact"/>
      <w:jc w:val="center"/>
    </w:pPr>
    <w:rPr>
      <w:rFonts w:ascii="宋体"/>
      <w:sz w:val="24"/>
    </w:rPr>
  </w:style>
  <w:style w:type="paragraph" w:customStyle="1" w:styleId="affffffffffffffffff4">
    <w:name w:val="附录标题"/>
    <w:basedOn w:val="4"/>
    <w:next w:val="a0"/>
    <w:qFormat/>
    <w:pPr>
      <w:keepNext w:val="0"/>
      <w:keepLines w:val="0"/>
      <w:widowControl/>
      <w:numPr>
        <w:ilvl w:val="3"/>
      </w:numPr>
      <w:spacing w:line="440" w:lineRule="exact"/>
      <w:jc w:val="center"/>
      <w:outlineLvl w:val="9"/>
    </w:pPr>
    <w:rPr>
      <w:rFonts w:ascii="宋体" w:eastAsia="宋体" w:hAnsi="Times New Roman"/>
      <w:b w:val="0"/>
      <w:bCs w:val="0"/>
      <w:kern w:val="0"/>
      <w:szCs w:val="20"/>
    </w:rPr>
  </w:style>
  <w:style w:type="paragraph" w:customStyle="1" w:styleId="affffffffffffffffff5">
    <w:name w:val="图和表标题"/>
    <w:next w:val="4"/>
    <w:qFormat/>
    <w:pPr>
      <w:tabs>
        <w:tab w:val="left" w:pos="2520"/>
      </w:tabs>
      <w:spacing w:line="440" w:lineRule="exact"/>
      <w:ind w:hanging="420"/>
      <w:jc w:val="center"/>
    </w:pPr>
    <w:rPr>
      <w:rFonts w:ascii="黑体" w:eastAsia="黑体"/>
      <w:sz w:val="24"/>
    </w:rPr>
  </w:style>
  <w:style w:type="paragraph" w:customStyle="1" w:styleId="tabs">
    <w:name w:val="tabs"/>
    <w:qFormat/>
    <w:pPr>
      <w:tabs>
        <w:tab w:val="left" w:pos="965"/>
        <w:tab w:val="left" w:pos="1325"/>
        <w:tab w:val="left" w:pos="1786"/>
        <w:tab w:val="left" w:pos="2261"/>
        <w:tab w:val="left" w:pos="2822"/>
      </w:tabs>
      <w:suppressAutoHyphens/>
      <w:spacing w:before="120" w:after="120"/>
    </w:pPr>
    <w:rPr>
      <w:rFonts w:ascii="Univers" w:hAnsi="Univers"/>
      <w:sz w:val="16"/>
      <w:szCs w:val="16"/>
      <w:lang w:eastAsia="en-US"/>
    </w:rPr>
  </w:style>
  <w:style w:type="paragraph" w:customStyle="1" w:styleId="215Char">
    <w:name w:val="正文首行缩进  2 字符 行距: 1.5 字行 Char"/>
    <w:basedOn w:val="a0"/>
    <w:qFormat/>
    <w:pPr>
      <w:widowControl/>
      <w:tabs>
        <w:tab w:val="left" w:pos="-1843"/>
        <w:tab w:val="left" w:pos="1727"/>
        <w:tab w:val="left" w:pos="1884"/>
      </w:tabs>
      <w:spacing w:line="360" w:lineRule="auto"/>
      <w:ind w:firstLineChars="200" w:firstLine="560"/>
      <w:textAlignment w:val="bottom"/>
    </w:pPr>
    <w:rPr>
      <w:rFonts w:ascii="黑体" w:hAnsi="宋体"/>
      <w:sz w:val="24"/>
      <w:szCs w:val="28"/>
    </w:rPr>
  </w:style>
  <w:style w:type="paragraph" w:customStyle="1" w:styleId="230">
    <w:name w:val="正文文本 23"/>
    <w:basedOn w:val="a0"/>
    <w:qFormat/>
    <w:pPr>
      <w:adjustRightInd w:val="0"/>
      <w:spacing w:after="120"/>
      <w:ind w:left="420"/>
      <w:textAlignment w:val="baseline"/>
    </w:pPr>
    <w:rPr>
      <w:szCs w:val="20"/>
    </w:rPr>
  </w:style>
  <w:style w:type="character" w:customStyle="1" w:styleId="3ff4">
    <w:name w:val="超链接3"/>
    <w:qFormat/>
    <w:rPr>
      <w:color w:val="auto"/>
      <w:sz w:val="18"/>
      <w:u w:val="none"/>
    </w:rPr>
  </w:style>
  <w:style w:type="paragraph" w:customStyle="1" w:styleId="3ff5">
    <w:name w:val="普通(网站)3"/>
    <w:basedOn w:val="a0"/>
    <w:qFormat/>
    <w:pPr>
      <w:widowControl/>
      <w:adjustRightInd w:val="0"/>
      <w:spacing w:before="100" w:after="100"/>
      <w:jc w:val="left"/>
      <w:textAlignment w:val="baseline"/>
    </w:pPr>
    <w:rPr>
      <w:rFonts w:ascii="Arial Unicode MS" w:eastAsia="Arial Unicode MS" w:hAnsi="Arial Unicode MS"/>
      <w:color w:val="000000"/>
      <w:kern w:val="0"/>
      <w:sz w:val="24"/>
      <w:szCs w:val="20"/>
    </w:rPr>
  </w:style>
  <w:style w:type="paragraph" w:customStyle="1" w:styleId="affffffffffffffffff6">
    <w:name w:val="正文四号"/>
    <w:basedOn w:val="a0"/>
    <w:qFormat/>
    <w:pPr>
      <w:spacing w:line="360" w:lineRule="auto"/>
      <w:ind w:firstLineChars="200" w:firstLine="200"/>
      <w:jc w:val="left"/>
    </w:pPr>
    <w:rPr>
      <w:rFonts w:hAnsi="宋体"/>
      <w:sz w:val="28"/>
      <w:szCs w:val="21"/>
    </w:rPr>
  </w:style>
  <w:style w:type="paragraph" w:customStyle="1" w:styleId="CharCharCharChar1CharCharChar">
    <w:name w:val="Char Char Char Char1 Char Char Char"/>
    <w:basedOn w:val="a0"/>
    <w:semiHidden/>
    <w:qFormat/>
    <w:pPr>
      <w:widowControl/>
      <w:spacing w:after="160" w:line="240" w:lineRule="exact"/>
      <w:jc w:val="left"/>
    </w:pPr>
    <w:rPr>
      <w:rFonts w:ascii="Verdana" w:hAnsi="Verdana"/>
      <w:kern w:val="0"/>
      <w:sz w:val="20"/>
      <w:lang w:eastAsia="en-US"/>
    </w:rPr>
  </w:style>
  <w:style w:type="character" w:customStyle="1" w:styleId="style41">
    <w:name w:val="style41"/>
    <w:qFormat/>
    <w:rPr>
      <w:rFonts w:ascii="宋体" w:eastAsia="宋体" w:hAnsi="宋体" w:hint="eastAsia"/>
      <w:color w:val="000000"/>
      <w:sz w:val="36"/>
      <w:szCs w:val="36"/>
    </w:rPr>
  </w:style>
  <w:style w:type="character" w:customStyle="1" w:styleId="style31">
    <w:name w:val="style31"/>
    <w:qFormat/>
    <w:rPr>
      <w:b/>
      <w:bCs/>
      <w:color w:val="3795D2"/>
      <w:sz w:val="21"/>
      <w:szCs w:val="21"/>
    </w:rPr>
  </w:style>
  <w:style w:type="paragraph" w:customStyle="1" w:styleId="1fffff2">
    <w:name w:val="修订1"/>
    <w:qFormat/>
    <w:rPr>
      <w:kern w:val="2"/>
      <w:sz w:val="21"/>
      <w:szCs w:val="24"/>
    </w:rPr>
  </w:style>
  <w:style w:type="character" w:customStyle="1" w:styleId="-CharCharCharCharCharCharCharCChar">
    <w:name w:val="样式 正文首行缩进可研-正文首行缩进 Char Char Char正文首行缩进 Char Char Char Char C... Char"/>
    <w:link w:val="-CharCharCharCharCharCharCharC"/>
    <w:qFormat/>
    <w:locked/>
    <w:rPr>
      <w:rFonts w:ascii="宋体" w:hAnsi="宋体" w:cs="宋体"/>
      <w:color w:val="000000"/>
      <w:spacing w:val="8"/>
    </w:rPr>
  </w:style>
  <w:style w:type="paragraph" w:customStyle="1" w:styleId="-CharCharCharCharCharCharCharC">
    <w:name w:val="样式 正文首行缩进可研-正文首行缩进 Char Char Char正文首行缩进 Char Char Char Char C..."/>
    <w:basedOn w:val="aff7"/>
    <w:link w:val="-CharCharCharCharCharCharCharCChar"/>
    <w:qFormat/>
    <w:pPr>
      <w:spacing w:after="0" w:line="360" w:lineRule="auto"/>
      <w:ind w:firstLineChars="200" w:firstLine="592"/>
    </w:pPr>
    <w:rPr>
      <w:rFonts w:ascii="宋体" w:hAnsi="宋体"/>
      <w:color w:val="000000"/>
      <w:spacing w:val="8"/>
      <w:kern w:val="0"/>
      <w:sz w:val="20"/>
      <w:szCs w:val="20"/>
    </w:rPr>
  </w:style>
  <w:style w:type="table" w:customStyle="1" w:styleId="TableNormal">
    <w:name w:val="Table Normal"/>
    <w:uiPriority w:val="2"/>
    <w:unhideWhenUsed/>
    <w:qFormat/>
    <w:pPr>
      <w:widowControl w:val="0"/>
    </w:pPr>
    <w:rPr>
      <w:rFonts w:ascii="Calibri" w:hAnsi="Calibri"/>
      <w:sz w:val="22"/>
      <w:lang w:eastAsia="en-US"/>
    </w:rPr>
    <w:tblPr>
      <w:tblCellMar>
        <w:top w:w="0" w:type="dxa"/>
        <w:left w:w="0" w:type="dxa"/>
        <w:bottom w:w="0" w:type="dxa"/>
        <w:right w:w="0" w:type="dxa"/>
      </w:tblCellMar>
    </w:tblPr>
  </w:style>
  <w:style w:type="paragraph" w:customStyle="1" w:styleId="TableParagraph">
    <w:name w:val="Table Paragraph"/>
    <w:basedOn w:val="a0"/>
    <w:qFormat/>
    <w:pPr>
      <w:jc w:val="left"/>
    </w:pPr>
    <w:rPr>
      <w:rFonts w:ascii="Calibri" w:hAnsi="Calibri"/>
      <w:kern w:val="0"/>
      <w:sz w:val="22"/>
      <w:szCs w:val="22"/>
      <w:lang w:eastAsia="en-US"/>
    </w:rPr>
  </w:style>
  <w:style w:type="paragraph" w:customStyle="1" w:styleId="font14">
    <w:name w:val="font14"/>
    <w:basedOn w:val="a0"/>
    <w:qFormat/>
    <w:pPr>
      <w:widowControl/>
      <w:spacing w:before="100" w:beforeAutospacing="1" w:after="100" w:afterAutospacing="1"/>
      <w:jc w:val="left"/>
    </w:pPr>
    <w:rPr>
      <w:rFonts w:ascii="宋体" w:hAnsi="宋体" w:cs="宋体"/>
      <w:kern w:val="0"/>
      <w:sz w:val="22"/>
      <w:szCs w:val="22"/>
    </w:rPr>
  </w:style>
  <w:style w:type="paragraph" w:customStyle="1" w:styleId="font15">
    <w:name w:val="font15"/>
    <w:basedOn w:val="a0"/>
    <w:qFormat/>
    <w:pPr>
      <w:widowControl/>
      <w:spacing w:before="100" w:beforeAutospacing="1" w:after="100" w:afterAutospacing="1"/>
      <w:jc w:val="left"/>
    </w:pPr>
    <w:rPr>
      <w:kern w:val="0"/>
      <w:sz w:val="16"/>
      <w:szCs w:val="16"/>
    </w:rPr>
  </w:style>
  <w:style w:type="paragraph" w:customStyle="1" w:styleId="font16">
    <w:name w:val="font16"/>
    <w:basedOn w:val="a0"/>
    <w:qFormat/>
    <w:pPr>
      <w:widowControl/>
      <w:spacing w:before="100" w:beforeAutospacing="1" w:after="100" w:afterAutospacing="1"/>
      <w:jc w:val="left"/>
    </w:pPr>
    <w:rPr>
      <w:rFonts w:ascii="宋体" w:hAnsi="宋体" w:cs="宋体"/>
      <w:kern w:val="0"/>
      <w:sz w:val="16"/>
      <w:szCs w:val="16"/>
    </w:rPr>
  </w:style>
  <w:style w:type="paragraph" w:customStyle="1" w:styleId="font17">
    <w:name w:val="font17"/>
    <w:basedOn w:val="a0"/>
    <w:qFormat/>
    <w:pPr>
      <w:widowControl/>
      <w:spacing w:before="100" w:beforeAutospacing="1" w:after="100" w:afterAutospacing="1"/>
      <w:jc w:val="left"/>
    </w:pPr>
    <w:rPr>
      <w:rFonts w:ascii="宋体" w:hAnsi="宋体" w:cs="宋体"/>
      <w:kern w:val="0"/>
      <w:sz w:val="24"/>
    </w:rPr>
  </w:style>
  <w:style w:type="paragraph" w:customStyle="1" w:styleId="font18">
    <w:name w:val="font18"/>
    <w:basedOn w:val="a0"/>
    <w:qFormat/>
    <w:pPr>
      <w:widowControl/>
      <w:spacing w:before="100" w:beforeAutospacing="1" w:after="100" w:afterAutospacing="1"/>
      <w:jc w:val="left"/>
    </w:pPr>
    <w:rPr>
      <w:rFonts w:ascii="宋体" w:hAnsi="宋体" w:cs="宋体"/>
      <w:kern w:val="0"/>
      <w:sz w:val="18"/>
      <w:szCs w:val="18"/>
    </w:rPr>
  </w:style>
  <w:style w:type="paragraph" w:customStyle="1" w:styleId="font19">
    <w:name w:val="font19"/>
    <w:basedOn w:val="a0"/>
    <w:qFormat/>
    <w:pPr>
      <w:widowControl/>
      <w:spacing w:before="100" w:beforeAutospacing="1" w:after="100" w:afterAutospacing="1"/>
      <w:jc w:val="left"/>
    </w:pPr>
    <w:rPr>
      <w:rFonts w:ascii="Arial" w:hAnsi="Arial" w:cs="Arial"/>
      <w:color w:val="000000"/>
      <w:kern w:val="0"/>
      <w:sz w:val="20"/>
      <w:szCs w:val="20"/>
    </w:rPr>
  </w:style>
  <w:style w:type="paragraph" w:customStyle="1" w:styleId="font20">
    <w:name w:val="font20"/>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font22">
    <w:name w:val="font22"/>
    <w:basedOn w:val="a0"/>
    <w:qFormat/>
    <w:pPr>
      <w:widowControl/>
      <w:spacing w:before="100" w:beforeAutospacing="1" w:after="100" w:afterAutospacing="1"/>
      <w:jc w:val="left"/>
    </w:pPr>
    <w:rPr>
      <w:rFonts w:ascii="宋体" w:hAnsi="宋体" w:cs="宋体"/>
      <w:kern w:val="0"/>
      <w:sz w:val="18"/>
      <w:szCs w:val="18"/>
    </w:rPr>
  </w:style>
  <w:style w:type="paragraph" w:customStyle="1" w:styleId="font23">
    <w:name w:val="font23"/>
    <w:basedOn w:val="a0"/>
    <w:qFormat/>
    <w:pPr>
      <w:widowControl/>
      <w:spacing w:before="100" w:beforeAutospacing="1" w:after="100" w:afterAutospacing="1"/>
      <w:jc w:val="left"/>
    </w:pPr>
    <w:rPr>
      <w:rFonts w:ascii="宋体" w:hAnsi="宋体" w:cs="宋体"/>
      <w:kern w:val="0"/>
      <w:sz w:val="18"/>
      <w:szCs w:val="18"/>
    </w:rPr>
  </w:style>
  <w:style w:type="character" w:customStyle="1" w:styleId="1CharCharCharCharCharCharCharChar">
    <w:name w:val="标题 1 Char Char Char Char Char Char Char Char"/>
    <w:qFormat/>
    <w:rPr>
      <w:rFonts w:ascii="Times New Roman" w:eastAsia="宋体" w:hAnsi="Times New Roman" w:cs="Times New Roman"/>
      <w:b/>
      <w:bCs/>
      <w:kern w:val="44"/>
      <w:sz w:val="44"/>
      <w:szCs w:val="44"/>
    </w:rPr>
  </w:style>
  <w:style w:type="character" w:customStyle="1" w:styleId="3CharCharCharCharCharCharCharCharCharCharChar1">
    <w:name w:val="标题 3 Char Char Char Char Char Char Char Char Char Char Char1"/>
    <w:qFormat/>
    <w:rPr>
      <w:rFonts w:ascii="Times New Roman" w:eastAsia="宋体" w:hAnsi="Times New Roman" w:cs="Times New Roman"/>
      <w:b/>
      <w:bCs/>
      <w:sz w:val="32"/>
      <w:szCs w:val="32"/>
    </w:rPr>
  </w:style>
  <w:style w:type="character" w:customStyle="1" w:styleId="font-21">
    <w:name w:val="font-21"/>
    <w:qFormat/>
    <w:rPr>
      <w:color w:val="000000"/>
      <w:sz w:val="21"/>
      <w:szCs w:val="21"/>
      <w:u w:val="none"/>
    </w:rPr>
  </w:style>
  <w:style w:type="paragraph" w:customStyle="1" w:styleId="c0">
    <w:name w:val="c_"/>
    <w:qFormat/>
    <w:pPr>
      <w:widowControl w:val="0"/>
      <w:autoSpaceDE w:val="0"/>
      <w:autoSpaceDN w:val="0"/>
      <w:adjustRightInd w:val="0"/>
      <w:jc w:val="both"/>
    </w:pPr>
    <w:rPr>
      <w:rFonts w:ascii="五" w:eastAsia="五"/>
      <w:sz w:val="24"/>
    </w:rPr>
  </w:style>
  <w:style w:type="paragraph" w:customStyle="1" w:styleId="xl23">
    <w:name w:val="xl2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 w:val="24"/>
      <w:szCs w:val="20"/>
      <w:lang w:eastAsia="en-US"/>
    </w:rPr>
  </w:style>
  <w:style w:type="character" w:customStyle="1" w:styleId="CharChar161">
    <w:name w:val="Char Char161"/>
    <w:semiHidden/>
    <w:qFormat/>
    <w:rPr>
      <w:rFonts w:eastAsia="宋体"/>
      <w:kern w:val="2"/>
      <w:sz w:val="18"/>
      <w:szCs w:val="18"/>
      <w:lang w:val="en-US" w:eastAsia="zh-CN" w:bidi="ar-SA"/>
    </w:rPr>
  </w:style>
  <w:style w:type="paragraph" w:customStyle="1" w:styleId="5f1">
    <w:name w:val="正文5"/>
    <w:qFormat/>
    <w:pPr>
      <w:widowControl w:val="0"/>
      <w:adjustRightInd w:val="0"/>
      <w:spacing w:line="312" w:lineRule="atLeast"/>
      <w:jc w:val="both"/>
      <w:textAlignment w:val="baseline"/>
    </w:pPr>
    <w:rPr>
      <w:rFonts w:ascii="宋体"/>
      <w:sz w:val="34"/>
    </w:rPr>
  </w:style>
  <w:style w:type="character" w:customStyle="1" w:styleId="CharChar21">
    <w:name w:val="Char Char21"/>
    <w:qFormat/>
    <w:rPr>
      <w:rFonts w:ascii="黑体" w:eastAsia="黑体" w:hAnsi="Arial"/>
      <w:spacing w:val="8"/>
      <w:kern w:val="24"/>
      <w:sz w:val="21"/>
    </w:rPr>
  </w:style>
  <w:style w:type="paragraph" w:customStyle="1" w:styleId="240">
    <w:name w:val="正文文本 24"/>
    <w:basedOn w:val="a0"/>
    <w:qFormat/>
    <w:pPr>
      <w:adjustRightInd w:val="0"/>
      <w:spacing w:after="120"/>
      <w:ind w:left="420"/>
      <w:textAlignment w:val="baseline"/>
    </w:pPr>
    <w:rPr>
      <w:szCs w:val="20"/>
    </w:rPr>
  </w:style>
  <w:style w:type="character" w:customStyle="1" w:styleId="4fb">
    <w:name w:val="超链接4"/>
    <w:qFormat/>
    <w:rPr>
      <w:color w:val="auto"/>
      <w:sz w:val="18"/>
      <w:u w:val="none"/>
    </w:rPr>
  </w:style>
  <w:style w:type="paragraph" w:customStyle="1" w:styleId="4fc">
    <w:name w:val="普通(网站)4"/>
    <w:basedOn w:val="a0"/>
    <w:qFormat/>
    <w:pPr>
      <w:widowControl/>
      <w:adjustRightInd w:val="0"/>
      <w:spacing w:before="100" w:after="100"/>
      <w:jc w:val="left"/>
      <w:textAlignment w:val="baseline"/>
    </w:pPr>
    <w:rPr>
      <w:rFonts w:ascii="Arial Unicode MS" w:eastAsia="Arial Unicode MS" w:hAnsi="Arial Unicode MS"/>
      <w:color w:val="000000"/>
      <w:kern w:val="0"/>
      <w:sz w:val="24"/>
      <w:szCs w:val="20"/>
    </w:rPr>
  </w:style>
  <w:style w:type="paragraph" w:customStyle="1" w:styleId="CharCharCharChar1CharCharChar1">
    <w:name w:val="Char Char Char Char1 Char Char Char1"/>
    <w:basedOn w:val="a0"/>
    <w:semiHidden/>
    <w:qFormat/>
    <w:pPr>
      <w:widowControl/>
      <w:spacing w:after="160" w:line="240" w:lineRule="exact"/>
      <w:jc w:val="left"/>
    </w:pPr>
    <w:rPr>
      <w:rFonts w:ascii="Verdana" w:hAnsi="Verdana"/>
      <w:kern w:val="0"/>
      <w:sz w:val="20"/>
      <w:lang w:eastAsia="en-US"/>
    </w:rPr>
  </w:style>
  <w:style w:type="paragraph" w:customStyle="1" w:styleId="CharCharCharCharCharChar1Char2">
    <w:name w:val="Char Char Char Char Char Char1 Char2"/>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Char2">
    <w:name w:val="Char Char Char Char Char Char Char2"/>
    <w:basedOn w:val="a0"/>
    <w:qFormat/>
    <w:pPr>
      <w:widowControl/>
      <w:spacing w:after="160" w:line="240" w:lineRule="exact"/>
      <w:jc w:val="left"/>
    </w:pPr>
    <w:rPr>
      <w:rFonts w:ascii="Verdana" w:hAnsi="Verdana"/>
      <w:kern w:val="0"/>
      <w:sz w:val="20"/>
      <w:szCs w:val="20"/>
      <w:lang w:eastAsia="en-US"/>
    </w:rPr>
  </w:style>
  <w:style w:type="character" w:customStyle="1" w:styleId="CharChar162">
    <w:name w:val="Char Char162"/>
    <w:semiHidden/>
    <w:qFormat/>
    <w:rPr>
      <w:rFonts w:eastAsia="宋体"/>
      <w:kern w:val="2"/>
      <w:sz w:val="18"/>
      <w:szCs w:val="18"/>
      <w:lang w:val="en-US" w:eastAsia="zh-CN" w:bidi="ar-SA"/>
    </w:rPr>
  </w:style>
  <w:style w:type="paragraph" w:customStyle="1" w:styleId="6c">
    <w:name w:val="正文6"/>
    <w:qFormat/>
    <w:pPr>
      <w:widowControl w:val="0"/>
      <w:adjustRightInd w:val="0"/>
      <w:spacing w:line="312" w:lineRule="atLeast"/>
      <w:jc w:val="both"/>
      <w:textAlignment w:val="baseline"/>
    </w:pPr>
    <w:rPr>
      <w:rFonts w:ascii="宋体"/>
      <w:sz w:val="34"/>
    </w:rPr>
  </w:style>
  <w:style w:type="character" w:customStyle="1" w:styleId="CharChar22">
    <w:name w:val="Char Char22"/>
    <w:qFormat/>
    <w:rPr>
      <w:rFonts w:ascii="黑体" w:eastAsia="黑体" w:hAnsi="Arial"/>
      <w:spacing w:val="8"/>
      <w:kern w:val="24"/>
      <w:sz w:val="21"/>
    </w:rPr>
  </w:style>
  <w:style w:type="paragraph" w:customStyle="1" w:styleId="252">
    <w:name w:val="正文文本 25"/>
    <w:basedOn w:val="a0"/>
    <w:qFormat/>
    <w:pPr>
      <w:adjustRightInd w:val="0"/>
      <w:spacing w:after="120"/>
      <w:ind w:left="420"/>
      <w:textAlignment w:val="baseline"/>
    </w:pPr>
    <w:rPr>
      <w:szCs w:val="20"/>
    </w:rPr>
  </w:style>
  <w:style w:type="character" w:customStyle="1" w:styleId="5f2">
    <w:name w:val="超链接5"/>
    <w:qFormat/>
    <w:rPr>
      <w:color w:val="auto"/>
      <w:sz w:val="18"/>
      <w:u w:val="none"/>
    </w:rPr>
  </w:style>
  <w:style w:type="paragraph" w:customStyle="1" w:styleId="5f3">
    <w:name w:val="普通(网站)5"/>
    <w:basedOn w:val="a0"/>
    <w:qFormat/>
    <w:pPr>
      <w:widowControl/>
      <w:adjustRightInd w:val="0"/>
      <w:spacing w:before="100" w:after="100"/>
      <w:jc w:val="left"/>
      <w:textAlignment w:val="baseline"/>
    </w:pPr>
    <w:rPr>
      <w:rFonts w:ascii="Arial Unicode MS" w:eastAsia="Arial Unicode MS" w:hAnsi="Arial Unicode MS"/>
      <w:color w:val="000000"/>
      <w:kern w:val="0"/>
      <w:sz w:val="24"/>
      <w:szCs w:val="20"/>
    </w:rPr>
  </w:style>
  <w:style w:type="paragraph" w:customStyle="1" w:styleId="CharCharCharChar1CharCharChar2">
    <w:name w:val="Char Char Char Char1 Char Char Char2"/>
    <w:basedOn w:val="a0"/>
    <w:semiHidden/>
    <w:qFormat/>
    <w:pPr>
      <w:widowControl/>
      <w:spacing w:after="160" w:line="240" w:lineRule="exact"/>
      <w:jc w:val="left"/>
    </w:pPr>
    <w:rPr>
      <w:rFonts w:ascii="Verdana" w:hAnsi="Verdana"/>
      <w:kern w:val="0"/>
      <w:sz w:val="20"/>
      <w:lang w:eastAsia="en-US"/>
    </w:rPr>
  </w:style>
  <w:style w:type="paragraph" w:customStyle="1" w:styleId="2ffff6">
    <w:name w:val="样式 标题 2 + (西文) 黑体"/>
    <w:basedOn w:val="2"/>
    <w:qFormat/>
    <w:pPr>
      <w:keepLines/>
      <w:numPr>
        <w:ilvl w:val="1"/>
      </w:numPr>
      <w:tabs>
        <w:tab w:val="left" w:pos="7064"/>
      </w:tabs>
      <w:spacing w:line="416" w:lineRule="auto"/>
      <w:outlineLvl w:val="9"/>
    </w:pPr>
    <w:rPr>
      <w:bCs w:val="0"/>
      <w:sz w:val="21"/>
      <w:szCs w:val="21"/>
    </w:rPr>
  </w:style>
  <w:style w:type="character" w:customStyle="1" w:styleId="2ffff7">
    <w:name w:val="目录2级"/>
    <w:qFormat/>
    <w:rPr>
      <w:rFonts w:eastAsia="黑体"/>
      <w:spacing w:val="0"/>
      <w:sz w:val="21"/>
      <w:szCs w:val="21"/>
    </w:rPr>
  </w:style>
  <w:style w:type="paragraph" w:customStyle="1" w:styleId="New">
    <w:name w:val="正文 New"/>
    <w:pPr>
      <w:widowControl w:val="0"/>
      <w:jc w:val="both"/>
    </w:pPr>
    <w:rPr>
      <w:kern w:val="2"/>
      <w:sz w:val="21"/>
      <w:szCs w:val="24"/>
    </w:rPr>
  </w:style>
  <w:style w:type="paragraph" w:customStyle="1" w:styleId="CM7">
    <w:name w:val="CM7"/>
    <w:basedOn w:val="Default"/>
    <w:next w:val="Default"/>
    <w:pPr>
      <w:spacing w:line="580" w:lineRule="atLeast"/>
      <w:ind w:firstLineChars="0" w:firstLine="0"/>
      <w:jc w:val="left"/>
    </w:pPr>
    <w:rPr>
      <w:rFonts w:ascii="宋体" w:eastAsia="宋体" w:hAnsi="Calibri"/>
      <w:kern w:val="0"/>
      <w:sz w:val="24"/>
    </w:rPr>
  </w:style>
  <w:style w:type="paragraph" w:customStyle="1" w:styleId="affffffffffffffffff7">
    <w:name w:val="数字项"/>
    <w:basedOn w:val="a0"/>
    <w:pPr>
      <w:widowControl/>
      <w:tabs>
        <w:tab w:val="left" w:pos="4777"/>
      </w:tabs>
      <w:spacing w:line="440" w:lineRule="exact"/>
      <w:ind w:left="1333" w:hanging="482"/>
      <w:jc w:val="left"/>
    </w:pPr>
    <w:rPr>
      <w:rFonts w:ascii="宋体" w:hAnsi="Calibri"/>
      <w:kern w:val="0"/>
      <w:sz w:val="24"/>
      <w:szCs w:val="20"/>
      <w:lang w:eastAsia="en-US" w:bidi="en-US"/>
    </w:rPr>
  </w:style>
  <w:style w:type="character" w:customStyle="1" w:styleId="affffffffffffffffff8">
    <w:name w:val="样式 正文 +"/>
    <w:rPr>
      <w:rFonts w:eastAsia="仿宋_GB2312"/>
      <w:kern w:val="0"/>
      <w:sz w:val="28"/>
    </w:rPr>
  </w:style>
  <w:style w:type="paragraph" w:customStyle="1" w:styleId="1520">
    <w:name w:val="样式 (符号) 宋体 行距: 1.5 倍行距2"/>
    <w:basedOn w:val="a0"/>
    <w:semiHidden/>
    <w:pPr>
      <w:spacing w:line="360" w:lineRule="auto"/>
      <w:ind w:firstLineChars="192" w:firstLine="403"/>
    </w:pPr>
    <w:rPr>
      <w:rFonts w:eastAsia="仿宋_GB2312" w:hAnsi="宋体"/>
      <w:szCs w:val="28"/>
    </w:rPr>
  </w:style>
  <w:style w:type="character" w:customStyle="1" w:styleId="affffffffffffffffff9">
    <w:name w:val="样式 宋体"/>
    <w:semiHidden/>
    <w:rPr>
      <w:rFonts w:ascii="宋体" w:eastAsia="仿宋_GB2312" w:hAnsi="宋体"/>
      <w:sz w:val="28"/>
    </w:rPr>
  </w:style>
  <w:style w:type="character" w:customStyle="1" w:styleId="3CharChar0">
    <w:name w:val="标题3 Char Char"/>
    <w:rPr>
      <w:rFonts w:eastAsia="Cambria Math"/>
      <w:b/>
      <w:kern w:val="2"/>
      <w:sz w:val="30"/>
      <w:szCs w:val="24"/>
    </w:rPr>
  </w:style>
  <w:style w:type="paragraph" w:customStyle="1" w:styleId="GS">
    <w:name w:val="GS正文"/>
    <w:basedOn w:val="a0"/>
    <w:link w:val="GSCharChar"/>
    <w:pPr>
      <w:adjustRightInd w:val="0"/>
      <w:spacing w:line="360" w:lineRule="auto"/>
      <w:jc w:val="center"/>
    </w:pPr>
    <w:rPr>
      <w:kern w:val="0"/>
      <w:sz w:val="28"/>
      <w:szCs w:val="28"/>
      <w:lang w:val="zh-CN" w:eastAsia="x-none"/>
    </w:rPr>
  </w:style>
  <w:style w:type="character" w:customStyle="1" w:styleId="GSCharChar">
    <w:name w:val="GS正文 Char Char"/>
    <w:link w:val="GS"/>
    <w:rPr>
      <w:sz w:val="28"/>
      <w:szCs w:val="28"/>
      <w:lang w:val="zh-CN"/>
    </w:rPr>
  </w:style>
  <w:style w:type="character" w:customStyle="1" w:styleId="0pt7">
    <w:name w:val="正文文本 + 间距 0 pt7"/>
    <w:rPr>
      <w:rFonts w:ascii="MingLiU" w:eastAsia="MingLiU" w:cs="MingLiU"/>
      <w:spacing w:val="-10"/>
      <w:sz w:val="23"/>
      <w:szCs w:val="23"/>
      <w:lang w:val="en-US" w:eastAsia="en-US"/>
    </w:rPr>
  </w:style>
  <w:style w:type="character" w:customStyle="1" w:styleId="1fffff3">
    <w:name w:val="默认段落字体1"/>
    <w:rPr>
      <w:rFonts w:hint="default"/>
    </w:rPr>
  </w:style>
  <w:style w:type="character" w:customStyle="1" w:styleId="CharCharf7">
    <w:name w:val="燕山正文 Char Char"/>
    <w:link w:val="affffffffffffffffffa"/>
    <w:rPr>
      <w:rFonts w:ascii="Arial" w:hAnsi="Arial"/>
      <w:color w:val="000000"/>
      <w:szCs w:val="28"/>
    </w:rPr>
  </w:style>
  <w:style w:type="paragraph" w:customStyle="1" w:styleId="affffffffffffffffffa">
    <w:name w:val="燕山正文"/>
    <w:basedOn w:val="a0"/>
    <w:link w:val="CharCharf7"/>
    <w:pPr>
      <w:tabs>
        <w:tab w:val="left" w:pos="5090"/>
      </w:tabs>
      <w:adjustRightInd w:val="0"/>
      <w:snapToGrid w:val="0"/>
      <w:spacing w:line="360" w:lineRule="auto"/>
      <w:ind w:firstLineChars="200" w:firstLine="560"/>
    </w:pPr>
    <w:rPr>
      <w:rFonts w:ascii="Arial" w:hAnsi="Arial"/>
      <w:color w:val="000000"/>
      <w:kern w:val="0"/>
      <w:sz w:val="20"/>
      <w:szCs w:val="28"/>
      <w:lang w:val="x-none" w:eastAsia="x-none"/>
    </w:rPr>
  </w:style>
  <w:style w:type="character" w:customStyle="1" w:styleId="05CharChar">
    <w:name w:val="样式 表格标题 + 段前: 0.5 行 Char Char"/>
    <w:link w:val="05"/>
    <w:rPr>
      <w:rFonts w:ascii="Arial" w:eastAsia="Arial" w:cs="Arial"/>
      <w:b/>
      <w:bCs/>
      <w:sz w:val="24"/>
      <w:szCs w:val="24"/>
    </w:rPr>
  </w:style>
  <w:style w:type="paragraph" w:customStyle="1" w:styleId="05">
    <w:name w:val="样式 表格标题 + 段前: 0.5 行"/>
    <w:basedOn w:val="a9"/>
    <w:link w:val="05CharChar"/>
    <w:pPr>
      <w:spacing w:line="300" w:lineRule="auto"/>
      <w:ind w:firstLine="0"/>
      <w:jc w:val="center"/>
    </w:pPr>
    <w:rPr>
      <w:rFonts w:ascii="Arial" w:eastAsia="Arial"/>
      <w:b/>
      <w:bCs/>
      <w:szCs w:val="24"/>
      <w:lang w:val="x-none" w:eastAsia="x-none"/>
    </w:rPr>
  </w:style>
  <w:style w:type="character" w:customStyle="1" w:styleId="CharChar101">
    <w:name w:val="Char Char101"/>
    <w:rPr>
      <w:rFonts w:ascii="Arial" w:eastAsia="Arial"/>
      <w:kern w:val="2"/>
      <w:sz w:val="21"/>
      <w:lang w:val="en-US" w:eastAsia="zh-CN" w:bidi="ar-SA"/>
    </w:rPr>
  </w:style>
  <w:style w:type="character" w:customStyle="1" w:styleId="CharCharf8">
    <w:name w:val="青 Char Char"/>
    <w:link w:val="affffffffffffffffffb"/>
    <w:rPr>
      <w:rFonts w:ascii="Arial" w:eastAsia="Arial" w:hAnsi="Arial"/>
      <w:bCs/>
      <w:spacing w:val="-10"/>
      <w:position w:val="2"/>
      <w:szCs w:val="28"/>
    </w:rPr>
  </w:style>
  <w:style w:type="paragraph" w:customStyle="1" w:styleId="affffffffffffffffffb">
    <w:name w:val="青"/>
    <w:basedOn w:val="a0"/>
    <w:link w:val="CharCharf8"/>
    <w:pPr>
      <w:tabs>
        <w:tab w:val="left" w:pos="630"/>
        <w:tab w:val="left" w:pos="3600"/>
      </w:tabs>
      <w:spacing w:line="520" w:lineRule="exact"/>
      <w:ind w:firstLineChars="200" w:firstLine="520"/>
    </w:pPr>
    <w:rPr>
      <w:rFonts w:ascii="Arial" w:eastAsia="Arial" w:hAnsi="Arial"/>
      <w:bCs/>
      <w:spacing w:val="-10"/>
      <w:kern w:val="0"/>
      <w:position w:val="2"/>
      <w:sz w:val="20"/>
      <w:szCs w:val="28"/>
      <w:lang w:val="x-none" w:eastAsia="x-none"/>
    </w:rPr>
  </w:style>
  <w:style w:type="character" w:customStyle="1" w:styleId="Char1f4">
    <w:name w:val="正文样式 Char1"/>
    <w:rPr>
      <w:rFonts w:eastAsia="Arial"/>
      <w:szCs w:val="28"/>
    </w:rPr>
  </w:style>
  <w:style w:type="character" w:customStyle="1" w:styleId="321CharCharChar">
    <w:name w:val="样式 标题 3条 + 首行缩进:  2 字符1 Char Char Char"/>
    <w:link w:val="321Char"/>
    <w:rPr>
      <w:rFonts w:eastAsia="Arial"/>
      <w:szCs w:val="21"/>
    </w:rPr>
  </w:style>
  <w:style w:type="paragraph" w:customStyle="1" w:styleId="321Char">
    <w:name w:val="样式 标题 3条 + 首行缩进:  2 字符1 Char"/>
    <w:basedOn w:val="3"/>
    <w:link w:val="321CharCharChar"/>
    <w:pPr>
      <w:numPr>
        <w:ilvl w:val="2"/>
      </w:numPr>
      <w:textAlignment w:val="baseline"/>
      <w:outlineLvl w:val="1"/>
    </w:pPr>
    <w:rPr>
      <w:rFonts w:ascii="Times New Roman" w:eastAsia="Arial"/>
      <w:b w:val="0"/>
      <w:bCs w:val="0"/>
      <w:kern w:val="0"/>
      <w:sz w:val="20"/>
      <w:szCs w:val="21"/>
      <w:lang w:val="x-none" w:eastAsia="x-none"/>
    </w:rPr>
  </w:style>
  <w:style w:type="character" w:customStyle="1" w:styleId="CharCharf9">
    <w:name w:val="文本正文 Char Char"/>
    <w:link w:val="affffffffffffffffffc"/>
    <w:rPr>
      <w:rFonts w:eastAsia="Arial"/>
      <w:snapToGrid w:val="0"/>
      <w:sz w:val="24"/>
      <w:szCs w:val="24"/>
    </w:rPr>
  </w:style>
  <w:style w:type="paragraph" w:customStyle="1" w:styleId="affffffffffffffffffc">
    <w:name w:val="文本正文"/>
    <w:basedOn w:val="a0"/>
    <w:link w:val="CharCharf9"/>
    <w:pPr>
      <w:spacing w:line="360" w:lineRule="auto"/>
      <w:ind w:firstLineChars="200" w:firstLine="200"/>
      <w:jc w:val="left"/>
    </w:pPr>
    <w:rPr>
      <w:rFonts w:eastAsia="Arial"/>
      <w:snapToGrid w:val="0"/>
      <w:kern w:val="0"/>
      <w:sz w:val="24"/>
      <w:lang w:val="x-none" w:eastAsia="x-none"/>
    </w:rPr>
  </w:style>
  <w:style w:type="character" w:customStyle="1" w:styleId="qiluCharChar">
    <w:name w:val="qilu正文 Char Char"/>
    <w:link w:val="qilu"/>
    <w:rPr>
      <w:rFonts w:ascii="Arial" w:eastAsia="Arial" w:hAnsi="Arial"/>
      <w:color w:val="000000"/>
      <w:szCs w:val="28"/>
    </w:rPr>
  </w:style>
  <w:style w:type="paragraph" w:customStyle="1" w:styleId="qilu">
    <w:name w:val="qilu正文"/>
    <w:basedOn w:val="a0"/>
    <w:link w:val="qiluCharChar"/>
    <w:pPr>
      <w:spacing w:line="520" w:lineRule="exact"/>
      <w:ind w:firstLineChars="187" w:firstLine="524"/>
    </w:pPr>
    <w:rPr>
      <w:rFonts w:ascii="Arial" w:eastAsia="Arial" w:hAnsi="Arial"/>
      <w:color w:val="000000"/>
      <w:kern w:val="0"/>
      <w:sz w:val="20"/>
      <w:szCs w:val="28"/>
      <w:lang w:val="x-none" w:eastAsia="x-none"/>
    </w:rPr>
  </w:style>
  <w:style w:type="character" w:customStyle="1" w:styleId="lyqCharChar0">
    <w:name w:val="二级标题lyq Char Char"/>
    <w:link w:val="lyq0"/>
    <w:rPr>
      <w:rFonts w:ascii="Cambria Math" w:eastAsia="Cambria Math" w:hAnsi="Arial"/>
      <w:b/>
      <w:bCs/>
      <w:color w:val="000000"/>
      <w:position w:val="2"/>
      <w:szCs w:val="28"/>
    </w:rPr>
  </w:style>
  <w:style w:type="paragraph" w:customStyle="1" w:styleId="lyq0">
    <w:name w:val="二级标题lyq"/>
    <w:basedOn w:val="affffffffffffffffffd"/>
    <w:link w:val="lyqCharChar0"/>
    <w:pPr>
      <w:spacing w:before="120" w:afterLines="50" w:line="520" w:lineRule="exact"/>
    </w:pPr>
    <w:rPr>
      <w:b/>
      <w:color w:val="000000"/>
    </w:rPr>
  </w:style>
  <w:style w:type="paragraph" w:customStyle="1" w:styleId="affffffffffffffffffd">
    <w:name w:val="正文二级标题"/>
    <w:basedOn w:val="4"/>
    <w:link w:val="CharCharfa"/>
    <w:pPr>
      <w:numPr>
        <w:ilvl w:val="3"/>
      </w:numPr>
      <w:tabs>
        <w:tab w:val="left" w:pos="6120"/>
      </w:tabs>
      <w:adjustRightInd w:val="0"/>
      <w:spacing w:line="336" w:lineRule="auto"/>
      <w:jc w:val="both"/>
    </w:pPr>
    <w:rPr>
      <w:rFonts w:ascii="Cambria Math" w:eastAsia="Cambria Math"/>
      <w:b w:val="0"/>
      <w:kern w:val="0"/>
      <w:position w:val="2"/>
      <w:sz w:val="20"/>
      <w:lang w:val="x-none" w:eastAsia="x-none"/>
    </w:rPr>
  </w:style>
  <w:style w:type="character" w:customStyle="1" w:styleId="CharCharfa">
    <w:name w:val="正文二级标题 Char Char"/>
    <w:link w:val="affffffffffffffffffd"/>
    <w:rPr>
      <w:rFonts w:ascii="Cambria Math" w:eastAsia="Cambria Math" w:hAnsi="Arial"/>
      <w:bCs/>
      <w:position w:val="2"/>
      <w:szCs w:val="28"/>
    </w:rPr>
  </w:style>
  <w:style w:type="character" w:customStyle="1" w:styleId="MTOCharChar">
    <w:name w:val="MTO正文 Char Char"/>
    <w:link w:val="MTO"/>
    <w:rPr>
      <w:rFonts w:ascii="Arial" w:eastAsia="Arial" w:hAnsi="Arial"/>
      <w:szCs w:val="28"/>
    </w:rPr>
  </w:style>
  <w:style w:type="paragraph" w:customStyle="1" w:styleId="MTO">
    <w:name w:val="MTO正文"/>
    <w:basedOn w:val="a0"/>
    <w:link w:val="MTOCharChar"/>
    <w:pPr>
      <w:spacing w:line="520" w:lineRule="exact"/>
      <w:ind w:firstLineChars="200" w:firstLine="560"/>
      <w:jc w:val="left"/>
    </w:pPr>
    <w:rPr>
      <w:rFonts w:ascii="Arial" w:eastAsia="Arial" w:hAnsi="Arial"/>
      <w:kern w:val="0"/>
      <w:sz w:val="20"/>
      <w:szCs w:val="28"/>
      <w:lang w:val="x-none" w:eastAsia="x-none"/>
    </w:rPr>
  </w:style>
  <w:style w:type="character" w:customStyle="1" w:styleId="CharCharfb">
    <w:name w:val="广石化正文 Char Char"/>
    <w:link w:val="affffffffffffffffffe"/>
    <w:rPr>
      <w:rFonts w:ascii="Arial" w:eastAsia="Arial" w:hAnsi="Arial"/>
      <w:szCs w:val="28"/>
    </w:rPr>
  </w:style>
  <w:style w:type="paragraph" w:customStyle="1" w:styleId="affffffffffffffffffe">
    <w:name w:val="广石化正文"/>
    <w:basedOn w:val="a0"/>
    <w:link w:val="CharCharfb"/>
    <w:pPr>
      <w:tabs>
        <w:tab w:val="left" w:pos="6520"/>
        <w:tab w:val="left" w:leader="dot" w:pos="8220"/>
      </w:tabs>
      <w:spacing w:line="520" w:lineRule="exact"/>
      <w:ind w:firstLineChars="192" w:firstLine="538"/>
    </w:pPr>
    <w:rPr>
      <w:rFonts w:ascii="Arial" w:eastAsia="Arial" w:hAnsi="Arial"/>
      <w:kern w:val="0"/>
      <w:sz w:val="20"/>
      <w:szCs w:val="28"/>
      <w:lang w:val="x-none" w:eastAsia="x-none"/>
    </w:rPr>
  </w:style>
  <w:style w:type="character" w:customStyle="1" w:styleId="CharCharfc">
    <w:name w:val="万华正文 Char Char"/>
    <w:link w:val="afffffffffffffffffff"/>
    <w:rPr>
      <w:rFonts w:ascii="Arial" w:eastAsia="Arial" w:hAnsi="Arial"/>
      <w:szCs w:val="28"/>
    </w:rPr>
  </w:style>
  <w:style w:type="paragraph" w:customStyle="1" w:styleId="afffffffffffffffffff">
    <w:name w:val="万华正文"/>
    <w:basedOn w:val="a0"/>
    <w:link w:val="CharCharfc"/>
    <w:pPr>
      <w:spacing w:line="520" w:lineRule="exact"/>
      <w:ind w:firstLineChars="200" w:firstLine="560"/>
    </w:pPr>
    <w:rPr>
      <w:rFonts w:ascii="Arial" w:eastAsia="Arial" w:hAnsi="Arial"/>
      <w:kern w:val="0"/>
      <w:sz w:val="20"/>
      <w:szCs w:val="28"/>
      <w:lang w:val="x-none" w:eastAsia="x-none"/>
    </w:rPr>
  </w:style>
  <w:style w:type="character" w:customStyle="1" w:styleId="lyqCharChar1">
    <w:name w:val="一级标题lyq Char Char"/>
    <w:link w:val="lyq1"/>
    <w:rPr>
      <w:rFonts w:eastAsia="Cambria Math" w:cs="Arial"/>
      <w:b/>
      <w:bCs/>
      <w:position w:val="2"/>
    </w:rPr>
  </w:style>
  <w:style w:type="paragraph" w:customStyle="1" w:styleId="lyq1">
    <w:name w:val="一级标题lyq"/>
    <w:basedOn w:val="a0"/>
    <w:link w:val="lyqCharChar1"/>
    <w:pPr>
      <w:keepNext/>
      <w:keepLines/>
      <w:tabs>
        <w:tab w:val="left" w:pos="6120"/>
      </w:tabs>
      <w:adjustRightInd w:val="0"/>
      <w:spacing w:beforeLines="50" w:line="336" w:lineRule="auto"/>
      <w:outlineLvl w:val="2"/>
    </w:pPr>
    <w:rPr>
      <w:rFonts w:eastAsia="Cambria Math"/>
      <w:b/>
      <w:bCs/>
      <w:kern w:val="0"/>
      <w:position w:val="2"/>
      <w:sz w:val="20"/>
      <w:szCs w:val="20"/>
      <w:lang w:val="x-none" w:eastAsia="x-none"/>
    </w:rPr>
  </w:style>
  <w:style w:type="character" w:customStyle="1" w:styleId="CharCharfd">
    <w:name w:val="装 Char Char"/>
    <w:link w:val="afffffffffffffffffff0"/>
    <w:rPr>
      <w:rFonts w:ascii="Arial" w:eastAsia="Arial" w:hAnsi="Arial" w:cs="Arial"/>
      <w:color w:val="000000"/>
      <w:szCs w:val="28"/>
    </w:rPr>
  </w:style>
  <w:style w:type="paragraph" w:customStyle="1" w:styleId="afffffffffffffffffff0">
    <w:name w:val="装"/>
    <w:basedOn w:val="Default"/>
    <w:link w:val="CharCharfd"/>
    <w:pPr>
      <w:spacing w:line="520" w:lineRule="exact"/>
      <w:ind w:firstLineChars="0" w:firstLine="482"/>
    </w:pPr>
    <w:rPr>
      <w:rFonts w:ascii="Arial" w:eastAsia="Arial" w:hAnsi="Arial"/>
      <w:color w:val="000000"/>
      <w:kern w:val="0"/>
      <w:sz w:val="20"/>
      <w:szCs w:val="28"/>
    </w:rPr>
  </w:style>
  <w:style w:type="character" w:customStyle="1" w:styleId="3CharChar1">
    <w:name w:val="报告3 Char Char"/>
    <w:rPr>
      <w:rFonts w:ascii="Cambria Math" w:eastAsia="Cambria Math" w:hAnsi="Arial"/>
      <w:b/>
      <w:bCs/>
      <w:sz w:val="28"/>
      <w:szCs w:val="28"/>
      <w:lang w:val="en-GB"/>
    </w:rPr>
  </w:style>
  <w:style w:type="character" w:customStyle="1" w:styleId="CharCharfe">
    <w:name w:val="上 Char Char"/>
    <w:link w:val="afffffffffffffffffff1"/>
    <w:rPr>
      <w:rFonts w:ascii="Arial" w:eastAsia="Arial" w:hAnsi="Arial"/>
      <w:color w:val="000000"/>
      <w:position w:val="2"/>
      <w:szCs w:val="28"/>
    </w:rPr>
  </w:style>
  <w:style w:type="paragraph" w:customStyle="1" w:styleId="afffffffffffffffffff1">
    <w:name w:val="上"/>
    <w:basedOn w:val="a0"/>
    <w:link w:val="CharCharfe"/>
    <w:pPr>
      <w:spacing w:line="520" w:lineRule="exact"/>
      <w:ind w:firstLine="539"/>
    </w:pPr>
    <w:rPr>
      <w:rFonts w:ascii="Arial" w:eastAsia="Arial" w:hAnsi="Arial"/>
      <w:color w:val="000000"/>
      <w:kern w:val="0"/>
      <w:position w:val="2"/>
      <w:sz w:val="20"/>
      <w:szCs w:val="28"/>
      <w:lang w:val="x-none" w:eastAsia="x-none"/>
    </w:rPr>
  </w:style>
  <w:style w:type="character" w:customStyle="1" w:styleId="CharCharff">
    <w:name w:val="条 Char Char"/>
    <w:rPr>
      <w:rFonts w:eastAsia="Arial"/>
      <w:b/>
      <w:sz w:val="32"/>
      <w:lang w:val="en-US" w:eastAsia="zh-CN" w:bidi="ar-SA"/>
    </w:rPr>
  </w:style>
  <w:style w:type="character" w:customStyle="1" w:styleId="CharCharff0">
    <w:name w:val="茂名正文 Char Char"/>
    <w:link w:val="afffffffffffffffffff2"/>
    <w:rPr>
      <w:rFonts w:ascii="Arial" w:eastAsia="Arial" w:hAnsi="Arial"/>
      <w:szCs w:val="28"/>
    </w:rPr>
  </w:style>
  <w:style w:type="paragraph" w:customStyle="1" w:styleId="afffffffffffffffffff2">
    <w:name w:val="茂名正文"/>
    <w:basedOn w:val="a0"/>
    <w:link w:val="CharCharff0"/>
    <w:pPr>
      <w:spacing w:line="520" w:lineRule="exact"/>
      <w:ind w:firstLineChars="192" w:firstLine="538"/>
    </w:pPr>
    <w:rPr>
      <w:rFonts w:ascii="Arial" w:eastAsia="Arial" w:hAnsi="Arial"/>
      <w:kern w:val="0"/>
      <w:sz w:val="20"/>
      <w:szCs w:val="28"/>
      <w:lang w:val="x-none" w:eastAsia="x-none"/>
    </w:rPr>
  </w:style>
  <w:style w:type="character" w:customStyle="1" w:styleId="CharCharff1">
    <w:name w:val="甲 Char Char"/>
    <w:link w:val="afffffffffffffffffff3"/>
    <w:rPr>
      <w:rFonts w:ascii="Arial" w:eastAsia="Arial" w:hAnsi="Arial"/>
      <w:position w:val="2"/>
      <w:szCs w:val="28"/>
    </w:rPr>
  </w:style>
  <w:style w:type="paragraph" w:customStyle="1" w:styleId="afffffffffffffffffff3">
    <w:name w:val="甲"/>
    <w:basedOn w:val="a0"/>
    <w:link w:val="CharCharff1"/>
    <w:pPr>
      <w:spacing w:line="520" w:lineRule="exact"/>
      <w:ind w:firstLineChars="200" w:firstLine="560"/>
    </w:pPr>
    <w:rPr>
      <w:rFonts w:ascii="Arial" w:eastAsia="Arial" w:hAnsi="Arial"/>
      <w:kern w:val="0"/>
      <w:position w:val="2"/>
      <w:sz w:val="20"/>
      <w:szCs w:val="28"/>
      <w:lang w:val="x-none" w:eastAsia="x-none"/>
    </w:rPr>
  </w:style>
  <w:style w:type="character" w:customStyle="1" w:styleId="CharCharff2">
    <w:name w:val="正文一级标题 Char Char"/>
    <w:link w:val="afffffffffffffffffff4"/>
    <w:rPr>
      <w:rFonts w:ascii="Cambria Math" w:eastAsia="Cambria Math"/>
      <w:b/>
      <w:bCs/>
      <w:position w:val="2"/>
      <w:szCs w:val="28"/>
    </w:rPr>
  </w:style>
  <w:style w:type="paragraph" w:customStyle="1" w:styleId="afffffffffffffffffff4">
    <w:name w:val="正文一级标题"/>
    <w:basedOn w:val="3"/>
    <w:link w:val="CharCharff2"/>
    <w:pPr>
      <w:numPr>
        <w:ilvl w:val="2"/>
      </w:numPr>
      <w:tabs>
        <w:tab w:val="left" w:pos="6120"/>
      </w:tabs>
      <w:adjustRightInd w:val="0"/>
      <w:spacing w:beforeLines="50" w:line="336" w:lineRule="auto"/>
      <w:jc w:val="both"/>
    </w:pPr>
    <w:rPr>
      <w:rFonts w:ascii="Cambria Math" w:eastAsia="Cambria Math"/>
      <w:kern w:val="0"/>
      <w:position w:val="2"/>
      <w:sz w:val="20"/>
      <w:szCs w:val="28"/>
      <w:lang w:val="x-none" w:eastAsia="x-none"/>
    </w:rPr>
  </w:style>
  <w:style w:type="character" w:customStyle="1" w:styleId="2ffff8">
    <w:name w:val="默认段落字体2"/>
    <w:rPr>
      <w:rFonts w:hint="default"/>
    </w:rPr>
  </w:style>
  <w:style w:type="character" w:customStyle="1" w:styleId="CharCharff3">
    <w:name w:val="造 Char Char"/>
    <w:link w:val="afffffffffffffffffff5"/>
    <w:rPr>
      <w:rFonts w:ascii="Arial" w:eastAsia="Arial" w:hAnsi="Arial"/>
      <w:color w:val="000000"/>
      <w:position w:val="2"/>
      <w:szCs w:val="28"/>
    </w:rPr>
  </w:style>
  <w:style w:type="paragraph" w:customStyle="1" w:styleId="afffffffffffffffffff5">
    <w:name w:val="造"/>
    <w:basedOn w:val="a0"/>
    <w:link w:val="CharCharff3"/>
    <w:pPr>
      <w:spacing w:line="520" w:lineRule="exact"/>
      <w:ind w:firstLine="539"/>
    </w:pPr>
    <w:rPr>
      <w:rFonts w:ascii="Arial" w:eastAsia="Arial" w:hAnsi="Arial"/>
      <w:color w:val="000000"/>
      <w:kern w:val="0"/>
      <w:position w:val="2"/>
      <w:sz w:val="20"/>
      <w:szCs w:val="28"/>
      <w:lang w:val="x-none" w:eastAsia="x-none"/>
    </w:rPr>
  </w:style>
  <w:style w:type="character" w:customStyle="1" w:styleId="Charfffff1">
    <w:name w:val="正文 + 黑体 Char"/>
    <w:aliases w:val="(符号) 宋体 Char,行距: 固定值 18 磅 Char Char"/>
    <w:link w:val="afffffffffffffffffff6"/>
    <w:rPr>
      <w:rFonts w:eastAsia="Arial"/>
      <w:kern w:val="24"/>
      <w:sz w:val="24"/>
      <w:szCs w:val="24"/>
    </w:rPr>
  </w:style>
  <w:style w:type="paragraph" w:customStyle="1" w:styleId="afffffffffffffffffff6">
    <w:name w:val="正文 + 黑体"/>
    <w:basedOn w:val="a9"/>
    <w:link w:val="Charfffff1"/>
    <w:pPr>
      <w:spacing w:line="360" w:lineRule="exact"/>
      <w:ind w:firstLineChars="200" w:firstLine="480"/>
    </w:pPr>
    <w:rPr>
      <w:rFonts w:ascii="Times New Roman" w:eastAsia="Arial"/>
      <w:kern w:val="24"/>
      <w:szCs w:val="24"/>
      <w:lang w:val="x-none" w:eastAsia="x-none"/>
    </w:rPr>
  </w:style>
  <w:style w:type="character" w:customStyle="1" w:styleId="2CharChar8">
    <w:name w:val="正文文本2 Char Char"/>
    <w:link w:val="2ffff9"/>
    <w:rPr>
      <w:rFonts w:ascii="Arial" w:eastAsia="Arial" w:cs="Arial"/>
      <w:sz w:val="24"/>
    </w:rPr>
  </w:style>
  <w:style w:type="paragraph" w:customStyle="1" w:styleId="2ffff9">
    <w:name w:val="正文文本2"/>
    <w:basedOn w:val="a0"/>
    <w:link w:val="2CharChar8"/>
    <w:pPr>
      <w:spacing w:line="360" w:lineRule="auto"/>
      <w:ind w:firstLineChars="200" w:firstLine="480"/>
    </w:pPr>
    <w:rPr>
      <w:rFonts w:ascii="Arial" w:eastAsia="Arial"/>
      <w:kern w:val="0"/>
      <w:sz w:val="24"/>
      <w:szCs w:val="20"/>
      <w:lang w:val="x-none" w:eastAsia="x-none"/>
    </w:rPr>
  </w:style>
  <w:style w:type="character" w:customStyle="1" w:styleId="CharCharff4">
    <w:name w:val="茂名表题 Char Char"/>
    <w:link w:val="afffffffffffffffffff7"/>
    <w:rPr>
      <w:rFonts w:ascii="Cambria Math" w:eastAsia="Cambria Math" w:hAnsi="Arial"/>
      <w:b/>
      <w:szCs w:val="21"/>
    </w:rPr>
  </w:style>
  <w:style w:type="paragraph" w:customStyle="1" w:styleId="afffffffffffffffffff7">
    <w:name w:val="茂名表题"/>
    <w:basedOn w:val="a9"/>
    <w:link w:val="CharCharff4"/>
    <w:pPr>
      <w:spacing w:line="520" w:lineRule="exact"/>
      <w:ind w:firstLine="0"/>
      <w:jc w:val="center"/>
    </w:pPr>
    <w:rPr>
      <w:rFonts w:ascii="Cambria Math" w:eastAsia="Cambria Math" w:hAnsi="Arial"/>
      <w:b/>
      <w:sz w:val="20"/>
      <w:szCs w:val="21"/>
      <w:lang w:val="x-none" w:eastAsia="x-none"/>
    </w:rPr>
  </w:style>
  <w:style w:type="character" w:customStyle="1" w:styleId="-CharCharCharCharCharCharCharCCharChar">
    <w:name w:val="样式 正文首行缩进可研-正文首行缩进 Char Char Char正文首行缩进 Char Char Char Char C... Char Char"/>
    <w:rPr>
      <w:rFonts w:eastAsia="Arial" w:cs="Arial"/>
      <w:color w:val="000000"/>
      <w:spacing w:val="8"/>
      <w:sz w:val="28"/>
    </w:rPr>
  </w:style>
  <w:style w:type="character" w:customStyle="1" w:styleId="lyq1CharChar">
    <w:name w:val="表格标题lyq1 Char Char"/>
    <w:link w:val="lyq10"/>
    <w:rPr>
      <w:rFonts w:eastAsia="Arial" w:cs="Arial"/>
      <w:b/>
      <w:bCs/>
      <w:sz w:val="24"/>
    </w:rPr>
  </w:style>
  <w:style w:type="paragraph" w:customStyle="1" w:styleId="lyq10">
    <w:name w:val="表格标题lyq1"/>
    <w:basedOn w:val="a0"/>
    <w:link w:val="lyq1CharChar"/>
    <w:pPr>
      <w:spacing w:line="300" w:lineRule="auto"/>
      <w:jc w:val="center"/>
    </w:pPr>
    <w:rPr>
      <w:rFonts w:eastAsia="Arial"/>
      <w:b/>
      <w:bCs/>
      <w:kern w:val="0"/>
      <w:sz w:val="24"/>
      <w:szCs w:val="20"/>
      <w:lang w:val="x-none" w:eastAsia="x-none"/>
    </w:rPr>
  </w:style>
  <w:style w:type="character" w:customStyle="1" w:styleId="CharCharff5">
    <w:name w:val="广石化表题 Char Char"/>
    <w:link w:val="afffffffffffffffffff8"/>
    <w:rPr>
      <w:rFonts w:ascii="Cambria Math" w:eastAsia="Cambria Math"/>
      <w:b/>
      <w:szCs w:val="21"/>
    </w:rPr>
  </w:style>
  <w:style w:type="paragraph" w:customStyle="1" w:styleId="afffffffffffffffffff8">
    <w:name w:val="广石化表题"/>
    <w:basedOn w:val="a0"/>
    <w:link w:val="CharCharff5"/>
    <w:pPr>
      <w:tabs>
        <w:tab w:val="left" w:pos="425"/>
      </w:tabs>
      <w:spacing w:line="520" w:lineRule="exact"/>
      <w:jc w:val="center"/>
    </w:pPr>
    <w:rPr>
      <w:rFonts w:ascii="Cambria Math" w:eastAsia="Cambria Math"/>
      <w:b/>
      <w:kern w:val="0"/>
      <w:sz w:val="20"/>
      <w:szCs w:val="21"/>
      <w:lang w:val="x-none" w:eastAsia="x-none"/>
    </w:rPr>
  </w:style>
  <w:style w:type="character" w:customStyle="1" w:styleId="CharCharff6">
    <w:name w:val="附 Char Char"/>
    <w:link w:val="afffffffffffffffffff9"/>
    <w:rPr>
      <w:rFonts w:ascii="Arial" w:eastAsia="Arial" w:hAnsi="Arial"/>
      <w:color w:val="000000"/>
      <w:position w:val="2"/>
      <w:szCs w:val="28"/>
    </w:rPr>
  </w:style>
  <w:style w:type="paragraph" w:customStyle="1" w:styleId="afffffffffffffffffff9">
    <w:name w:val="附"/>
    <w:basedOn w:val="a0"/>
    <w:link w:val="CharCharff6"/>
    <w:pPr>
      <w:spacing w:line="520" w:lineRule="exact"/>
      <w:ind w:firstLineChars="200" w:firstLine="560"/>
    </w:pPr>
    <w:rPr>
      <w:rFonts w:ascii="Arial" w:eastAsia="Arial" w:hAnsi="Arial"/>
      <w:color w:val="000000"/>
      <w:kern w:val="0"/>
      <w:position w:val="2"/>
      <w:sz w:val="20"/>
      <w:szCs w:val="28"/>
      <w:lang w:val="x-none" w:eastAsia="x-none"/>
    </w:rPr>
  </w:style>
  <w:style w:type="character" w:customStyle="1" w:styleId="CharCharff7">
    <w:name w:val="讨厌 Char Char"/>
    <w:link w:val="afffffffffffffffffffa"/>
    <w:rPr>
      <w:rFonts w:ascii="Arial" w:eastAsia="Arial" w:hAnsi="Arial"/>
      <w:szCs w:val="28"/>
    </w:rPr>
  </w:style>
  <w:style w:type="paragraph" w:customStyle="1" w:styleId="afffffffffffffffffffa">
    <w:name w:val="讨厌"/>
    <w:basedOn w:val="a0"/>
    <w:link w:val="CharCharff7"/>
    <w:pPr>
      <w:spacing w:line="520" w:lineRule="exact"/>
      <w:ind w:firstLineChars="200" w:firstLine="560"/>
    </w:pPr>
    <w:rPr>
      <w:rFonts w:ascii="Arial" w:eastAsia="Arial" w:hAnsi="Arial"/>
      <w:kern w:val="0"/>
      <w:sz w:val="20"/>
      <w:szCs w:val="28"/>
      <w:lang w:val="x-none" w:eastAsia="x-none"/>
    </w:rPr>
  </w:style>
  <w:style w:type="character" w:customStyle="1" w:styleId="CharCharff8">
    <w:name w:val="大炼油正文 Char Char"/>
    <w:rPr>
      <w:rFonts w:ascii="Arial" w:eastAsia="Arial" w:hAnsi="Arial"/>
      <w:sz w:val="28"/>
    </w:rPr>
  </w:style>
  <w:style w:type="character" w:customStyle="1" w:styleId="CharCharff9">
    <w:name w:val="复 Char Char"/>
    <w:link w:val="afffffffffffffffffffb"/>
    <w:rPr>
      <w:rFonts w:eastAsia="Arial"/>
      <w:color w:val="000000"/>
    </w:rPr>
  </w:style>
  <w:style w:type="paragraph" w:customStyle="1" w:styleId="afffffffffffffffffffb">
    <w:name w:val="复"/>
    <w:basedOn w:val="a0"/>
    <w:link w:val="CharCharff9"/>
    <w:pPr>
      <w:spacing w:line="520" w:lineRule="exact"/>
      <w:ind w:firstLineChars="197" w:firstLine="552"/>
    </w:pPr>
    <w:rPr>
      <w:rFonts w:eastAsia="Arial"/>
      <w:color w:val="000000"/>
      <w:kern w:val="0"/>
      <w:sz w:val="20"/>
      <w:szCs w:val="20"/>
      <w:lang w:val="x-none" w:eastAsia="x-none"/>
    </w:rPr>
  </w:style>
  <w:style w:type="character" w:customStyle="1" w:styleId="CharCharffa">
    <w:name w:val="九江正文 Char Char"/>
    <w:link w:val="afffffffffffffffffffc"/>
    <w:rPr>
      <w:rFonts w:ascii="Arial" w:eastAsia="Arial" w:hAnsi="Arial"/>
      <w:szCs w:val="28"/>
    </w:rPr>
  </w:style>
  <w:style w:type="paragraph" w:customStyle="1" w:styleId="afffffffffffffffffffc">
    <w:name w:val="九江正文"/>
    <w:basedOn w:val="a0"/>
    <w:link w:val="CharCharffa"/>
    <w:pPr>
      <w:spacing w:line="520" w:lineRule="exact"/>
      <w:ind w:firstLineChars="192" w:firstLine="538"/>
    </w:pPr>
    <w:rPr>
      <w:rFonts w:ascii="Arial" w:eastAsia="Arial" w:hAnsi="Arial"/>
      <w:kern w:val="0"/>
      <w:sz w:val="20"/>
      <w:szCs w:val="28"/>
      <w:lang w:val="x-none" w:eastAsia="x-none"/>
    </w:rPr>
  </w:style>
  <w:style w:type="character" w:customStyle="1" w:styleId="4CharChar">
    <w:name w:val="报告4 Char Char"/>
    <w:rPr>
      <w:rFonts w:ascii="Cambria Math" w:eastAsia="Cambria Math" w:hAnsi="Arial"/>
      <w:b/>
      <w:bCs/>
      <w:sz w:val="28"/>
      <w:szCs w:val="28"/>
      <w:lang w:val="zh-CN"/>
    </w:rPr>
  </w:style>
  <w:style w:type="character" w:customStyle="1" w:styleId="CharCharffb">
    <w:name w:val="附件正文 Char Char"/>
    <w:rPr>
      <w:rFonts w:ascii="Arial" w:eastAsia="Arial" w:hAnsi="Arial" w:cs="Arial"/>
      <w:sz w:val="28"/>
      <w:szCs w:val="28"/>
    </w:rPr>
  </w:style>
  <w:style w:type="character" w:customStyle="1" w:styleId="CharCharffc">
    <w:name w:val="报告图表 Char Char"/>
    <w:rPr>
      <w:rFonts w:ascii="Cambria Math" w:eastAsia="Cambria Math" w:hAnsi="Arial"/>
      <w:b/>
      <w:szCs w:val="21"/>
      <w:lang w:val="zh-CN"/>
    </w:rPr>
  </w:style>
  <w:style w:type="character" w:customStyle="1" w:styleId="CharCharffd">
    <w:name w:val="中科正文 Char Char"/>
    <w:link w:val="afffffffffffffffffffd"/>
    <w:rPr>
      <w:rFonts w:ascii="Arial" w:eastAsia="Arial"/>
      <w:szCs w:val="28"/>
    </w:rPr>
  </w:style>
  <w:style w:type="paragraph" w:customStyle="1" w:styleId="afffffffffffffffffffd">
    <w:name w:val="中科正文"/>
    <w:basedOn w:val="a0"/>
    <w:link w:val="CharCharffd"/>
    <w:pPr>
      <w:spacing w:line="520" w:lineRule="exact"/>
      <w:ind w:firstLineChars="200" w:firstLine="560"/>
    </w:pPr>
    <w:rPr>
      <w:rFonts w:ascii="Arial" w:eastAsia="Arial"/>
      <w:kern w:val="0"/>
      <w:sz w:val="20"/>
      <w:szCs w:val="28"/>
      <w:lang w:val="x-none" w:eastAsia="x-none"/>
    </w:rPr>
  </w:style>
  <w:style w:type="character" w:customStyle="1" w:styleId="CharCharffe">
    <w:name w:val="规程正文 Char Char"/>
    <w:link w:val="afffffffffffffffffffe"/>
    <w:rPr>
      <w:rFonts w:ascii="Arial" w:eastAsia="Arial" w:hAnsi="Arial"/>
      <w:sz w:val="24"/>
      <w:szCs w:val="24"/>
    </w:rPr>
  </w:style>
  <w:style w:type="paragraph" w:customStyle="1" w:styleId="afffffffffffffffffffe">
    <w:name w:val="规程正文"/>
    <w:basedOn w:val="a0"/>
    <w:link w:val="CharCharffe"/>
    <w:pPr>
      <w:adjustRightInd w:val="0"/>
      <w:snapToGrid w:val="0"/>
      <w:spacing w:beforeLines="50" w:afterLines="50"/>
      <w:ind w:firstLineChars="200" w:firstLine="200"/>
    </w:pPr>
    <w:rPr>
      <w:rFonts w:ascii="Arial" w:eastAsia="Arial" w:hAnsi="Arial"/>
      <w:kern w:val="0"/>
      <w:sz w:val="24"/>
      <w:lang w:val="x-none" w:eastAsia="x-none"/>
    </w:rPr>
  </w:style>
  <w:style w:type="character" w:customStyle="1" w:styleId="lyqCharChar2">
    <w:name w:val="三级标题lyq Char Char"/>
    <w:link w:val="lyq2"/>
    <w:rPr>
      <w:rFonts w:eastAsia="Arial" w:cs="Arial"/>
      <w:bCs/>
    </w:rPr>
  </w:style>
  <w:style w:type="paragraph" w:customStyle="1" w:styleId="lyq2">
    <w:name w:val="三级标题lyq"/>
    <w:basedOn w:val="a0"/>
    <w:link w:val="lyqCharChar2"/>
    <w:pPr>
      <w:spacing w:line="336" w:lineRule="auto"/>
    </w:pPr>
    <w:rPr>
      <w:rFonts w:eastAsia="Arial"/>
      <w:bCs/>
      <w:kern w:val="0"/>
      <w:sz w:val="20"/>
      <w:szCs w:val="20"/>
      <w:lang w:val="x-none" w:eastAsia="x-none"/>
    </w:rPr>
  </w:style>
  <w:style w:type="character" w:customStyle="1" w:styleId="lyqCharChar3">
    <w:name w:val="表格标题lyq Char Char"/>
    <w:link w:val="lyq3"/>
    <w:rPr>
      <w:rFonts w:eastAsia="Arial" w:cs="Arial"/>
      <w:b/>
      <w:bCs/>
      <w:sz w:val="24"/>
    </w:rPr>
  </w:style>
  <w:style w:type="paragraph" w:customStyle="1" w:styleId="lyq3">
    <w:name w:val="表格标题lyq"/>
    <w:basedOn w:val="a0"/>
    <w:link w:val="lyqCharChar3"/>
    <w:pPr>
      <w:spacing w:line="300" w:lineRule="auto"/>
      <w:jc w:val="center"/>
    </w:pPr>
    <w:rPr>
      <w:rFonts w:eastAsia="Arial"/>
      <w:b/>
      <w:bCs/>
      <w:kern w:val="0"/>
      <w:sz w:val="24"/>
      <w:szCs w:val="20"/>
      <w:lang w:val="x-none" w:eastAsia="x-none"/>
    </w:rPr>
  </w:style>
  <w:style w:type="character" w:customStyle="1" w:styleId="-5CharChar">
    <w:name w:val="报告-5 Char Char"/>
    <w:link w:val="-5"/>
    <w:rPr>
      <w:rFonts w:ascii="Arial" w:eastAsia="Arial" w:hAnsi="Arial" w:cs="Arial"/>
      <w:szCs w:val="28"/>
    </w:rPr>
  </w:style>
  <w:style w:type="paragraph" w:customStyle="1" w:styleId="-5">
    <w:name w:val="报告-5"/>
    <w:basedOn w:val="5"/>
    <w:link w:val="-5CharChar"/>
    <w:pPr>
      <w:keepNext w:val="0"/>
      <w:keepLines w:val="0"/>
      <w:numPr>
        <w:ilvl w:val="4"/>
      </w:numPr>
      <w:tabs>
        <w:tab w:val="left" w:pos="700"/>
        <w:tab w:val="left" w:pos="1008"/>
        <w:tab w:val="left" w:pos="1420"/>
      </w:tabs>
      <w:adjustRightInd w:val="0"/>
      <w:snapToGrid w:val="0"/>
      <w:spacing w:line="520" w:lineRule="exact"/>
      <w:jc w:val="left"/>
    </w:pPr>
    <w:rPr>
      <w:rFonts w:ascii="Arial" w:eastAsia="Arial" w:hAnsi="Arial"/>
      <w:b w:val="0"/>
      <w:bCs w:val="0"/>
      <w:kern w:val="0"/>
      <w:sz w:val="20"/>
    </w:rPr>
  </w:style>
  <w:style w:type="character" w:customStyle="1" w:styleId="CharCharfff">
    <w:name w:val="烟正文 Char Char"/>
    <w:link w:val="affffffffffffffffffff"/>
    <w:rPr>
      <w:rFonts w:ascii="Arial" w:eastAsia="Arial" w:hAnsi="Arial"/>
      <w:szCs w:val="28"/>
    </w:rPr>
  </w:style>
  <w:style w:type="paragraph" w:customStyle="1" w:styleId="affffffffffffffffffff">
    <w:name w:val="烟正文"/>
    <w:basedOn w:val="a0"/>
    <w:link w:val="CharCharfff"/>
    <w:pPr>
      <w:spacing w:line="520" w:lineRule="exact"/>
      <w:ind w:firstLineChars="200" w:firstLine="560"/>
    </w:pPr>
    <w:rPr>
      <w:rFonts w:ascii="Arial" w:eastAsia="Arial" w:hAnsi="Arial"/>
      <w:kern w:val="0"/>
      <w:sz w:val="20"/>
      <w:szCs w:val="28"/>
      <w:lang w:val="x-none" w:eastAsia="x-none"/>
    </w:rPr>
  </w:style>
  <w:style w:type="character" w:customStyle="1" w:styleId="CharCharfff0">
    <w:name w:val="济 Char Char"/>
    <w:link w:val="affffffffffffffffffff0"/>
    <w:rPr>
      <w:rFonts w:ascii="Arial" w:eastAsia="Arial" w:hAnsi="Arial"/>
      <w:szCs w:val="28"/>
    </w:rPr>
  </w:style>
  <w:style w:type="paragraph" w:customStyle="1" w:styleId="affffffffffffffffffff0">
    <w:name w:val="济"/>
    <w:basedOn w:val="a0"/>
    <w:link w:val="CharCharfff0"/>
    <w:pPr>
      <w:spacing w:line="520" w:lineRule="exact"/>
      <w:ind w:firstLineChars="200" w:firstLine="560"/>
    </w:pPr>
    <w:rPr>
      <w:rFonts w:ascii="Arial" w:eastAsia="Arial" w:hAnsi="Arial"/>
      <w:kern w:val="0"/>
      <w:sz w:val="20"/>
      <w:szCs w:val="28"/>
      <w:lang w:val="x-none" w:eastAsia="x-none"/>
    </w:rPr>
  </w:style>
  <w:style w:type="character" w:customStyle="1" w:styleId="lyqCharChar4">
    <w:name w:val="正文lyq Char Char"/>
    <w:link w:val="lyq4"/>
    <w:rPr>
      <w:rFonts w:eastAsia="Arial" w:cs="Arial"/>
    </w:rPr>
  </w:style>
  <w:style w:type="paragraph" w:customStyle="1" w:styleId="lyq4">
    <w:name w:val="正文lyq"/>
    <w:basedOn w:val="a0"/>
    <w:link w:val="lyqCharChar4"/>
    <w:pPr>
      <w:spacing w:line="336" w:lineRule="auto"/>
      <w:ind w:firstLineChars="200" w:firstLine="560"/>
    </w:pPr>
    <w:rPr>
      <w:rFonts w:eastAsia="Arial"/>
      <w:kern w:val="0"/>
      <w:sz w:val="20"/>
      <w:szCs w:val="20"/>
      <w:lang w:val="x-none" w:eastAsia="x-none"/>
    </w:rPr>
  </w:style>
  <w:style w:type="character" w:styleId="affffffffffffffffffff1">
    <w:name w:val="Subtle Emphasis"/>
    <w:qFormat/>
    <w:rPr>
      <w:i/>
      <w:iCs/>
      <w:color w:val="808080"/>
    </w:rPr>
  </w:style>
  <w:style w:type="character" w:customStyle="1" w:styleId="CharCharfff1">
    <w:name w:val="铁路 Char Char"/>
    <w:link w:val="affffffffffffffffffff2"/>
    <w:rPr>
      <w:rFonts w:ascii="Arial" w:eastAsia="Arial" w:hAnsi="Arial"/>
      <w:szCs w:val="28"/>
    </w:rPr>
  </w:style>
  <w:style w:type="paragraph" w:customStyle="1" w:styleId="affffffffffffffffffff2">
    <w:name w:val="铁路"/>
    <w:basedOn w:val="a0"/>
    <w:link w:val="CharCharfff1"/>
    <w:pPr>
      <w:tabs>
        <w:tab w:val="left" w:pos="630"/>
      </w:tabs>
      <w:spacing w:line="520" w:lineRule="exact"/>
      <w:ind w:firstLineChars="200" w:firstLine="560"/>
    </w:pPr>
    <w:rPr>
      <w:rFonts w:ascii="Arial" w:eastAsia="Arial" w:hAnsi="Arial"/>
      <w:kern w:val="0"/>
      <w:sz w:val="20"/>
      <w:szCs w:val="28"/>
      <w:lang w:val="x-none" w:eastAsia="x-none"/>
    </w:rPr>
  </w:style>
  <w:style w:type="character" w:customStyle="1" w:styleId="CharCharfff2">
    <w:name w:val="正文段落 Char Char"/>
    <w:link w:val="affffffffffffffffffff3"/>
    <w:rPr>
      <w:rFonts w:cs="Arial"/>
    </w:rPr>
  </w:style>
  <w:style w:type="paragraph" w:customStyle="1" w:styleId="affffffffffffffffffff3">
    <w:name w:val="正文段落"/>
    <w:basedOn w:val="a0"/>
    <w:link w:val="CharCharfff2"/>
    <w:pPr>
      <w:tabs>
        <w:tab w:val="left" w:pos="560"/>
      </w:tabs>
      <w:spacing w:line="360" w:lineRule="auto"/>
      <w:ind w:firstLine="560"/>
    </w:pPr>
    <w:rPr>
      <w:kern w:val="0"/>
      <w:sz w:val="20"/>
      <w:szCs w:val="20"/>
      <w:lang w:val="x-none" w:eastAsia="x-none"/>
    </w:rPr>
  </w:style>
  <w:style w:type="character" w:customStyle="1" w:styleId="CharCharfff3">
    <w:name w:val="图表标题 Char Char"/>
    <w:link w:val="affffffffffffffffffff4"/>
    <w:rPr>
      <w:rFonts w:ascii="Arial" w:eastAsia="Arial" w:hAnsi="Arial" w:cs="Arial"/>
      <w:sz w:val="30"/>
      <w:szCs w:val="30"/>
    </w:rPr>
  </w:style>
  <w:style w:type="paragraph" w:customStyle="1" w:styleId="affffffffffffffffffff4">
    <w:name w:val="图表标题"/>
    <w:basedOn w:val="a0"/>
    <w:link w:val="CharCharfff3"/>
    <w:qFormat/>
    <w:pPr>
      <w:adjustRightInd w:val="0"/>
      <w:snapToGrid w:val="0"/>
      <w:spacing w:line="360" w:lineRule="auto"/>
      <w:outlineLvl w:val="3"/>
    </w:pPr>
    <w:rPr>
      <w:rFonts w:ascii="Arial" w:eastAsia="Arial" w:hAnsi="Arial"/>
      <w:kern w:val="0"/>
      <w:sz w:val="30"/>
      <w:szCs w:val="30"/>
      <w:lang w:val="x-none" w:eastAsia="x-none"/>
    </w:rPr>
  </w:style>
  <w:style w:type="character" w:customStyle="1" w:styleId="CharCharfff4">
    <w:name w:val="附件 正文 Char Char"/>
    <w:link w:val="affffffffffffffffffff5"/>
  </w:style>
  <w:style w:type="paragraph" w:customStyle="1" w:styleId="affffffffffffffffffff5">
    <w:name w:val="附件 正文"/>
    <w:basedOn w:val="qilu"/>
    <w:link w:val="CharCharfff4"/>
    <w:rPr>
      <w:rFonts w:ascii="Times New Roman" w:eastAsia="宋体" w:hAnsi="Times New Roman"/>
      <w:color w:val="auto"/>
      <w:szCs w:val="20"/>
    </w:rPr>
  </w:style>
  <w:style w:type="character" w:customStyle="1" w:styleId="CharCharfff5">
    <w:name w:val="报 Char Char"/>
    <w:link w:val="affffffffffffffffffff6"/>
    <w:rPr>
      <w:rFonts w:ascii="Arial" w:eastAsia="Arial" w:hAnsi="Arial"/>
      <w:bCs/>
      <w:spacing w:val="-10"/>
      <w:position w:val="2"/>
      <w:szCs w:val="28"/>
    </w:rPr>
  </w:style>
  <w:style w:type="paragraph" w:customStyle="1" w:styleId="affffffffffffffffffff6">
    <w:name w:val="报"/>
    <w:basedOn w:val="a0"/>
    <w:link w:val="CharCharfff5"/>
    <w:pPr>
      <w:tabs>
        <w:tab w:val="left" w:pos="630"/>
        <w:tab w:val="left" w:pos="3600"/>
      </w:tabs>
      <w:spacing w:line="520" w:lineRule="exact"/>
      <w:ind w:firstLineChars="200" w:firstLine="520"/>
    </w:pPr>
    <w:rPr>
      <w:rFonts w:ascii="Arial" w:eastAsia="Arial" w:hAnsi="Arial"/>
      <w:bCs/>
      <w:spacing w:val="-10"/>
      <w:kern w:val="0"/>
      <w:position w:val="2"/>
      <w:sz w:val="20"/>
      <w:szCs w:val="28"/>
      <w:lang w:val="x-none" w:eastAsia="x-none"/>
    </w:rPr>
  </w:style>
  <w:style w:type="character" w:customStyle="1" w:styleId="CharCharfff6">
    <w:name w:val="炼油正文 Char Char"/>
    <w:link w:val="affffffffffffffffffff7"/>
    <w:rPr>
      <w:rFonts w:ascii="Arial" w:eastAsia="Arial" w:hAnsi="Arial"/>
      <w:szCs w:val="28"/>
    </w:rPr>
  </w:style>
  <w:style w:type="paragraph" w:customStyle="1" w:styleId="affffffffffffffffffff7">
    <w:name w:val="炼油正文"/>
    <w:basedOn w:val="a0"/>
    <w:link w:val="CharCharfff6"/>
    <w:pPr>
      <w:spacing w:line="520" w:lineRule="exact"/>
      <w:ind w:firstLineChars="200" w:firstLine="560"/>
    </w:pPr>
    <w:rPr>
      <w:rFonts w:ascii="Arial" w:eastAsia="Arial" w:hAnsi="Arial"/>
      <w:kern w:val="0"/>
      <w:sz w:val="20"/>
      <w:szCs w:val="28"/>
      <w:lang w:val="x-none" w:eastAsia="x-none"/>
    </w:rPr>
  </w:style>
  <w:style w:type="character" w:customStyle="1" w:styleId="DefaultParagraphFontNew">
    <w:name w:val="Default Paragraph Font New"/>
    <w:rPr>
      <w:rFonts w:hint="default"/>
    </w:rPr>
  </w:style>
  <w:style w:type="paragraph" w:customStyle="1" w:styleId="affffffffffffffffffff8">
    <w:name w:val="报告正文湛江"/>
    <w:basedOn w:val="a0"/>
    <w:pPr>
      <w:tabs>
        <w:tab w:val="left" w:pos="630"/>
        <w:tab w:val="left" w:pos="3600"/>
      </w:tabs>
      <w:spacing w:line="560" w:lineRule="exact"/>
      <w:ind w:firstLineChars="200" w:firstLine="200"/>
    </w:pPr>
    <w:rPr>
      <w:rFonts w:hAnsi="Arial"/>
      <w:bCs/>
      <w:spacing w:val="-10"/>
      <w:kern w:val="0"/>
      <w:position w:val="2"/>
      <w:sz w:val="28"/>
      <w:szCs w:val="28"/>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
    <w:name w:val="正文 New New New New New New New New New New New New New New New New New New New New New"/>
    <w:pPr>
      <w:widowControl w:val="0"/>
      <w:jc w:val="both"/>
    </w:pPr>
    <w:rPr>
      <w:kern w:val="2"/>
      <w:sz w:val="21"/>
      <w:szCs w:val="22"/>
    </w:rPr>
  </w:style>
  <w:style w:type="paragraph" w:customStyle="1" w:styleId="NormalNewNewNew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New New New"/>
    <w:pPr>
      <w:jc w:val="both"/>
    </w:pPr>
    <w:rPr>
      <w:kern w:val="2"/>
      <w:sz w:val="21"/>
    </w:rPr>
  </w:style>
  <w:style w:type="paragraph" w:customStyle="1" w:styleId="CM25">
    <w:name w:val="CM25"/>
    <w:basedOn w:val="Default"/>
    <w:next w:val="Default"/>
    <w:pPr>
      <w:spacing w:line="446" w:lineRule="atLeast"/>
      <w:ind w:firstLineChars="0" w:firstLine="0"/>
      <w:jc w:val="left"/>
    </w:pPr>
    <w:rPr>
      <w:rFonts w:ascii="Arial" w:eastAsia="宋体"/>
      <w:kern w:val="0"/>
      <w:sz w:val="24"/>
    </w:rPr>
  </w:style>
  <w:style w:type="paragraph" w:customStyle="1" w:styleId="NewNew0">
    <w:name w:val="表头 New New"/>
    <w:basedOn w:val="NewNewNewNewNewNewNewNewNewNewNewNewNewNewNewNewNewNewNew"/>
    <w:next w:val="NewNewNewNewNewNewNewNewNewNewNewNewNewNewNewNewNewNewNew"/>
    <w:pPr>
      <w:keepNext/>
      <w:snapToGrid w:val="0"/>
      <w:spacing w:before="80" w:after="80" w:line="460" w:lineRule="exact"/>
    </w:pPr>
    <w:rPr>
      <w:rFonts w:ascii="Cambria Math" w:eastAsia="Cambria Math"/>
      <w:color w:val="000000"/>
      <w:spacing w:val="12"/>
      <w:kern w:val="21"/>
      <w:sz w:val="24"/>
      <w:szCs w:val="24"/>
    </w:rPr>
  </w:style>
  <w:style w:type="paragraph" w:customStyle="1" w:styleId="NewNewNewNewNewNewNewNewNewNewNewNewNewNewNewNewNewNewNew">
    <w:name w:val="正文 New New New New New New New New New New New New New New New New New New New"/>
    <w:pPr>
      <w:widowControl w:val="0"/>
      <w:jc w:val="both"/>
    </w:pPr>
    <w:rPr>
      <w:kern w:val="2"/>
      <w:sz w:val="21"/>
      <w:szCs w:val="22"/>
    </w:rPr>
  </w:style>
  <w:style w:type="paragraph" w:customStyle="1" w:styleId="NormalNew">
    <w:name w:val="Normal New"/>
    <w:pPr>
      <w:jc w:val="both"/>
    </w:pPr>
    <w:rPr>
      <w:kern w:val="2"/>
      <w:sz w:val="21"/>
    </w:rPr>
  </w:style>
  <w:style w:type="paragraph" w:customStyle="1" w:styleId="CM6">
    <w:name w:val="CM6"/>
    <w:basedOn w:val="Default"/>
    <w:next w:val="Default"/>
    <w:pPr>
      <w:spacing w:line="580" w:lineRule="atLeast"/>
      <w:ind w:firstLineChars="0" w:firstLine="0"/>
      <w:jc w:val="left"/>
    </w:pPr>
    <w:rPr>
      <w:rFonts w:ascii="Arial" w:eastAsia="宋体" w:hAnsi="Arial"/>
      <w:kern w:val="0"/>
      <w:sz w:val="24"/>
    </w:rPr>
  </w:style>
  <w:style w:type="paragraph" w:customStyle="1" w:styleId="CM62">
    <w:name w:val="CM62"/>
    <w:basedOn w:val="Default"/>
    <w:next w:val="Default"/>
    <w:pPr>
      <w:spacing w:after="350" w:line="240" w:lineRule="auto"/>
      <w:ind w:firstLineChars="0" w:firstLine="0"/>
      <w:jc w:val="left"/>
    </w:pPr>
    <w:rPr>
      <w:rFonts w:ascii="Arial" w:eastAsia="宋体"/>
      <w:kern w:val="0"/>
      <w:sz w:val="24"/>
    </w:rPr>
  </w:style>
  <w:style w:type="paragraph" w:customStyle="1" w:styleId="NormalNewNewNewNewNewNewNewNewNewNewNewNewNewNewNewNewNewNewNewNewNewNewNewNewNewNewNew">
    <w:name w:val="Normal New New New New New New New New New New New New New New New New New New New New New New New New New New New"/>
    <w:pPr>
      <w:jc w:val="both"/>
    </w:pPr>
    <w:rPr>
      <w:kern w:val="2"/>
      <w:sz w:val="21"/>
    </w:rPr>
  </w:style>
  <w:style w:type="paragraph" w:customStyle="1" w:styleId="DocumentLabel">
    <w:name w:val="Document Label"/>
    <w:basedOn w:val="a0"/>
    <w:next w:val="a0"/>
    <w:pPr>
      <w:widowControl/>
      <w:spacing w:after="220"/>
      <w:ind w:right="-360"/>
      <w:jc w:val="left"/>
    </w:pPr>
    <w:rPr>
      <w:spacing w:val="-20"/>
      <w:kern w:val="0"/>
      <w:sz w:val="48"/>
      <w:szCs w:val="20"/>
    </w:rPr>
  </w:style>
  <w:style w:type="paragraph" w:customStyle="1" w:styleId="NormalNewNewNewNewNewNewNewNewNewNewNewNewNewNewNewNewNewNewNewNewNewNewNewNewNewNewNewNewNewNewNewNewNewNewNewNewNewNewNewNewNewNewNewNewNewNewNewNewNewNewNewNewNewNewNewNewNewNewNewNewNewNe">
    <w:name w:val="Normal New New New New New New New New New New New New New New New New New New New New New New New New New New New New New New New New New New New New New New New New New New New New New New New New New New New New New New New New New New New New New Ne"/>
    <w:pPr>
      <w:jc w:val="both"/>
    </w:pPr>
    <w:rPr>
      <w:kern w:val="2"/>
      <w:sz w:val="21"/>
    </w:rPr>
  </w:style>
  <w:style w:type="paragraph" w:customStyle="1" w:styleId="1New">
    <w:name w:val="正文1 New"/>
    <w:basedOn w:val="NewNewNewNewNewNewNewNewNewNewNewNewNewNewNewNewNewNewNewNewNewNewNew"/>
    <w:pPr>
      <w:adjustRightInd w:val="0"/>
      <w:spacing w:after="120" w:line="360" w:lineRule="atLeast"/>
      <w:jc w:val="center"/>
    </w:pPr>
    <w:rPr>
      <w:rFonts w:ascii="Arial"/>
      <w:kern w:val="0"/>
      <w:sz w:val="24"/>
      <w:szCs w:val="20"/>
    </w:rPr>
  </w:style>
  <w:style w:type="paragraph" w:customStyle="1" w:styleId="NewNewNewNewNewNewNewNewNewNewNewNewNewNewNewNewNewNewNewNewNewNewNew">
    <w:name w:val="正文 New New New New New New New New New New New New New New New New New New New New New New New"/>
    <w:pPr>
      <w:widowControl w:val="0"/>
      <w:jc w:val="both"/>
    </w:pPr>
    <w:rPr>
      <w:kern w:val="2"/>
      <w:sz w:val="21"/>
      <w:szCs w:val="24"/>
    </w:rPr>
  </w:style>
  <w:style w:type="paragraph" w:customStyle="1" w:styleId="CM38">
    <w:name w:val="CM38"/>
    <w:basedOn w:val="Default"/>
    <w:next w:val="Default"/>
    <w:pPr>
      <w:spacing w:line="500" w:lineRule="atLeast"/>
      <w:ind w:firstLineChars="0" w:firstLine="0"/>
      <w:jc w:val="left"/>
    </w:pPr>
    <w:rPr>
      <w:rFonts w:ascii="Arial" w:eastAsia="宋体"/>
      <w:kern w:val="0"/>
      <w:sz w:val="24"/>
    </w:rPr>
  </w:style>
  <w:style w:type="paragraph" w:customStyle="1" w:styleId="NewNewNewNewNewNewNewNewNewNewNewNew">
    <w:name w:val="正文 New New New New New New New New New New New New"/>
    <w:pPr>
      <w:widowControl w:val="0"/>
      <w:jc w:val="both"/>
    </w:pPr>
    <w:rPr>
      <w:kern w:val="2"/>
      <w:sz w:val="21"/>
      <w:szCs w:val="24"/>
    </w:rPr>
  </w:style>
  <w:style w:type="paragraph" w:customStyle="1" w:styleId="Normal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w:pPr>
      <w:jc w:val="both"/>
    </w:pPr>
    <w:rPr>
      <w:kern w:val="2"/>
      <w:sz w:val="21"/>
    </w:rPr>
  </w:style>
  <w:style w:type="paragraph" w:customStyle="1" w:styleId="NormalNewNewNewNewNewNewNewNewNewNewNewNewNewNewNewNewNewNewNewNewNewNewNew">
    <w:name w:val="Normal New New New New New New New New New New New New New New New New New New New New New New New"/>
    <w:pPr>
      <w:jc w:val="both"/>
    </w:pPr>
    <w:rPr>
      <w:kern w:val="2"/>
      <w:sz w:val="21"/>
    </w:rPr>
  </w:style>
  <w:style w:type="paragraph" w:customStyle="1" w:styleId="affffffffffffffffffff9">
    <w:name w:val="条(二级)"/>
    <w:basedOn w:val="2"/>
    <w:next w:val="affffffffffffffffffffa"/>
    <w:pPr>
      <w:keepLines/>
      <w:numPr>
        <w:ilvl w:val="1"/>
      </w:numPr>
      <w:adjustRightInd w:val="0"/>
      <w:spacing w:line="460" w:lineRule="exact"/>
      <w:textAlignment w:val="baseline"/>
      <w:outlineLvl w:val="9"/>
    </w:pPr>
    <w:rPr>
      <w:rFonts w:eastAsia="Arial"/>
      <w:spacing w:val="3"/>
      <w:kern w:val="24"/>
      <w:szCs w:val="20"/>
    </w:rPr>
  </w:style>
  <w:style w:type="paragraph" w:customStyle="1" w:styleId="affffffffffffffffffffa">
    <w:name w:val="条(三级)"/>
    <w:basedOn w:val="a0"/>
    <w:next w:val="a0"/>
    <w:pPr>
      <w:keepNext/>
      <w:keepLines/>
      <w:adjustRightInd w:val="0"/>
      <w:spacing w:line="460" w:lineRule="exact"/>
      <w:jc w:val="left"/>
      <w:textAlignment w:val="baseline"/>
    </w:pPr>
    <w:rPr>
      <w:rFonts w:hAnsi="Arial"/>
      <w:spacing w:val="3"/>
      <w:kern w:val="24"/>
      <w:sz w:val="24"/>
      <w:szCs w:val="20"/>
    </w:rPr>
  </w:style>
  <w:style w:type="paragraph" w:customStyle="1" w:styleId="CM18">
    <w:name w:val="CM18"/>
    <w:basedOn w:val="Default"/>
    <w:next w:val="Default"/>
    <w:pPr>
      <w:spacing w:line="451" w:lineRule="atLeast"/>
      <w:ind w:firstLineChars="0" w:firstLine="0"/>
      <w:jc w:val="left"/>
    </w:pPr>
    <w:rPr>
      <w:rFonts w:ascii="Arial" w:eastAsia="宋体"/>
      <w:kern w:val="0"/>
      <w:sz w:val="24"/>
    </w:rPr>
  </w:style>
  <w:style w:type="paragraph" w:customStyle="1" w:styleId="2ffffa">
    <w:name w:val="小标题2"/>
    <w:basedOn w:val="a0"/>
    <w:pPr>
      <w:tabs>
        <w:tab w:val="left" w:pos="1080"/>
        <w:tab w:val="left" w:pos="1120"/>
      </w:tabs>
      <w:overflowPunct w:val="0"/>
      <w:adjustRightInd w:val="0"/>
      <w:snapToGrid w:val="0"/>
      <w:spacing w:before="156" w:after="156" w:line="300" w:lineRule="auto"/>
      <w:ind w:left="1080" w:hanging="420"/>
    </w:pPr>
    <w:rPr>
      <w:rFonts w:ascii="Arial" w:hAnsi="Arial"/>
      <w:color w:val="000000"/>
      <w:sz w:val="28"/>
      <w:szCs w:val="20"/>
    </w:rPr>
  </w:style>
  <w:style w:type="paragraph" w:customStyle="1" w:styleId="affffffffffffffffffffb">
    <w:name w:val="条(四级)"/>
    <w:basedOn w:val="affffffffffffffffffffa"/>
    <w:next w:val="a0"/>
  </w:style>
  <w:style w:type="paragraph" w:customStyle="1" w:styleId="NewNewNewNewNewNewNewNewNewNewNewNew0">
    <w:name w:val="页脚 New New New New New New New New New New New New"/>
    <w:basedOn w:val="NewNewNewNewNewNewNewNewNewNewNewNewNew"/>
    <w:pPr>
      <w:widowControl/>
      <w:tabs>
        <w:tab w:val="center" w:pos="4153"/>
        <w:tab w:val="right" w:pos="8306"/>
      </w:tabs>
      <w:snapToGrid w:val="0"/>
      <w:spacing w:line="360" w:lineRule="auto"/>
      <w:jc w:val="left"/>
    </w:pPr>
    <w:rPr>
      <w:rFonts w:ascii="Arial"/>
      <w:kern w:val="0"/>
      <w:sz w:val="18"/>
      <w:szCs w:val="20"/>
    </w:rPr>
  </w:style>
  <w:style w:type="paragraph" w:customStyle="1" w:styleId="NewNewNewNewNewNewNewNewNewNewNewNewNew">
    <w:name w:val="正文 New New New New New New New New New New New New New"/>
    <w:pPr>
      <w:widowControl w:val="0"/>
      <w:jc w:val="both"/>
    </w:pPr>
    <w:rPr>
      <w:kern w:val="2"/>
      <w:sz w:val="21"/>
      <w:szCs w:val="24"/>
    </w:rPr>
  </w:style>
  <w:style w:type="paragraph" w:customStyle="1" w:styleId="CM52">
    <w:name w:val="CM52"/>
    <w:basedOn w:val="Default"/>
    <w:next w:val="Default"/>
    <w:pPr>
      <w:spacing w:after="753" w:line="240" w:lineRule="auto"/>
      <w:ind w:firstLineChars="0" w:firstLine="0"/>
      <w:jc w:val="left"/>
    </w:pPr>
    <w:rPr>
      <w:rFonts w:ascii="Arial" w:eastAsia="宋体"/>
      <w:kern w:val="0"/>
      <w:sz w:val="24"/>
    </w:rPr>
  </w:style>
  <w:style w:type="paragraph" w:customStyle="1" w:styleId="TimesNewRoman">
    <w:name w:val="样式 正文二级标题 + (西文) Times New Roman (中文) 宋体"/>
    <w:basedOn w:val="a0"/>
    <w:pPr>
      <w:keepNext/>
      <w:keepLines/>
      <w:tabs>
        <w:tab w:val="left" w:pos="6120"/>
      </w:tabs>
      <w:adjustRightInd w:val="0"/>
      <w:spacing w:line="336" w:lineRule="auto"/>
      <w:outlineLvl w:val="3"/>
    </w:pPr>
    <w:rPr>
      <w:position w:val="2"/>
      <w:sz w:val="28"/>
      <w:szCs w:val="28"/>
    </w:rPr>
  </w:style>
  <w:style w:type="paragraph" w:customStyle="1" w:styleId="CharCharChar1CharCharCharCharCharCharCharCharCharCharCharChar1CharCharCharCharCharCharCharCharCharChar">
    <w:name w:val="Char Char Char1 Char Char Char Char Char Char Char Char Char Char Char Char1 Char Char Char Char Char Char Char Char Char Char"/>
    <w:basedOn w:val="a0"/>
  </w:style>
  <w:style w:type="paragraph" w:customStyle="1" w:styleId="CM16">
    <w:name w:val="CM16"/>
    <w:basedOn w:val="Default"/>
    <w:next w:val="Default"/>
    <w:pPr>
      <w:spacing w:line="448" w:lineRule="atLeast"/>
      <w:ind w:firstLineChars="0" w:firstLine="0"/>
      <w:jc w:val="left"/>
    </w:pPr>
    <w:rPr>
      <w:rFonts w:ascii="Arial" w:eastAsia="宋体"/>
      <w:kern w:val="0"/>
      <w:sz w:val="24"/>
    </w:rPr>
  </w:style>
  <w:style w:type="paragraph" w:customStyle="1" w:styleId="NewNewNewNewNewNewNewNewNewNewNewNewNewNewNewNew">
    <w:name w:val="正文 New New New New New New New New New New New New New New New New"/>
    <w:pPr>
      <w:widowControl w:val="0"/>
      <w:jc w:val="both"/>
    </w:pPr>
    <w:rPr>
      <w:kern w:val="2"/>
      <w:sz w:val="21"/>
      <w:szCs w:val="22"/>
    </w:rPr>
  </w:style>
  <w:style w:type="paragraph" w:customStyle="1" w:styleId="NormalNewNewNewNewNewNewNewNewNewNewNewNewNewNewNewNewNewNewNewNewNewNewNewNewNewNewNewNewNewNewNew">
    <w:name w:val="Normal New New New New New New New New New New New New New New New New New New New New New New New New New New New New New New New"/>
    <w:pPr>
      <w:jc w:val="both"/>
    </w:pPr>
    <w:rPr>
      <w:kern w:val="2"/>
      <w:sz w:val="21"/>
    </w:rPr>
  </w:style>
  <w:style w:type="paragraph" w:customStyle="1" w:styleId="affffffffffffffffffffc">
    <w:name w:val="报告书正文"/>
    <w:basedOn w:val="a0"/>
    <w:link w:val="Charfffff2"/>
    <w:pPr>
      <w:spacing w:line="360" w:lineRule="auto"/>
      <w:ind w:firstLineChars="200" w:firstLine="480"/>
      <w:jc w:val="left"/>
    </w:pPr>
    <w:rPr>
      <w:sz w:val="24"/>
      <w:lang w:val="x-none" w:eastAsia="x-none"/>
    </w:rPr>
  </w:style>
  <w:style w:type="character" w:customStyle="1" w:styleId="Charfffff2">
    <w:name w:val="报告书正文 Char"/>
    <w:link w:val="affffffffffffffffffffc"/>
    <w:rPr>
      <w:kern w:val="2"/>
      <w:sz w:val="24"/>
      <w:szCs w:val="24"/>
    </w:rPr>
  </w:style>
  <w:style w:type="paragraph" w:customStyle="1" w:styleId="CM64">
    <w:name w:val="CM64"/>
    <w:basedOn w:val="Default"/>
    <w:next w:val="Default"/>
    <w:pPr>
      <w:spacing w:after="898" w:line="240" w:lineRule="auto"/>
      <w:ind w:firstLineChars="0" w:firstLine="0"/>
      <w:jc w:val="left"/>
    </w:pPr>
    <w:rPr>
      <w:rFonts w:ascii="Arial" w:eastAsia="宋体" w:cs="Arial"/>
      <w:kern w:val="0"/>
      <w:sz w:val="24"/>
    </w:rPr>
  </w:style>
  <w:style w:type="paragraph" w:customStyle="1" w:styleId="lyq5">
    <w:name w:val="图标题lyq"/>
    <w:basedOn w:val="a0"/>
    <w:pPr>
      <w:spacing w:after="120" w:line="360" w:lineRule="auto"/>
      <w:jc w:val="center"/>
    </w:pPr>
    <w:rPr>
      <w:rFonts w:cs="Arial"/>
      <w:b/>
      <w:bCs/>
      <w:sz w:val="24"/>
      <w:szCs w:val="20"/>
    </w:rPr>
  </w:style>
  <w:style w:type="paragraph" w:customStyle="1" w:styleId="Normal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w:pPr>
      <w:jc w:val="both"/>
    </w:pPr>
    <w:rPr>
      <w:kern w:val="2"/>
      <w:sz w:val="21"/>
    </w:rPr>
  </w:style>
  <w:style w:type="paragraph" w:customStyle="1" w:styleId="1fffff4">
    <w:name w:val="报告标题1"/>
    <w:basedOn w:val="a0"/>
    <w:pPr>
      <w:spacing w:before="120" w:after="120" w:line="520" w:lineRule="exact"/>
    </w:pPr>
    <w:rPr>
      <w:rFonts w:ascii="Cambria Math" w:eastAsia="Cambria Math" w:hAnsi="Arial"/>
      <w:bCs/>
      <w:snapToGrid w:val="0"/>
      <w:kern w:val="0"/>
      <w:sz w:val="28"/>
      <w:szCs w:val="28"/>
    </w:rPr>
  </w:style>
  <w:style w:type="paragraph" w:customStyle="1" w:styleId="Normal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w:pPr>
      <w:jc w:val="both"/>
    </w:pPr>
    <w:rPr>
      <w:kern w:val="2"/>
      <w:sz w:val="21"/>
    </w:rPr>
  </w:style>
  <w:style w:type="paragraph" w:customStyle="1" w:styleId="NewNewNewNewNewNewNewNewNewNewNewNewNewNewNewNewNewNewNewNewNewNewNewNewNewNewNewNewNew">
    <w:name w:val="正文 New New New New New New New New New New New New New New New New New New New New New New New New New New New New New"/>
    <w:pPr>
      <w:widowControl w:val="0"/>
      <w:jc w:val="both"/>
    </w:pPr>
    <w:rPr>
      <w:kern w:val="2"/>
      <w:sz w:val="21"/>
      <w:szCs w:val="22"/>
    </w:rPr>
  </w:style>
  <w:style w:type="paragraph" w:customStyle="1" w:styleId="CityState">
    <w:name w:val="City/State"/>
    <w:basedOn w:val="af2"/>
    <w:next w:val="af2"/>
    <w:pPr>
      <w:keepNext/>
      <w:widowControl/>
      <w:spacing w:after="220" w:line="220" w:lineRule="atLeast"/>
      <w:ind w:right="-360"/>
      <w:jc w:val="left"/>
    </w:pPr>
    <w:rPr>
      <w:kern w:val="0"/>
      <w:sz w:val="20"/>
      <w:szCs w:val="20"/>
    </w:rPr>
  </w:style>
  <w:style w:type="paragraph" w:customStyle="1" w:styleId="affffffffffffffffffffd">
    <w:name w:val="档案号"/>
    <w:basedOn w:val="afc"/>
    <w:pPr>
      <w:pBdr>
        <w:bottom w:val="none" w:sz="0" w:space="0" w:color="auto"/>
      </w:pBdr>
      <w:tabs>
        <w:tab w:val="clear" w:pos="4153"/>
        <w:tab w:val="clear" w:pos="8306"/>
        <w:tab w:val="center" w:pos="4320"/>
        <w:tab w:val="right" w:pos="8640"/>
      </w:tabs>
      <w:adjustRightInd w:val="0"/>
      <w:snapToGrid/>
      <w:spacing w:line="460" w:lineRule="exact"/>
      <w:jc w:val="right"/>
      <w:textAlignment w:val="baseline"/>
    </w:pPr>
    <w:rPr>
      <w:rFonts w:ascii="Arial" w:eastAsia="宋体" w:hAnsi="Arial"/>
      <w:snapToGrid/>
      <w:spacing w:val="3"/>
      <w:kern w:val="24"/>
      <w:sz w:val="24"/>
    </w:rPr>
  </w:style>
  <w:style w:type="paragraph" w:customStyle="1" w:styleId="NormalNewNewNewNewNewNewNewNewNewNewNewNewNewNewNewNewNewNewNewNewNewNewNewNewNewNewNewNewNewNewNewNewNewNewNew">
    <w:name w:val="Normal New New New New New New New New New New New New New New New New New New New New New New New New New New New New New New New New New New New"/>
    <w:pPr>
      <w:jc w:val="both"/>
    </w:pPr>
    <w:rPr>
      <w:kern w:val="2"/>
      <w:sz w:val="21"/>
    </w:rPr>
  </w:style>
  <w:style w:type="paragraph" w:customStyle="1" w:styleId="NewNewNewNewNewNewNewNewNewNewNewNewNewNewNewNewNew">
    <w:name w:val="正文 New New New New New New New New New New New New New New New New New"/>
    <w:pPr>
      <w:widowControl w:val="0"/>
      <w:jc w:val="both"/>
    </w:pPr>
    <w:rPr>
      <w:kern w:val="2"/>
      <w:sz w:val="21"/>
      <w:szCs w:val="22"/>
    </w:rPr>
  </w:style>
  <w:style w:type="paragraph" w:customStyle="1" w:styleId="CM23">
    <w:name w:val="CM23"/>
    <w:basedOn w:val="Default"/>
    <w:next w:val="Default"/>
    <w:pPr>
      <w:spacing w:line="446" w:lineRule="atLeast"/>
      <w:ind w:firstLineChars="0" w:firstLine="0"/>
      <w:jc w:val="left"/>
    </w:pPr>
    <w:rPr>
      <w:rFonts w:ascii="Arial" w:eastAsia="宋体"/>
      <w:kern w:val="0"/>
      <w:sz w:val="24"/>
    </w:rPr>
  </w:style>
  <w:style w:type="paragraph" w:customStyle="1" w:styleId="Address2">
    <w:name w:val="Address 2"/>
    <w:basedOn w:val="a0"/>
    <w:pPr>
      <w:widowControl/>
      <w:spacing w:line="200" w:lineRule="atLeast"/>
      <w:jc w:val="left"/>
    </w:pPr>
    <w:rPr>
      <w:kern w:val="0"/>
      <w:sz w:val="16"/>
      <w:szCs w:val="20"/>
    </w:rPr>
  </w:style>
  <w:style w:type="paragraph" w:customStyle="1" w:styleId="NormalNewNewNewNewNewNewNewNewNewNewNew">
    <w:name w:val="Normal New New New New New New New New New New New"/>
    <w:pPr>
      <w:jc w:val="both"/>
    </w:pPr>
    <w:rPr>
      <w:kern w:val="2"/>
      <w:sz w:val="21"/>
    </w:rPr>
  </w:style>
  <w:style w:type="paragraph" w:customStyle="1" w:styleId="2112112">
    <w:name w:val="样式 标题 2一级条1.1标题 21.1标题2 + 黑体 非加粗"/>
    <w:basedOn w:val="2"/>
    <w:pPr>
      <w:keepLines/>
      <w:numPr>
        <w:ilvl w:val="1"/>
      </w:numPr>
      <w:adjustRightInd w:val="0"/>
      <w:textAlignment w:val="baseline"/>
    </w:pPr>
    <w:rPr>
      <w:rFonts w:ascii="Cambria Math" w:eastAsia="Cambria Math" w:hAnsi="Cambria Math"/>
      <w:caps/>
      <w:kern w:val="0"/>
    </w:rPr>
  </w:style>
  <w:style w:type="paragraph" w:customStyle="1" w:styleId="NormalNewNewNewNewNewNewNewNewNewNewNewNewNew">
    <w:name w:val="Normal New New New New New New New New New New New New New"/>
    <w:pPr>
      <w:jc w:val="both"/>
    </w:pPr>
    <w:rPr>
      <w:kern w:val="2"/>
      <w:sz w:val="21"/>
    </w:rPr>
  </w:style>
  <w:style w:type="paragraph" w:customStyle="1" w:styleId="Normal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w:pPr>
      <w:jc w:val="both"/>
    </w:pPr>
    <w:rPr>
      <w:kern w:val="2"/>
      <w:sz w:val="21"/>
    </w:rPr>
  </w:style>
  <w:style w:type="paragraph" w:customStyle="1" w:styleId="affffffffffffffffffffe">
    <w:name w:val="安科 一级标题"/>
    <w:basedOn w:val="1"/>
    <w:pPr>
      <w:keepLines/>
      <w:spacing w:beforeLines="0" w:before="0" w:afterLines="0" w:after="0"/>
      <w:ind w:firstLineChars="200" w:firstLine="200"/>
      <w:jc w:val="left"/>
    </w:pPr>
    <w:rPr>
      <w:rFonts w:ascii="Times New Roman" w:eastAsia="Cambria Math" w:hAnsi="Times New Roman"/>
      <w:bCs/>
      <w:kern w:val="44"/>
      <w:sz w:val="28"/>
      <w:szCs w:val="44"/>
    </w:rPr>
  </w:style>
  <w:style w:type="paragraph" w:customStyle="1" w:styleId="NormalNewNewNewNewNewNewNewNewNewNewNewNewNewNewNewNewNewNewNewNewNewNewNewNewNewNewNewNewNewNewNewNewNew">
    <w:name w:val="Normal New New New New New New New New New New New New New New New New New New New New New New New New New New New New New New New New New"/>
    <w:pPr>
      <w:jc w:val="both"/>
    </w:pPr>
    <w:rPr>
      <w:kern w:val="2"/>
      <w:sz w:val="21"/>
    </w:rPr>
  </w:style>
  <w:style w:type="paragraph" w:customStyle="1" w:styleId="1fffff5">
    <w:name w:val="样式 标题 1章 + 黑体"/>
    <w:basedOn w:val="1"/>
    <w:pPr>
      <w:keepLines/>
      <w:adjustRightInd w:val="0"/>
      <w:spacing w:beforeLines="0" w:before="0" w:afterLines="0" w:after="0" w:line="440" w:lineRule="exact"/>
      <w:jc w:val="left"/>
      <w:textAlignment w:val="baseline"/>
    </w:pPr>
    <w:rPr>
      <w:rFonts w:ascii="Cambria Math" w:eastAsia="Cambria Math" w:hAnsi="Cambria Math"/>
      <w:caps/>
      <w:kern w:val="0"/>
      <w:sz w:val="24"/>
    </w:rPr>
  </w:style>
  <w:style w:type="paragraph" w:customStyle="1" w:styleId="afffffffffffffffffffff">
    <w:name w:val="附件表题"/>
    <w:basedOn w:val="a0"/>
    <w:pPr>
      <w:spacing w:line="520" w:lineRule="exact"/>
      <w:jc w:val="center"/>
    </w:pPr>
    <w:rPr>
      <w:rFonts w:ascii="Arial" w:eastAsia="Cambria Math" w:hAnsi="Arial"/>
      <w:b/>
      <w:szCs w:val="20"/>
    </w:rPr>
  </w:style>
  <w:style w:type="paragraph" w:customStyle="1" w:styleId="NewNew1">
    <w:name w:val="页脚 New New"/>
    <w:basedOn w:val="NewNewNew"/>
    <w:pPr>
      <w:widowControl/>
      <w:tabs>
        <w:tab w:val="center" w:pos="4153"/>
        <w:tab w:val="right" w:pos="8306"/>
      </w:tabs>
      <w:snapToGrid w:val="0"/>
      <w:spacing w:line="360" w:lineRule="auto"/>
      <w:jc w:val="left"/>
    </w:pPr>
    <w:rPr>
      <w:rFonts w:ascii="Arial"/>
      <w:kern w:val="0"/>
      <w:sz w:val="18"/>
      <w:szCs w:val="20"/>
    </w:rPr>
  </w:style>
  <w:style w:type="paragraph" w:customStyle="1" w:styleId="NewNewNew">
    <w:name w:val="正文 New New New"/>
    <w:pPr>
      <w:widowControl w:val="0"/>
      <w:jc w:val="both"/>
    </w:pPr>
    <w:rPr>
      <w:kern w:val="2"/>
      <w:sz w:val="21"/>
      <w:szCs w:val="24"/>
    </w:rPr>
  </w:style>
  <w:style w:type="paragraph" w:customStyle="1" w:styleId="SectionTitle">
    <w:name w:val="Section Title"/>
    <w:basedOn w:val="a0"/>
    <w:next w:val="a0"/>
    <w:pPr>
      <w:widowControl/>
      <w:pBdr>
        <w:top w:val="single" w:sz="6" w:space="2" w:color="FFFFFF"/>
        <w:left w:val="single" w:sz="6" w:space="2" w:color="FFFFFF"/>
        <w:bottom w:val="single" w:sz="6" w:space="2" w:color="FFFFFF"/>
        <w:right w:val="single" w:sz="6" w:space="2" w:color="FFFFFF"/>
      </w:pBdr>
      <w:shd w:val="pct10" w:color="auto" w:fill="auto"/>
      <w:spacing w:before="120" w:line="280" w:lineRule="atLeast"/>
      <w:jc w:val="left"/>
    </w:pPr>
    <w:rPr>
      <w:rFonts w:ascii="Arial" w:hAnsi="Arial"/>
      <w:b/>
      <w:spacing w:val="-10"/>
      <w:kern w:val="0"/>
      <w:position w:val="7"/>
      <w:sz w:val="20"/>
      <w:szCs w:val="20"/>
    </w:rPr>
  </w:style>
  <w:style w:type="paragraph" w:customStyle="1" w:styleId="1fffff6">
    <w:name w:val="报告1湛江"/>
    <w:basedOn w:val="1"/>
    <w:pPr>
      <w:pageBreakBefore/>
      <w:widowControl/>
      <w:tabs>
        <w:tab w:val="left" w:pos="1560"/>
      </w:tabs>
      <w:snapToGrid w:val="0"/>
      <w:spacing w:beforeLines="50" w:before="0" w:afterLines="50" w:after="156" w:line="520" w:lineRule="exact"/>
      <w:ind w:left="1559" w:hanging="1559"/>
    </w:pPr>
    <w:rPr>
      <w:rFonts w:ascii="Cambria Math" w:eastAsia="Cambria Math" w:hAnsi="Arial"/>
      <w:b w:val="0"/>
      <w:color w:val="000000"/>
      <w:kern w:val="44"/>
      <w:szCs w:val="32"/>
    </w:rPr>
  </w:style>
  <w:style w:type="paragraph" w:customStyle="1" w:styleId="afffffffffffffffffffff0">
    <w:name w:val="茂名图题"/>
    <w:basedOn w:val="a0"/>
    <w:pPr>
      <w:spacing w:line="520" w:lineRule="exact"/>
      <w:jc w:val="center"/>
    </w:pPr>
    <w:rPr>
      <w:rFonts w:ascii="Cambria Math" w:eastAsia="Cambria Math"/>
      <w:sz w:val="24"/>
    </w:rPr>
  </w:style>
  <w:style w:type="paragraph" w:customStyle="1" w:styleId="NormalNewNewNewNewNewNewNewNewNewNewNewNewNewNewNewNew">
    <w:name w:val="Normal New New New New New New New New New New New New New New New New"/>
    <w:pPr>
      <w:jc w:val="both"/>
    </w:pPr>
    <w:rPr>
      <w:kern w:val="2"/>
      <w:sz w:val="21"/>
    </w:rPr>
  </w:style>
  <w:style w:type="paragraph" w:customStyle="1" w:styleId="CM77">
    <w:name w:val="CM77"/>
    <w:basedOn w:val="Default"/>
    <w:next w:val="Default"/>
    <w:pPr>
      <w:spacing w:after="193" w:line="240" w:lineRule="auto"/>
      <w:ind w:firstLineChars="0" w:firstLine="0"/>
      <w:jc w:val="left"/>
    </w:pPr>
    <w:rPr>
      <w:rFonts w:ascii="Arial" w:eastAsia="宋体"/>
      <w:kern w:val="0"/>
      <w:sz w:val="24"/>
    </w:rPr>
  </w:style>
  <w:style w:type="paragraph" w:customStyle="1" w:styleId="NewNewNewNewNewNewNewNewNewNewNewNewNewNewNewNewNewNewNewNewNewNewNewNewNewNewNewNew">
    <w:name w:val="正文 New New New New New New New New New New New New New New New New New New New New New New New New New New New New"/>
    <w:pPr>
      <w:widowControl w:val="0"/>
      <w:jc w:val="both"/>
    </w:pPr>
    <w:rPr>
      <w:kern w:val="2"/>
      <w:sz w:val="21"/>
      <w:szCs w:val="22"/>
    </w:rPr>
  </w:style>
  <w:style w:type="paragraph" w:customStyle="1" w:styleId="CM21">
    <w:name w:val="CM21"/>
    <w:basedOn w:val="Default"/>
    <w:next w:val="Default"/>
    <w:pPr>
      <w:spacing w:line="443" w:lineRule="atLeast"/>
      <w:ind w:firstLineChars="0" w:firstLine="0"/>
      <w:jc w:val="left"/>
    </w:pPr>
    <w:rPr>
      <w:rFonts w:ascii="Arial" w:eastAsia="宋体"/>
      <w:kern w:val="0"/>
      <w:sz w:val="24"/>
    </w:rPr>
  </w:style>
  <w:style w:type="paragraph" w:customStyle="1" w:styleId="CM26">
    <w:name w:val="CM26"/>
    <w:basedOn w:val="Default"/>
    <w:next w:val="Default"/>
    <w:pPr>
      <w:spacing w:line="448" w:lineRule="atLeast"/>
      <w:ind w:firstLineChars="0" w:firstLine="0"/>
      <w:jc w:val="left"/>
    </w:pPr>
    <w:rPr>
      <w:rFonts w:ascii="Arial" w:eastAsia="宋体"/>
      <w:kern w:val="0"/>
      <w:sz w:val="24"/>
    </w:rPr>
  </w:style>
  <w:style w:type="paragraph" w:customStyle="1" w:styleId="NewNewNewNewNewNewNewNewNewNewNewNewNewNewNewNewNewNewNewNew">
    <w:name w:val="页脚 New New New New New New New New New New New New New New New New New New New New"/>
    <w:basedOn w:val="NewNewNewNewNewNewNewNewNewNewNewNewNewNewNewNewNewNewNewNewNewNewNewNewNewNewNewNewNewNewNewNewNewNewNewNewNewNewNewNewNewNewNewNewNewNewNewNewNewNewNew"/>
    <w:pPr>
      <w:tabs>
        <w:tab w:val="center" w:pos="4153"/>
        <w:tab w:val="right" w:pos="8306"/>
      </w:tabs>
      <w:snapToGrid w:val="0"/>
      <w:jc w:val="left"/>
    </w:pPr>
    <w:rPr>
      <w:sz w:val="18"/>
    </w:rPr>
  </w:style>
  <w:style w:type="paragraph" w:customStyle="1" w:styleId="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w:pPr>
      <w:widowControl w:val="0"/>
      <w:jc w:val="both"/>
    </w:pPr>
    <w:rPr>
      <w:kern w:val="2"/>
      <w:sz w:val="21"/>
    </w:rPr>
  </w:style>
  <w:style w:type="paragraph" w:customStyle="1" w:styleId="CM2">
    <w:name w:val="CM2"/>
    <w:basedOn w:val="Default"/>
    <w:next w:val="Default"/>
    <w:pPr>
      <w:spacing w:line="580" w:lineRule="atLeast"/>
      <w:ind w:firstLineChars="0" w:firstLine="0"/>
      <w:jc w:val="left"/>
    </w:pPr>
    <w:rPr>
      <w:rFonts w:ascii="Arial" w:eastAsia="宋体" w:hAnsi="Arial"/>
      <w:kern w:val="0"/>
      <w:sz w:val="24"/>
    </w:rPr>
  </w:style>
  <w:style w:type="paragraph" w:customStyle="1" w:styleId="NewNewNewNew">
    <w:name w:val="正文 New New New New"/>
    <w:pPr>
      <w:widowControl w:val="0"/>
      <w:jc w:val="both"/>
    </w:pPr>
    <w:rPr>
      <w:kern w:val="2"/>
      <w:sz w:val="21"/>
      <w:szCs w:val="24"/>
    </w:rPr>
  </w:style>
  <w:style w:type="paragraph" w:customStyle="1" w:styleId="afffffffffffffffffffff1">
    <w:name w:val="段"/>
    <w:qFormat/>
    <w:pPr>
      <w:tabs>
        <w:tab w:val="center" w:pos="4201"/>
        <w:tab w:val="right" w:leader="dot" w:pos="9298"/>
      </w:tabs>
      <w:autoSpaceDE w:val="0"/>
      <w:autoSpaceDN w:val="0"/>
      <w:ind w:firstLineChars="200" w:firstLine="420"/>
      <w:jc w:val="both"/>
    </w:pPr>
    <w:rPr>
      <w:rFonts w:ascii="Arial"/>
      <w:sz w:val="21"/>
    </w:rPr>
  </w:style>
  <w:style w:type="paragraph" w:customStyle="1" w:styleId="NewNewNewNewNewNewNewNewNewNewNewNewNewNew">
    <w:name w:val="页脚 New New New New New New New New New New New New New New"/>
    <w:basedOn w:val="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0">
    <w:name w:val="正文 New New New New New New New New New New New New New New New New New New New New"/>
    <w:pPr>
      <w:widowControl w:val="0"/>
      <w:jc w:val="both"/>
    </w:pPr>
    <w:rPr>
      <w:kern w:val="2"/>
      <w:sz w:val="21"/>
      <w:szCs w:val="22"/>
    </w:rPr>
  </w:style>
  <w:style w:type="paragraph" w:customStyle="1" w:styleId="xl58">
    <w:name w:val="xl58"/>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w:hAnsi="Arial" w:cs="Cambria Math"/>
      <w:kern w:val="0"/>
      <w:sz w:val="20"/>
      <w:szCs w:val="20"/>
    </w:rPr>
  </w:style>
  <w:style w:type="paragraph" w:customStyle="1" w:styleId="CM53">
    <w:name w:val="CM53"/>
    <w:basedOn w:val="Default"/>
    <w:next w:val="Default"/>
    <w:pPr>
      <w:spacing w:after="533" w:line="240" w:lineRule="auto"/>
      <w:ind w:firstLineChars="0" w:firstLine="0"/>
      <w:jc w:val="left"/>
    </w:pPr>
    <w:rPr>
      <w:rFonts w:ascii="Arial" w:eastAsia="宋体" w:cs="Arial"/>
      <w:kern w:val="0"/>
      <w:sz w:val="24"/>
    </w:rPr>
  </w:style>
  <w:style w:type="paragraph" w:customStyle="1" w:styleId="5f4">
    <w:name w:val="表文字5"/>
    <w:basedOn w:val="a0"/>
    <w:pPr>
      <w:tabs>
        <w:tab w:val="left" w:pos="1140"/>
      </w:tabs>
      <w:adjustRightInd w:val="0"/>
      <w:jc w:val="left"/>
      <w:textAlignment w:val="baseline"/>
    </w:pPr>
    <w:rPr>
      <w:rFonts w:ascii="Arial"/>
      <w:kern w:val="0"/>
      <w:szCs w:val="20"/>
    </w:rPr>
  </w:style>
  <w:style w:type="paragraph" w:customStyle="1" w:styleId="CM28">
    <w:name w:val="CM28"/>
    <w:basedOn w:val="Default"/>
    <w:next w:val="Default"/>
    <w:pPr>
      <w:spacing w:line="548" w:lineRule="atLeast"/>
      <w:ind w:firstLineChars="0" w:firstLine="0"/>
      <w:jc w:val="left"/>
    </w:pPr>
    <w:rPr>
      <w:rFonts w:ascii="Arial" w:eastAsia="宋体"/>
      <w:kern w:val="0"/>
      <w:sz w:val="24"/>
    </w:rPr>
  </w:style>
  <w:style w:type="paragraph" w:customStyle="1" w:styleId="lyq6">
    <w:name w:val="章标题lyq"/>
    <w:basedOn w:val="1"/>
    <w:pPr>
      <w:spacing w:beforeLines="0" w:before="0" w:afterLines="0" w:after="0" w:line="520" w:lineRule="exact"/>
    </w:pPr>
    <w:rPr>
      <w:rFonts w:ascii="Times New Roman" w:eastAsia="Cambria Math" w:hAnsi="Times New Roman"/>
      <w:bCs/>
      <w:kern w:val="0"/>
      <w:szCs w:val="32"/>
    </w:rPr>
  </w:style>
  <w:style w:type="paragraph" w:customStyle="1" w:styleId="NormalNewNewNewNewNewNewNew">
    <w:name w:val="Normal New New New New New New New"/>
    <w:pPr>
      <w:jc w:val="both"/>
    </w:pPr>
    <w:rPr>
      <w:kern w:val="2"/>
      <w:sz w:val="21"/>
    </w:rPr>
  </w:style>
  <w:style w:type="paragraph" w:customStyle="1" w:styleId="cjk">
    <w:name w:val="cjk"/>
    <w:basedOn w:val="a0"/>
    <w:pPr>
      <w:widowControl/>
      <w:spacing w:before="100" w:beforeAutospacing="1" w:after="100" w:afterAutospacing="1" w:line="336" w:lineRule="auto"/>
      <w:jc w:val="left"/>
    </w:pPr>
    <w:rPr>
      <w:rFonts w:ascii="Symbol" w:hAnsi="Symbol" w:cs="Arial"/>
      <w:kern w:val="0"/>
      <w:sz w:val="18"/>
      <w:szCs w:val="18"/>
    </w:rPr>
  </w:style>
  <w:style w:type="paragraph" w:customStyle="1" w:styleId="CM58">
    <w:name w:val="CM58"/>
    <w:basedOn w:val="Default"/>
    <w:next w:val="Default"/>
    <w:pPr>
      <w:spacing w:after="595" w:line="240" w:lineRule="auto"/>
      <w:ind w:firstLineChars="0" w:firstLine="0"/>
      <w:jc w:val="left"/>
    </w:pPr>
    <w:rPr>
      <w:rFonts w:ascii="Arial" w:eastAsia="宋体"/>
      <w:kern w:val="0"/>
      <w:sz w:val="24"/>
    </w:rPr>
  </w:style>
  <w:style w:type="paragraph" w:customStyle="1" w:styleId="NewNewNewNewNewNewNewNewNewNew">
    <w:name w:val="页脚 New New New New New New New New New New"/>
    <w:basedOn w:val="NewNewNewNewNewNewNewNewNewNewNew"/>
    <w:pPr>
      <w:widowControl/>
      <w:tabs>
        <w:tab w:val="center" w:pos="4153"/>
        <w:tab w:val="right" w:pos="8306"/>
      </w:tabs>
      <w:snapToGrid w:val="0"/>
      <w:spacing w:line="360" w:lineRule="auto"/>
      <w:jc w:val="left"/>
    </w:pPr>
    <w:rPr>
      <w:rFonts w:ascii="Arial"/>
      <w:kern w:val="0"/>
      <w:sz w:val="18"/>
      <w:szCs w:val="20"/>
    </w:rPr>
  </w:style>
  <w:style w:type="paragraph" w:customStyle="1" w:styleId="NewNewNewNewNewNewNewNewNewNewNew">
    <w:name w:val="正文 New New New New New New New New New New New"/>
    <w:pPr>
      <w:widowControl w:val="0"/>
      <w:jc w:val="both"/>
    </w:pPr>
    <w:rPr>
      <w:kern w:val="2"/>
      <w:sz w:val="21"/>
      <w:szCs w:val="24"/>
    </w:rPr>
  </w:style>
  <w:style w:type="paragraph" w:customStyle="1" w:styleId="afffffffffffffffffffff2">
    <w:name w:val="九江表题"/>
    <w:basedOn w:val="a0"/>
    <w:pPr>
      <w:autoSpaceDE w:val="0"/>
      <w:autoSpaceDN w:val="0"/>
      <w:adjustRightInd w:val="0"/>
      <w:spacing w:line="520" w:lineRule="exact"/>
      <w:jc w:val="center"/>
    </w:pPr>
    <w:rPr>
      <w:rFonts w:ascii="Cambria Math" w:eastAsia="Cambria Math" w:cs="Arial"/>
      <w:b/>
      <w:bCs/>
      <w:kern w:val="0"/>
      <w:szCs w:val="21"/>
    </w:rPr>
  </w:style>
  <w:style w:type="paragraph" w:customStyle="1" w:styleId="CM35">
    <w:name w:val="CM35"/>
    <w:basedOn w:val="Default"/>
    <w:next w:val="Default"/>
    <w:pPr>
      <w:spacing w:line="500" w:lineRule="atLeast"/>
      <w:ind w:firstLineChars="0" w:firstLine="0"/>
      <w:jc w:val="left"/>
    </w:pPr>
    <w:rPr>
      <w:rFonts w:ascii="Arial" w:eastAsia="宋体"/>
      <w:kern w:val="0"/>
      <w:sz w:val="24"/>
    </w:rPr>
  </w:style>
  <w:style w:type="paragraph" w:customStyle="1" w:styleId="lyq7">
    <w:name w:val="节标题lyq"/>
    <w:basedOn w:val="2"/>
    <w:pPr>
      <w:keepLines/>
      <w:numPr>
        <w:ilvl w:val="1"/>
      </w:numPr>
      <w:spacing w:after="240" w:line="520" w:lineRule="exact"/>
      <w:jc w:val="center"/>
    </w:pPr>
    <w:rPr>
      <w:rFonts w:ascii="Times New Roman" w:eastAsia="方正仿宋简体" w:hAnsi="Times New Roman"/>
      <w:bCs w:val="0"/>
      <w:kern w:val="0"/>
    </w:rPr>
  </w:style>
  <w:style w:type="paragraph" w:customStyle="1" w:styleId="Normal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w:pPr>
      <w:jc w:val="both"/>
    </w:pPr>
    <w:rPr>
      <w:kern w:val="2"/>
      <w:sz w:val="21"/>
    </w:rPr>
  </w:style>
  <w:style w:type="paragraph" w:customStyle="1" w:styleId="099">
    <w:name w:val="样式 左侧:  0.99 厘米"/>
    <w:basedOn w:val="a0"/>
    <w:rPr>
      <w:rFonts w:cs="Arial"/>
      <w:szCs w:val="20"/>
    </w:rPr>
  </w:style>
  <w:style w:type="paragraph" w:customStyle="1" w:styleId="NewNewNewNewNewNewNewNewNewNewNewNewNewNewNewNewNewNew">
    <w:name w:val="正文 New New New New New New New New New New New New New New New New New New"/>
    <w:pPr>
      <w:widowControl w:val="0"/>
      <w:jc w:val="both"/>
    </w:pPr>
    <w:rPr>
      <w:kern w:val="2"/>
      <w:sz w:val="21"/>
      <w:szCs w:val="22"/>
    </w:rPr>
  </w:style>
  <w:style w:type="paragraph" w:customStyle="1" w:styleId="afffffffffffffffffffff3">
    <w:name w:val="章(一级)"/>
    <w:basedOn w:val="1"/>
    <w:next w:val="affffffffffffffffffff9"/>
    <w:pPr>
      <w:keepNext w:val="0"/>
      <w:tabs>
        <w:tab w:val="left" w:pos="915"/>
      </w:tabs>
      <w:adjustRightInd w:val="0"/>
      <w:spacing w:beforeLines="0" w:before="0" w:afterLines="0" w:after="0"/>
      <w:jc w:val="left"/>
      <w:textAlignment w:val="baseline"/>
      <w:outlineLvl w:val="9"/>
    </w:pPr>
    <w:rPr>
      <w:rFonts w:ascii="Arial" w:eastAsia="Arial" w:hAnsi="Times New Roman"/>
      <w:spacing w:val="20"/>
      <w:kern w:val="0"/>
      <w:sz w:val="24"/>
      <w:szCs w:val="20"/>
    </w:rPr>
  </w:style>
  <w:style w:type="paragraph" w:customStyle="1" w:styleId="CM10">
    <w:name w:val="CM10"/>
    <w:basedOn w:val="Default"/>
    <w:next w:val="Default"/>
    <w:pPr>
      <w:spacing w:after="213" w:line="240" w:lineRule="auto"/>
      <w:ind w:firstLineChars="0" w:firstLine="0"/>
      <w:jc w:val="left"/>
    </w:pPr>
    <w:rPr>
      <w:rFonts w:ascii="Arial" w:eastAsia="宋体" w:hAnsi="Arial"/>
      <w:kern w:val="0"/>
      <w:sz w:val="24"/>
    </w:rPr>
  </w:style>
  <w:style w:type="paragraph" w:customStyle="1" w:styleId="CM31">
    <w:name w:val="CM31"/>
    <w:basedOn w:val="Default"/>
    <w:next w:val="Default"/>
    <w:pPr>
      <w:spacing w:line="498" w:lineRule="atLeast"/>
      <w:ind w:firstLineChars="0" w:firstLine="0"/>
      <w:jc w:val="left"/>
    </w:pPr>
    <w:rPr>
      <w:rFonts w:ascii="Arial" w:eastAsia="宋体"/>
      <w:kern w:val="0"/>
      <w:sz w:val="24"/>
    </w:rPr>
  </w:style>
  <w:style w:type="paragraph" w:customStyle="1" w:styleId="1fffff7">
    <w:name w:val="项目符号1"/>
    <w:basedOn w:val="a0"/>
    <w:pPr>
      <w:tabs>
        <w:tab w:val="left" w:pos="425"/>
        <w:tab w:val="left" w:pos="935"/>
      </w:tabs>
      <w:snapToGrid w:val="0"/>
      <w:spacing w:before="120" w:after="120" w:line="312" w:lineRule="auto"/>
      <w:ind w:left="935" w:hanging="425"/>
    </w:pPr>
    <w:rPr>
      <w:rFonts w:ascii="Arial" w:eastAsia="方正仿宋简体" w:hAnsi="Arial"/>
      <w:b/>
      <w:sz w:val="28"/>
      <w:szCs w:val="20"/>
    </w:rPr>
  </w:style>
  <w:style w:type="paragraph" w:customStyle="1" w:styleId="CM56">
    <w:name w:val="CM56"/>
    <w:basedOn w:val="Default"/>
    <w:next w:val="Default"/>
    <w:pPr>
      <w:spacing w:after="455" w:line="240" w:lineRule="auto"/>
      <w:ind w:firstLineChars="0" w:firstLine="0"/>
      <w:jc w:val="left"/>
    </w:pPr>
    <w:rPr>
      <w:rFonts w:ascii="Arial" w:eastAsia="宋体"/>
      <w:kern w:val="0"/>
      <w:sz w:val="24"/>
    </w:rPr>
  </w:style>
  <w:style w:type="paragraph" w:customStyle="1" w:styleId="NewNewNewNewNewNewNewNewNewNewNewNewNewNewNewNewNewNewNewNewNewNewNewNewNewNew">
    <w:name w:val="正文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
    <w:name w:val="正文 New New New New New New New New New New New New New New New"/>
    <w:pPr>
      <w:widowControl w:val="0"/>
      <w:jc w:val="both"/>
    </w:pPr>
    <w:rPr>
      <w:kern w:val="2"/>
      <w:sz w:val="21"/>
    </w:rPr>
  </w:style>
  <w:style w:type="paragraph" w:customStyle="1" w:styleId="PersonalInfo">
    <w:name w:val="Personal Info"/>
    <w:basedOn w:val="Achievement"/>
    <w:pPr>
      <w:tabs>
        <w:tab w:val="clear" w:pos="1098"/>
        <w:tab w:val="left" w:pos="425"/>
      </w:tabs>
      <w:spacing w:before="220"/>
      <w:ind w:left="425" w:hanging="425"/>
    </w:pPr>
  </w:style>
  <w:style w:type="paragraph" w:customStyle="1" w:styleId="1fffff8">
    <w:name w:val="报告1"/>
    <w:basedOn w:val="1"/>
    <w:pPr>
      <w:pageBreakBefore/>
      <w:widowControl/>
      <w:tabs>
        <w:tab w:val="left" w:pos="1560"/>
      </w:tabs>
      <w:snapToGrid w:val="0"/>
      <w:spacing w:beforeLines="0" w:before="0" w:afterLines="150" w:after="0" w:line="520" w:lineRule="exact"/>
      <w:ind w:left="1559" w:hanging="1559"/>
      <w:jc w:val="both"/>
    </w:pPr>
    <w:rPr>
      <w:rFonts w:ascii="Cambria Math" w:eastAsia="Cambria Math" w:hAnsi="Arial"/>
      <w:b w:val="0"/>
      <w:kern w:val="44"/>
      <w:szCs w:val="32"/>
    </w:rPr>
  </w:style>
  <w:style w:type="paragraph" w:customStyle="1" w:styleId="CM48">
    <w:name w:val="CM48"/>
    <w:basedOn w:val="Default"/>
    <w:next w:val="Default"/>
    <w:pPr>
      <w:spacing w:line="240" w:lineRule="auto"/>
      <w:ind w:firstLineChars="0" w:firstLine="0"/>
      <w:jc w:val="left"/>
    </w:pPr>
    <w:rPr>
      <w:rFonts w:ascii="Arial" w:eastAsia="宋体" w:cs="Arial"/>
      <w:kern w:val="0"/>
      <w:sz w:val="24"/>
    </w:rPr>
  </w:style>
  <w:style w:type="paragraph" w:customStyle="1" w:styleId="CM19">
    <w:name w:val="CM19"/>
    <w:basedOn w:val="Default"/>
    <w:next w:val="Default"/>
    <w:pPr>
      <w:spacing w:line="451" w:lineRule="atLeast"/>
      <w:ind w:firstLineChars="0" w:firstLine="0"/>
      <w:jc w:val="left"/>
    </w:pPr>
    <w:rPr>
      <w:rFonts w:ascii="Arial" w:eastAsia="宋体"/>
      <w:kern w:val="0"/>
      <w:sz w:val="24"/>
    </w:rPr>
  </w:style>
  <w:style w:type="paragraph" w:customStyle="1" w:styleId="NormalNewNewNewNewNewNewNewNew">
    <w:name w:val="Normal New New New New New New New New"/>
    <w:pPr>
      <w:jc w:val="both"/>
    </w:pPr>
    <w:rPr>
      <w:kern w:val="2"/>
      <w:sz w:val="21"/>
    </w:rPr>
  </w:style>
  <w:style w:type="paragraph" w:customStyle="1" w:styleId="NewNewNewNewNewNewNew">
    <w:name w:val="正文 New New New New New New New"/>
    <w:pPr>
      <w:widowControl w:val="0"/>
      <w:jc w:val="both"/>
    </w:pPr>
    <w:rPr>
      <w:kern w:val="2"/>
      <w:sz w:val="21"/>
      <w:szCs w:val="24"/>
    </w:rPr>
  </w:style>
  <w:style w:type="paragraph" w:customStyle="1" w:styleId="1fffff9">
    <w:name w:val="正文1（缩进）"/>
    <w:basedOn w:val="a9"/>
    <w:pPr>
      <w:spacing w:line="360" w:lineRule="auto"/>
      <w:ind w:firstLineChars="200" w:firstLine="200"/>
    </w:pPr>
    <w:rPr>
      <w:rFonts w:ascii="Arial" w:eastAsia="Arial" w:hAnsi="Arial"/>
      <w:kern w:val="2"/>
      <w:sz w:val="28"/>
      <w:szCs w:val="28"/>
    </w:rPr>
  </w:style>
  <w:style w:type="paragraph" w:customStyle="1" w:styleId="New0">
    <w:name w:val="表头 New"/>
    <w:basedOn w:val="NewNewNewNewNewNewNewNewNewNewNewNewNewNewNewNewNew"/>
    <w:next w:val="NewNewNewNewNewNewNewNewNewNewNewNewNewNewNewNewNew"/>
    <w:pPr>
      <w:keepNext/>
      <w:snapToGrid w:val="0"/>
      <w:spacing w:before="80" w:after="80" w:line="460" w:lineRule="exact"/>
    </w:pPr>
    <w:rPr>
      <w:rFonts w:ascii="Cambria Math" w:eastAsia="Cambria Math"/>
      <w:color w:val="000000"/>
      <w:spacing w:val="12"/>
      <w:kern w:val="21"/>
      <w:sz w:val="24"/>
      <w:szCs w:val="24"/>
    </w:rPr>
  </w:style>
  <w:style w:type="paragraph" w:customStyle="1" w:styleId="NormalNewNewNewNewNewNewNewNewNewNewNewNewNewNewNewNewNewNewNewNewNewNewNewNewNewNewNewNewNewNewNewNewNewNewNewNewNew">
    <w:name w:val="Normal New New New New New New New New New New New New New New New New New New New New New New New New New New New New New New New New New New New New New"/>
    <w:pPr>
      <w:jc w:val="both"/>
    </w:pPr>
    <w:rPr>
      <w:kern w:val="2"/>
      <w:sz w:val="21"/>
    </w:rPr>
  </w:style>
  <w:style w:type="paragraph" w:customStyle="1" w:styleId="afffffffffffffffffffff4">
    <w:name w:val="标三"/>
    <w:basedOn w:val="3"/>
    <w:pPr>
      <w:numPr>
        <w:ilvl w:val="2"/>
      </w:numPr>
      <w:spacing w:line="240" w:lineRule="auto"/>
      <w:jc w:val="center"/>
    </w:pPr>
    <w:rPr>
      <w:rFonts w:ascii="Times New Roman" w:eastAsia="宋体"/>
      <w:b w:val="0"/>
      <w:szCs w:val="24"/>
    </w:rPr>
  </w:style>
  <w:style w:type="paragraph" w:customStyle="1" w:styleId="CM54">
    <w:name w:val="CM54"/>
    <w:basedOn w:val="Default"/>
    <w:next w:val="Default"/>
    <w:pPr>
      <w:spacing w:after="290" w:line="240" w:lineRule="auto"/>
      <w:ind w:firstLineChars="0" w:firstLine="0"/>
      <w:jc w:val="left"/>
    </w:pPr>
    <w:rPr>
      <w:rFonts w:ascii="Arial" w:eastAsia="宋体"/>
      <w:kern w:val="0"/>
      <w:sz w:val="24"/>
    </w:rPr>
  </w:style>
  <w:style w:type="paragraph" w:customStyle="1" w:styleId="CM60">
    <w:name w:val="CM60"/>
    <w:basedOn w:val="Default"/>
    <w:next w:val="Default"/>
    <w:pPr>
      <w:spacing w:after="87" w:line="240" w:lineRule="auto"/>
      <w:ind w:firstLineChars="0" w:firstLine="0"/>
      <w:jc w:val="left"/>
    </w:pPr>
    <w:rPr>
      <w:rFonts w:ascii="Arial" w:eastAsia="宋体"/>
      <w:kern w:val="0"/>
      <w:sz w:val="24"/>
    </w:rPr>
  </w:style>
  <w:style w:type="paragraph" w:customStyle="1" w:styleId="NormalNewNewNewNewNewNewNewNewNewNewNewNewNewNewNewNewNew">
    <w:name w:val="Normal New New New New New New New New New New New New New New New New New"/>
    <w:pPr>
      <w:jc w:val="both"/>
    </w:pPr>
    <w:rPr>
      <w:kern w:val="2"/>
      <w:sz w:val="21"/>
    </w:rPr>
  </w:style>
  <w:style w:type="paragraph" w:customStyle="1" w:styleId="CharCharCharCharCharCharCharCharCharCharCharChar">
    <w:name w:val="Char Char Char Char Char Char Char Char Char Char Char Char"/>
    <w:basedOn w:val="a0"/>
    <w:pPr>
      <w:widowControl/>
      <w:spacing w:after="160" w:line="240" w:lineRule="exact"/>
      <w:jc w:val="left"/>
    </w:pPr>
    <w:rPr>
      <w:rFonts w:ascii="Symbol" w:hAnsi="Symbol"/>
      <w:kern w:val="0"/>
      <w:sz w:val="20"/>
      <w:szCs w:val="20"/>
      <w:lang w:eastAsia="en-US"/>
    </w:rPr>
  </w:style>
  <w:style w:type="paragraph" w:customStyle="1" w:styleId="xl57">
    <w:name w:val="xl57"/>
    <w:basedOn w:val="a0"/>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Cambria Math"/>
      <w:kern w:val="0"/>
      <w:sz w:val="20"/>
      <w:szCs w:val="20"/>
    </w:rPr>
  </w:style>
  <w:style w:type="paragraph" w:customStyle="1" w:styleId="21d">
    <w:name w:val="列表延续 21"/>
    <w:basedOn w:val="a0"/>
    <w:pPr>
      <w:autoSpaceDE w:val="0"/>
      <w:autoSpaceDN w:val="0"/>
      <w:adjustRightInd w:val="0"/>
      <w:spacing w:line="360" w:lineRule="atLeast"/>
      <w:ind w:left="840" w:hanging="420"/>
      <w:jc w:val="left"/>
    </w:pPr>
    <w:rPr>
      <w:rFonts w:ascii="Arial" w:hAnsi="Arial"/>
      <w:spacing w:val="20"/>
      <w:kern w:val="0"/>
      <w:sz w:val="24"/>
      <w:szCs w:val="20"/>
    </w:rPr>
  </w:style>
  <w:style w:type="paragraph" w:customStyle="1" w:styleId="NoTitle">
    <w:name w:val="No Title"/>
    <w:basedOn w:val="a0"/>
    <w:pPr>
      <w:widowControl/>
      <w:pBdr>
        <w:top w:val="single" w:sz="6" w:space="2" w:color="FFFFFF"/>
        <w:left w:val="single" w:sz="6" w:space="2" w:color="FFFFFF"/>
        <w:bottom w:val="single" w:sz="6" w:space="2" w:color="FFFFFF"/>
        <w:right w:val="single" w:sz="6" w:space="2" w:color="FFFFFF"/>
      </w:pBdr>
      <w:spacing w:before="120" w:line="280" w:lineRule="atLeast"/>
      <w:jc w:val="left"/>
    </w:pPr>
    <w:rPr>
      <w:rFonts w:ascii="Arial" w:hAnsi="Arial"/>
      <w:b/>
      <w:spacing w:val="-10"/>
      <w:kern w:val="0"/>
      <w:position w:val="7"/>
      <w:sz w:val="20"/>
      <w:szCs w:val="20"/>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CM75">
    <w:name w:val="CM75"/>
    <w:basedOn w:val="Default"/>
    <w:next w:val="Default"/>
    <w:pPr>
      <w:spacing w:after="475" w:line="240" w:lineRule="auto"/>
      <w:ind w:firstLineChars="0" w:firstLine="0"/>
      <w:jc w:val="left"/>
    </w:pPr>
    <w:rPr>
      <w:rFonts w:ascii="Arial" w:eastAsia="宋体"/>
      <w:kern w:val="0"/>
      <w:sz w:val="24"/>
    </w:rPr>
  </w:style>
  <w:style w:type="paragraph" w:customStyle="1" w:styleId="NormalNewNewNewNewNewNewNewNewNewNewNewNewNewNewNewNewNewNewNewNewNewNew">
    <w:name w:val="Normal New New New New New New New New New New New New New New New New New New New New New New"/>
    <w:pPr>
      <w:jc w:val="both"/>
    </w:pPr>
    <w:rPr>
      <w:kern w:val="2"/>
      <w:sz w:val="21"/>
    </w:rPr>
  </w:style>
  <w:style w:type="paragraph" w:customStyle="1" w:styleId="CM15">
    <w:name w:val="CM15"/>
    <w:basedOn w:val="Default"/>
    <w:next w:val="Default"/>
    <w:pPr>
      <w:spacing w:line="451" w:lineRule="atLeast"/>
      <w:ind w:firstLineChars="0" w:firstLine="0"/>
      <w:jc w:val="left"/>
    </w:pPr>
    <w:rPr>
      <w:rFonts w:ascii="Arial" w:eastAsia="宋体"/>
      <w:kern w:val="0"/>
      <w:sz w:val="24"/>
    </w:rPr>
  </w:style>
  <w:style w:type="paragraph" w:customStyle="1" w:styleId="CM4">
    <w:name w:val="CM4"/>
    <w:basedOn w:val="Default"/>
    <w:next w:val="Default"/>
    <w:pPr>
      <w:spacing w:line="580" w:lineRule="atLeast"/>
      <w:ind w:firstLineChars="0" w:firstLine="0"/>
      <w:jc w:val="left"/>
    </w:pPr>
    <w:rPr>
      <w:rFonts w:ascii="Arial" w:eastAsia="宋体" w:hAnsi="Arial"/>
      <w:kern w:val="0"/>
      <w:sz w:val="24"/>
    </w:rPr>
  </w:style>
  <w:style w:type="paragraph" w:customStyle="1" w:styleId="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afffffffffffffffffffff5">
    <w:name w:val="图、表标题"/>
    <w:basedOn w:val="af6"/>
    <w:pPr>
      <w:topLinePunct/>
      <w:spacing w:before="0" w:beforeAutospacing="0" w:after="0" w:afterAutospacing="0" w:line="560" w:lineRule="exact"/>
      <w:jc w:val="center"/>
      <w:textAlignment w:val="center"/>
    </w:pPr>
    <w:rPr>
      <w:rFonts w:ascii="Cambria Math" w:eastAsia="Cambria Math" w:hAnsi="Arial" w:cs="Courier New"/>
      <w:kern w:val="2"/>
      <w:szCs w:val="20"/>
    </w:rPr>
  </w:style>
  <w:style w:type="paragraph" w:customStyle="1" w:styleId="NewNewNewNewNewNewNewNewNewNewNewNewNewNewNewNewNewNewNew0">
    <w:name w:val="页脚 New New New New New New New New New New New New New New New New New New New"/>
    <w:basedOn w:val="NewNewNewNewNewNewNewNewNewNewNewNewNewNewNewNewNewNewNewNewNewNewNewNewNewNewNewNewNewNewNewNewNewNewNewNewNew"/>
    <w:pPr>
      <w:tabs>
        <w:tab w:val="center" w:pos="4153"/>
        <w:tab w:val="right" w:pos="8306"/>
      </w:tabs>
      <w:snapToGrid w:val="0"/>
      <w:jc w:val="left"/>
    </w:pPr>
    <w:rPr>
      <w:rFonts w:eastAsia="Arial"/>
      <w:sz w:val="18"/>
      <w:szCs w:val="18"/>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pPr>
      <w:widowControl w:val="0"/>
      <w:jc w:val="both"/>
    </w:pPr>
    <w:rPr>
      <w:kern w:val="2"/>
      <w:sz w:val="21"/>
      <w:szCs w:val="24"/>
    </w:rPr>
  </w:style>
  <w:style w:type="paragraph" w:customStyle="1" w:styleId="NewNewNewNewNew">
    <w:name w:val="页脚 New New New New New"/>
    <w:basedOn w:val="NewNewNewNewNewNew"/>
    <w:pPr>
      <w:widowControl/>
      <w:tabs>
        <w:tab w:val="center" w:pos="4153"/>
        <w:tab w:val="right" w:pos="8306"/>
      </w:tabs>
      <w:snapToGrid w:val="0"/>
      <w:spacing w:line="360" w:lineRule="auto"/>
      <w:jc w:val="left"/>
    </w:pPr>
    <w:rPr>
      <w:rFonts w:ascii="Arial"/>
      <w:kern w:val="0"/>
      <w:sz w:val="18"/>
      <w:szCs w:val="20"/>
    </w:rPr>
  </w:style>
  <w:style w:type="paragraph" w:customStyle="1" w:styleId="NewNewNewNewNewNew">
    <w:name w:val="正文 New New New New New New"/>
    <w:pPr>
      <w:widowControl w:val="0"/>
      <w:jc w:val="both"/>
    </w:pPr>
    <w:rPr>
      <w:kern w:val="2"/>
      <w:sz w:val="21"/>
      <w:szCs w:val="24"/>
    </w:rPr>
  </w:style>
  <w:style w:type="paragraph" w:customStyle="1" w:styleId="xl62">
    <w:name w:val="xl62"/>
    <w:basedOn w:val="a0"/>
    <w:pPr>
      <w:widowControl/>
      <w:pBdr>
        <w:bottom w:val="single" w:sz="4" w:space="0" w:color="auto"/>
      </w:pBdr>
      <w:spacing w:before="100" w:beforeAutospacing="1" w:after="100" w:afterAutospacing="1"/>
      <w:jc w:val="center"/>
      <w:textAlignment w:val="center"/>
    </w:pPr>
    <w:rPr>
      <w:rFonts w:ascii="Arial" w:hAnsi="Arial" w:cs="Cambria Math"/>
      <w:kern w:val="0"/>
      <w:sz w:val="20"/>
      <w:szCs w:val="20"/>
    </w:rPr>
  </w:style>
  <w:style w:type="paragraph" w:customStyle="1" w:styleId="CompanyNameOne">
    <w:name w:val="Company Name One"/>
    <w:basedOn w:val="CompanyName"/>
    <w:next w:val="a0"/>
  </w:style>
  <w:style w:type="paragraph" w:customStyle="1" w:styleId="CompanyName">
    <w:name w:val="Company Name"/>
    <w:basedOn w:val="a0"/>
    <w:next w:val="a0"/>
    <w:pPr>
      <w:widowControl/>
      <w:tabs>
        <w:tab w:val="left" w:pos="2160"/>
        <w:tab w:val="right" w:pos="6480"/>
      </w:tabs>
      <w:spacing w:before="220" w:after="40" w:line="220" w:lineRule="atLeast"/>
      <w:ind w:right="-360"/>
      <w:jc w:val="left"/>
    </w:pPr>
    <w:rPr>
      <w:kern w:val="0"/>
      <w:sz w:val="20"/>
      <w:szCs w:val="20"/>
    </w:rPr>
  </w:style>
  <w:style w:type="paragraph" w:customStyle="1" w:styleId="NewNewNewNewNewNewNewNewNewNewNewNewNewNewNew0">
    <w:name w:val="页脚 New New New New New New New New New New New New New New New"/>
    <w:basedOn w:val="NewNewNewNewNewNewNewNewNewNewNewNewNewNewNewNewNewNew"/>
    <w:pPr>
      <w:tabs>
        <w:tab w:val="center" w:pos="4153"/>
        <w:tab w:val="right" w:pos="8306"/>
      </w:tabs>
      <w:snapToGrid w:val="0"/>
      <w:jc w:val="left"/>
    </w:pPr>
    <w:rPr>
      <w:sz w:val="18"/>
      <w:szCs w:val="18"/>
    </w:rPr>
  </w:style>
  <w:style w:type="paragraph" w:customStyle="1" w:styleId="CM8">
    <w:name w:val="CM8"/>
    <w:basedOn w:val="Default"/>
    <w:next w:val="Default"/>
    <w:pPr>
      <w:spacing w:line="580" w:lineRule="atLeast"/>
      <w:ind w:firstLineChars="0" w:firstLine="0"/>
      <w:jc w:val="left"/>
    </w:pPr>
    <w:rPr>
      <w:rFonts w:ascii="Arial" w:eastAsia="宋体" w:hAnsi="Arial"/>
      <w:kern w:val="0"/>
      <w:sz w:val="24"/>
    </w:rPr>
  </w:style>
  <w:style w:type="paragraph" w:customStyle="1" w:styleId="NormalNewNewNewNewNewNewNewNewNewNewNewNewNewNewNewNewNewNewNewNewNew">
    <w:name w:val="Normal New New New New New New New New New New New New New New New New New New New New New"/>
    <w:pPr>
      <w:jc w:val="both"/>
    </w:pPr>
    <w:rPr>
      <w:kern w:val="2"/>
      <w:sz w:val="21"/>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pPr>
      <w:widowControl w:val="0"/>
      <w:jc w:val="both"/>
    </w:pPr>
    <w:rPr>
      <w:kern w:val="2"/>
      <w:sz w:val="21"/>
      <w:szCs w:val="24"/>
    </w:rPr>
  </w:style>
  <w:style w:type="paragraph" w:customStyle="1" w:styleId="Objective">
    <w:name w:val="Objective"/>
    <w:basedOn w:val="a0"/>
    <w:next w:val="af2"/>
    <w:pPr>
      <w:widowControl/>
      <w:spacing w:before="220" w:after="220" w:line="220" w:lineRule="atLeast"/>
      <w:jc w:val="left"/>
    </w:pPr>
    <w:rPr>
      <w:kern w:val="0"/>
      <w:sz w:val="20"/>
      <w:szCs w:val="20"/>
    </w:rPr>
  </w:style>
  <w:style w:type="paragraph" w:customStyle="1" w:styleId="afffffffffffffffffffff6">
    <w:name w:val="杭州正文"/>
    <w:basedOn w:val="a0"/>
    <w:pPr>
      <w:tabs>
        <w:tab w:val="left" w:pos="630"/>
      </w:tabs>
      <w:spacing w:line="520" w:lineRule="exact"/>
      <w:ind w:firstLineChars="200" w:firstLine="560"/>
    </w:pPr>
    <w:rPr>
      <w:rFonts w:ascii="Arial" w:hAnsi="Arial"/>
      <w:sz w:val="28"/>
      <w:szCs w:val="28"/>
    </w:rPr>
  </w:style>
  <w:style w:type="paragraph" w:customStyle="1" w:styleId="afffffffffffffffffffff7">
    <w:name w:val="表格内"/>
    <w:basedOn w:val="a0"/>
    <w:pPr>
      <w:adjustRightInd w:val="0"/>
      <w:spacing w:line="240" w:lineRule="atLeast"/>
      <w:jc w:val="center"/>
      <w:textAlignment w:val="baseline"/>
    </w:pPr>
    <w:rPr>
      <w:rFonts w:ascii="Arial"/>
      <w:kern w:val="0"/>
      <w:sz w:val="28"/>
      <w:szCs w:val="28"/>
    </w:rPr>
  </w:style>
  <w:style w:type="paragraph" w:customStyle="1" w:styleId="lyq8">
    <w:name w:val="表内lyq"/>
    <w:basedOn w:val="affffffffff5"/>
    <w:pPr>
      <w:widowControl w:val="0"/>
      <w:tabs>
        <w:tab w:val="left" w:pos="567"/>
      </w:tabs>
      <w:adjustRightInd/>
      <w:snapToGrid/>
      <w:spacing w:line="320" w:lineRule="exact"/>
      <w:jc w:val="both"/>
    </w:pPr>
    <w:rPr>
      <w:kern w:val="2"/>
      <w:sz w:val="21"/>
      <w:szCs w:val="20"/>
    </w:rPr>
  </w:style>
  <w:style w:type="paragraph" w:customStyle="1" w:styleId="NormalNewNewNewNewNewNewNewNewNewNewNewNewNewNewNewNewNewNewNewNewNewNewNewNewNewNewNewNewNewNew">
    <w:name w:val="Normal New New New New New New New New New New New New New New New New New New New New New New New New New New New New New New"/>
    <w:pPr>
      <w:jc w:val="both"/>
    </w:pPr>
    <w:rPr>
      <w:kern w:val="2"/>
      <w:sz w:val="21"/>
    </w:rPr>
  </w:style>
  <w:style w:type="paragraph" w:customStyle="1" w:styleId="NormalNewNewNewNewNewNewNewNewNewNewNewNewNewNewNewNewNewNew">
    <w:name w:val="Normal New New New New New New New New New New New New New New New New New New"/>
    <w:pPr>
      <w:jc w:val="both"/>
    </w:pPr>
    <w:rPr>
      <w:kern w:val="2"/>
      <w:sz w:val="21"/>
    </w:rPr>
  </w:style>
  <w:style w:type="paragraph" w:customStyle="1" w:styleId="NewNewNewNewNewNewNewNewNewNewNewNewNewNewNewNew0">
    <w:name w:val="页脚 New New New New New New New New New New New New New New New New"/>
    <w:basedOn w:val="NewNewNewNewNewNewNewNewNewNewNewNewNewNewNewNewNewNewNew"/>
    <w:pPr>
      <w:tabs>
        <w:tab w:val="center" w:pos="4153"/>
        <w:tab w:val="right" w:pos="8306"/>
      </w:tabs>
      <w:snapToGrid w:val="0"/>
      <w:jc w:val="left"/>
    </w:pPr>
    <w:rPr>
      <w:sz w:val="18"/>
      <w:szCs w:val="18"/>
    </w:rPr>
  </w:style>
  <w:style w:type="paragraph" w:customStyle="1" w:styleId="Style3Lev3">
    <w:name w:val="Style3 Lev 3"/>
    <w:basedOn w:val="a0"/>
    <w:pPr>
      <w:widowControl/>
      <w:tabs>
        <w:tab w:val="left" w:pos="720"/>
        <w:tab w:val="left" w:pos="1066"/>
        <w:tab w:val="left" w:pos="1440"/>
        <w:tab w:val="left" w:pos="1771"/>
        <w:tab w:val="left" w:pos="2131"/>
      </w:tabs>
      <w:spacing w:line="240" w:lineRule="exact"/>
      <w:ind w:left="1440" w:hanging="1440"/>
    </w:pPr>
    <w:rPr>
      <w:kern w:val="0"/>
      <w:szCs w:val="20"/>
    </w:rPr>
  </w:style>
  <w:style w:type="paragraph" w:customStyle="1" w:styleId="xl51">
    <w:name w:val="xl51"/>
    <w:basedOn w:val="a0"/>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NewNewNewNewNewNewNewNewNewNewNewNewNewNew0">
    <w:name w:val="正文 New New New New New New New New New New New New New New"/>
    <w:pPr>
      <w:widowControl w:val="0"/>
      <w:jc w:val="both"/>
    </w:pPr>
    <w:rPr>
      <w:kern w:val="2"/>
      <w:sz w:val="21"/>
    </w:rPr>
  </w:style>
  <w:style w:type="paragraph" w:customStyle="1" w:styleId="afffffffffffffffffffff8">
    <w:name w:val="向"/>
    <w:basedOn w:val="a0"/>
    <w:pPr>
      <w:spacing w:line="520" w:lineRule="exact"/>
      <w:ind w:firstLineChars="200" w:firstLine="560"/>
    </w:pPr>
    <w:rPr>
      <w:rFonts w:ascii="Arial"/>
      <w:position w:val="2"/>
      <w:sz w:val="28"/>
      <w:szCs w:val="28"/>
    </w:rPr>
  </w:style>
  <w:style w:type="paragraph" w:customStyle="1" w:styleId="NormalNew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New"/>
    <w:pPr>
      <w:jc w:val="both"/>
    </w:pPr>
    <w:rPr>
      <w:kern w:val="2"/>
      <w:sz w:val="21"/>
    </w:rPr>
  </w:style>
  <w:style w:type="paragraph" w:customStyle="1" w:styleId="xl50">
    <w:name w:val="xl5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Cambria Math"/>
      <w:kern w:val="0"/>
      <w:sz w:val="20"/>
      <w:szCs w:val="20"/>
    </w:rPr>
  </w:style>
  <w:style w:type="paragraph" w:customStyle="1" w:styleId="xl52">
    <w:name w:val="xl52"/>
    <w:basedOn w:val="a0"/>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Cambria Math"/>
      <w:kern w:val="0"/>
      <w:sz w:val="20"/>
      <w:szCs w:val="20"/>
    </w:rPr>
  </w:style>
  <w:style w:type="paragraph" w:customStyle="1" w:styleId="183">
    <w:name w:val="表格18磅"/>
    <w:pPr>
      <w:adjustRightInd w:val="0"/>
      <w:snapToGrid w:val="0"/>
      <w:spacing w:line="360" w:lineRule="exact"/>
      <w:jc w:val="center"/>
    </w:pPr>
    <w:rPr>
      <w:kern w:val="2"/>
      <w:sz w:val="21"/>
      <w:szCs w:val="21"/>
    </w:rPr>
  </w:style>
  <w:style w:type="paragraph" w:customStyle="1" w:styleId="afffffffffffffffffffff9">
    <w:name w:val="节标"/>
    <w:basedOn w:val="a0"/>
    <w:pPr>
      <w:widowControl/>
      <w:autoSpaceDE w:val="0"/>
      <w:autoSpaceDN w:val="0"/>
      <w:adjustRightInd w:val="0"/>
      <w:spacing w:line="480" w:lineRule="exact"/>
      <w:ind w:firstLine="567"/>
      <w:jc w:val="center"/>
      <w:textAlignment w:val="bottom"/>
    </w:pPr>
    <w:rPr>
      <w:b/>
      <w:kern w:val="0"/>
      <w:sz w:val="30"/>
      <w:szCs w:val="20"/>
    </w:rPr>
  </w:style>
  <w:style w:type="paragraph" w:customStyle="1" w:styleId="CM22">
    <w:name w:val="CM22"/>
    <w:basedOn w:val="Default"/>
    <w:next w:val="Default"/>
    <w:pPr>
      <w:spacing w:line="443" w:lineRule="atLeast"/>
      <w:ind w:firstLineChars="0" w:firstLine="0"/>
      <w:jc w:val="left"/>
    </w:pPr>
    <w:rPr>
      <w:rFonts w:ascii="Arial" w:eastAsia="宋体"/>
      <w:kern w:val="0"/>
      <w:sz w:val="24"/>
    </w:rPr>
  </w:style>
  <w:style w:type="paragraph" w:customStyle="1" w:styleId="NewNewNewNewNewNewNewNewNewNewNewNewNew0">
    <w:name w:val="页脚 New New New New New New New New New New New New New"/>
    <w:basedOn w:val="NewNewNewNewNewNewNewNewNewNewNewNewNewNewNewNew"/>
    <w:pPr>
      <w:tabs>
        <w:tab w:val="center" w:pos="4153"/>
        <w:tab w:val="right" w:pos="8306"/>
      </w:tabs>
      <w:snapToGrid w:val="0"/>
      <w:jc w:val="left"/>
    </w:pPr>
    <w:rPr>
      <w:sz w:val="18"/>
      <w:szCs w:val="18"/>
    </w:rPr>
  </w:style>
  <w:style w:type="paragraph" w:customStyle="1" w:styleId="CM5">
    <w:name w:val="CM5"/>
    <w:basedOn w:val="Default"/>
    <w:next w:val="Default"/>
    <w:pPr>
      <w:spacing w:line="240" w:lineRule="auto"/>
      <w:ind w:firstLineChars="0" w:firstLine="0"/>
      <w:jc w:val="left"/>
    </w:pPr>
    <w:rPr>
      <w:rFonts w:ascii="Arial" w:eastAsia="宋体" w:hAnsi="Arial"/>
      <w:kern w:val="0"/>
      <w:sz w:val="24"/>
    </w:rPr>
  </w:style>
  <w:style w:type="paragraph" w:customStyle="1" w:styleId="NewNewNewNewNewNewNewNewNewNewNewNewNewNewNewNewNewNewNewNewNewNewNewNewNewNewNew">
    <w:name w:val="正文 New New New New New New New New New New New New New New New New New New New New New New New New New New New"/>
    <w:pPr>
      <w:widowControl w:val="0"/>
      <w:jc w:val="both"/>
    </w:pPr>
    <w:rPr>
      <w:kern w:val="2"/>
      <w:sz w:val="21"/>
      <w:szCs w:val="22"/>
    </w:rPr>
  </w:style>
  <w:style w:type="paragraph" w:customStyle="1" w:styleId="NewNewNewNewNewNewNewNewNew">
    <w:name w:val="页脚 New New New New New New New New New"/>
    <w:basedOn w:val="NewNewNewNewNewNewNewNewNewNew0"/>
    <w:pPr>
      <w:widowControl/>
      <w:tabs>
        <w:tab w:val="center" w:pos="4153"/>
        <w:tab w:val="right" w:pos="8306"/>
      </w:tabs>
      <w:snapToGrid w:val="0"/>
      <w:spacing w:line="360" w:lineRule="auto"/>
      <w:jc w:val="left"/>
    </w:pPr>
    <w:rPr>
      <w:rFonts w:ascii="Arial"/>
      <w:kern w:val="0"/>
      <w:sz w:val="18"/>
      <w:szCs w:val="20"/>
    </w:rPr>
  </w:style>
  <w:style w:type="paragraph" w:customStyle="1" w:styleId="NewNewNewNewNewNewNewNewNewNew0">
    <w:name w:val="正文 New New New New New New New New New New"/>
    <w:pPr>
      <w:widowControl w:val="0"/>
      <w:jc w:val="both"/>
    </w:pPr>
    <w:rPr>
      <w:kern w:val="2"/>
      <w:sz w:val="21"/>
      <w:szCs w:val="24"/>
    </w:rPr>
  </w:style>
  <w:style w:type="paragraph" w:customStyle="1" w:styleId="CM36">
    <w:name w:val="CM36"/>
    <w:basedOn w:val="Default"/>
    <w:next w:val="Default"/>
    <w:pPr>
      <w:spacing w:line="500" w:lineRule="atLeast"/>
      <w:ind w:firstLineChars="0" w:firstLine="0"/>
      <w:jc w:val="left"/>
    </w:pPr>
    <w:rPr>
      <w:rFonts w:ascii="Arial" w:eastAsia="宋体"/>
      <w:kern w:val="0"/>
      <w:sz w:val="24"/>
    </w:rPr>
  </w:style>
  <w:style w:type="paragraph" w:customStyle="1" w:styleId="CM14">
    <w:name w:val="CM14"/>
    <w:basedOn w:val="Default"/>
    <w:next w:val="Default"/>
    <w:pPr>
      <w:spacing w:line="498" w:lineRule="atLeast"/>
      <w:ind w:firstLineChars="0" w:firstLine="0"/>
      <w:jc w:val="left"/>
    </w:pPr>
    <w:rPr>
      <w:rFonts w:ascii="Arial" w:eastAsia="宋体"/>
      <w:kern w:val="0"/>
      <w:sz w:val="24"/>
    </w:rPr>
  </w:style>
  <w:style w:type="paragraph" w:customStyle="1" w:styleId="NewNewNewNewNewNew0">
    <w:name w:val="页脚 New New New New New New"/>
    <w:basedOn w:val="NewNewNewNewNewNewNew"/>
    <w:pPr>
      <w:widowControl/>
      <w:tabs>
        <w:tab w:val="center" w:pos="4153"/>
        <w:tab w:val="right" w:pos="8306"/>
      </w:tabs>
      <w:snapToGrid w:val="0"/>
      <w:spacing w:line="360" w:lineRule="auto"/>
      <w:jc w:val="left"/>
    </w:pPr>
    <w:rPr>
      <w:rFonts w:ascii="Arial"/>
      <w:kern w:val="0"/>
      <w:sz w:val="18"/>
      <w:szCs w:val="20"/>
    </w:rPr>
  </w:style>
  <w:style w:type="paragraph" w:customStyle="1" w:styleId="1fffffa">
    <w:name w:val="说明书1"/>
    <w:basedOn w:val="a0"/>
    <w:pPr>
      <w:spacing w:line="520" w:lineRule="exact"/>
      <w:ind w:firstLine="567"/>
    </w:pPr>
    <w:rPr>
      <w:sz w:val="28"/>
      <w:szCs w:val="20"/>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pPr>
      <w:widowControl w:val="0"/>
      <w:jc w:val="both"/>
    </w:pPr>
    <w:rPr>
      <w:kern w:val="2"/>
      <w:sz w:val="21"/>
      <w:szCs w:val="22"/>
    </w:rPr>
  </w:style>
  <w:style w:type="paragraph" w:customStyle="1" w:styleId="afffffffffffffffffffffa">
    <w:name w:val="缩进正文"/>
    <w:basedOn w:val="af3"/>
    <w:pPr>
      <w:adjustRightInd w:val="0"/>
      <w:snapToGrid w:val="0"/>
      <w:spacing w:line="300" w:lineRule="auto"/>
      <w:ind w:firstLineChars="200" w:firstLine="200"/>
    </w:pPr>
    <w:rPr>
      <w:rFonts w:ascii="Arial" w:eastAsia="宋体"/>
      <w:snapToGrid/>
      <w:kern w:val="2"/>
      <w:lang w:val="en-US" w:eastAsia="zh-CN"/>
    </w:rPr>
  </w:style>
  <w:style w:type="paragraph" w:customStyle="1" w:styleId="zhengwen">
    <w:name w:val="zhengwen"/>
    <w:basedOn w:val="af2"/>
    <w:pPr>
      <w:spacing w:line="520" w:lineRule="exact"/>
      <w:ind w:firstLine="539"/>
      <w:jc w:val="both"/>
    </w:pPr>
    <w:rPr>
      <w:rFonts w:cs="Arial"/>
      <w:color w:val="000000"/>
      <w:kern w:val="0"/>
      <w:sz w:val="28"/>
      <w:szCs w:val="20"/>
    </w:rPr>
  </w:style>
  <w:style w:type="paragraph" w:customStyle="1" w:styleId="NormalNewNewNewNewNewNewNewNewNewNewNewNewNewNew">
    <w:name w:val="Normal New New New New New New New New New New New New New New"/>
    <w:pPr>
      <w:jc w:val="both"/>
    </w:pPr>
    <w:rPr>
      <w:kern w:val="2"/>
      <w:sz w:val="21"/>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CM27">
    <w:name w:val="CM27"/>
    <w:basedOn w:val="Default"/>
    <w:next w:val="Default"/>
    <w:pPr>
      <w:spacing w:line="456" w:lineRule="atLeast"/>
      <w:ind w:firstLineChars="0" w:firstLine="0"/>
      <w:jc w:val="left"/>
    </w:pPr>
    <w:rPr>
      <w:rFonts w:ascii="Arial" w:eastAsia="宋体"/>
      <w:kern w:val="0"/>
      <w:sz w:val="24"/>
    </w:rPr>
  </w:style>
  <w:style w:type="paragraph" w:customStyle="1" w:styleId="1fffffb">
    <w:name w:val="条文1"/>
    <w:basedOn w:val="4"/>
    <w:pPr>
      <w:keepNext w:val="0"/>
      <w:keepLines w:val="0"/>
      <w:numPr>
        <w:ilvl w:val="3"/>
      </w:numPr>
      <w:adjustRightInd w:val="0"/>
      <w:spacing w:line="460" w:lineRule="exact"/>
      <w:ind w:left="907" w:hanging="425"/>
      <w:textAlignment w:val="baseline"/>
      <w:outlineLvl w:val="9"/>
    </w:pPr>
    <w:rPr>
      <w:rFonts w:ascii="Times New Roman" w:eastAsia="Arial"/>
      <w:b w:val="0"/>
      <w:bCs w:val="0"/>
      <w:spacing w:val="3"/>
      <w:kern w:val="24"/>
      <w:szCs w:val="20"/>
    </w:rPr>
  </w:style>
  <w:style w:type="paragraph" w:customStyle="1" w:styleId="CM46">
    <w:name w:val="CM46"/>
    <w:basedOn w:val="Default"/>
    <w:next w:val="Default"/>
    <w:pPr>
      <w:spacing w:line="468" w:lineRule="atLeast"/>
      <w:ind w:firstLineChars="0" w:firstLine="0"/>
      <w:jc w:val="left"/>
    </w:pPr>
    <w:rPr>
      <w:rFonts w:ascii="Arial" w:eastAsia="宋体"/>
      <w:kern w:val="0"/>
      <w:sz w:val="24"/>
    </w:rPr>
  </w:style>
  <w:style w:type="paragraph" w:customStyle="1" w:styleId="Address1">
    <w:name w:val="Address 1"/>
    <w:basedOn w:val="a0"/>
    <w:pPr>
      <w:widowControl/>
      <w:spacing w:line="200" w:lineRule="atLeast"/>
      <w:jc w:val="left"/>
    </w:pPr>
    <w:rPr>
      <w:kern w:val="0"/>
      <w:sz w:val="16"/>
      <w:szCs w:val="20"/>
    </w:rPr>
  </w:style>
  <w:style w:type="paragraph" w:customStyle="1" w:styleId="afffffffffffffffffffffb">
    <w:name w:val="上海"/>
    <w:basedOn w:val="a0"/>
    <w:pPr>
      <w:tabs>
        <w:tab w:val="left" w:pos="4620"/>
      </w:tabs>
      <w:spacing w:line="520" w:lineRule="exact"/>
      <w:ind w:firstLineChars="1200" w:firstLine="2530"/>
    </w:pPr>
    <w:rPr>
      <w:rFonts w:ascii="Cambria Math" w:eastAsia="Cambria Math" w:hAnsi="Arial"/>
      <w:b/>
      <w:color w:val="000000"/>
      <w:szCs w:val="21"/>
    </w:rPr>
  </w:style>
  <w:style w:type="paragraph" w:customStyle="1" w:styleId="2ffffb">
    <w:name w:val="报告－2"/>
    <w:basedOn w:val="2"/>
    <w:pPr>
      <w:widowControl/>
      <w:numPr>
        <w:ilvl w:val="1"/>
      </w:numPr>
      <w:tabs>
        <w:tab w:val="left" w:pos="1560"/>
      </w:tabs>
      <w:snapToGrid w:val="0"/>
      <w:spacing w:beforeLines="50" w:afterLines="150" w:line="520" w:lineRule="exact"/>
      <w:jc w:val="both"/>
    </w:pPr>
    <w:rPr>
      <w:rFonts w:ascii="Cambria Math" w:eastAsia="Arial" w:cs="Arial"/>
      <w:kern w:val="0"/>
      <w:position w:val="2"/>
      <w:szCs w:val="20"/>
    </w:rPr>
  </w:style>
  <w:style w:type="paragraph" w:customStyle="1" w:styleId="CM30">
    <w:name w:val="CM30"/>
    <w:basedOn w:val="Default"/>
    <w:next w:val="Default"/>
    <w:pPr>
      <w:spacing w:line="511" w:lineRule="atLeast"/>
      <w:ind w:firstLineChars="0" w:firstLine="0"/>
      <w:jc w:val="left"/>
    </w:pPr>
    <w:rPr>
      <w:rFonts w:ascii="Arial" w:eastAsia="宋体"/>
      <w:kern w:val="0"/>
      <w:sz w:val="24"/>
    </w:rPr>
  </w:style>
  <w:style w:type="paragraph" w:customStyle="1" w:styleId="afffffffffffffffffffffc">
    <w:name w:val="济格"/>
    <w:basedOn w:val="a0"/>
    <w:pPr>
      <w:spacing w:line="320" w:lineRule="exact"/>
      <w:jc w:val="center"/>
    </w:pPr>
    <w:rPr>
      <w:rFonts w:ascii="Arial" w:hAnsi="Arial"/>
      <w:szCs w:val="21"/>
    </w:rPr>
  </w:style>
  <w:style w:type="paragraph" w:customStyle="1" w:styleId="CM47">
    <w:name w:val="CM47"/>
    <w:basedOn w:val="Default"/>
    <w:next w:val="Default"/>
    <w:pPr>
      <w:spacing w:line="508" w:lineRule="atLeast"/>
      <w:ind w:firstLineChars="0" w:firstLine="0"/>
      <w:jc w:val="left"/>
    </w:pPr>
    <w:rPr>
      <w:rFonts w:ascii="Arial" w:eastAsia="宋体"/>
      <w:kern w:val="0"/>
      <w:sz w:val="24"/>
    </w:rPr>
  </w:style>
  <w:style w:type="paragraph" w:customStyle="1" w:styleId="TimesNewRoman05">
    <w:name w:val="样式 正文一级标题 + (西文) Times New Roman (中文) 宋体 小三 段前: 0.5 行"/>
    <w:basedOn w:val="afffffffffffffffffff4"/>
    <w:pPr>
      <w:spacing w:beforeLines="0"/>
    </w:pPr>
    <w:rPr>
      <w:rFonts w:ascii="Times New Roman" w:cs="Arial"/>
      <w:szCs w:val="20"/>
    </w:rPr>
  </w:style>
  <w:style w:type="paragraph" w:customStyle="1" w:styleId="CM73">
    <w:name w:val="CM73"/>
    <w:basedOn w:val="Default"/>
    <w:next w:val="Default"/>
    <w:pPr>
      <w:spacing w:after="280" w:line="240" w:lineRule="auto"/>
      <w:ind w:firstLineChars="0" w:firstLine="0"/>
      <w:jc w:val="left"/>
    </w:pPr>
    <w:rPr>
      <w:rFonts w:ascii="Arial" w:eastAsia="宋体"/>
      <w:kern w:val="0"/>
      <w:sz w:val="24"/>
    </w:rPr>
  </w:style>
  <w:style w:type="paragraph" w:customStyle="1" w:styleId="NormalNewNewNewNewNewNewNewNewNewNew">
    <w:name w:val="Normal New New New New New New New New New New"/>
    <w:pPr>
      <w:jc w:val="both"/>
    </w:pPr>
    <w:rPr>
      <w:kern w:val="2"/>
      <w:sz w:val="21"/>
    </w:rPr>
  </w:style>
  <w:style w:type="paragraph" w:customStyle="1" w:styleId="NewNewNewNewNewNewNewNewNewNewNewNewNewNewNewNewNewNew0">
    <w:name w:val="页脚 New New New New New New New New New New New New New New New New New New"/>
    <w:basedOn w:val="NewNewNewNewNewNewNewNewNewNewNewNewNewNewNewNewNewNewNewNewNewNewNewNewNewNewNewNewNewNewNewNew"/>
    <w:pPr>
      <w:tabs>
        <w:tab w:val="center" w:pos="4153"/>
        <w:tab w:val="right" w:pos="8306"/>
      </w:tabs>
      <w:snapToGrid w:val="0"/>
      <w:jc w:val="left"/>
    </w:pPr>
    <w:rPr>
      <w:rFonts w:eastAsia="Arial"/>
      <w:sz w:val="18"/>
      <w:szCs w:val="18"/>
    </w:rPr>
  </w:style>
  <w:style w:type="paragraph" w:customStyle="1" w:styleId="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afffffffffffffffffffffd">
    <w:name w:val="小Ꮄ"/>
    <w:basedOn w:val="a0"/>
    <w:pPr>
      <w:spacing w:before="60" w:after="60" w:line="360" w:lineRule="auto"/>
    </w:pPr>
    <w:rPr>
      <w:szCs w:val="21"/>
    </w:rPr>
  </w:style>
  <w:style w:type="paragraph" w:customStyle="1" w:styleId="Normal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w:pPr>
      <w:jc w:val="both"/>
    </w:pPr>
    <w:rPr>
      <w:kern w:val="2"/>
      <w:sz w:val="21"/>
    </w:rPr>
  </w:style>
  <w:style w:type="paragraph" w:customStyle="1" w:styleId="NormalNewNewNewNewNewNewNewNewNewNewNewNewNewNewNewNewNewNewNew">
    <w:name w:val="Normal New New New New New New New New New New New New New New New New New New New"/>
    <w:pPr>
      <w:jc w:val="both"/>
    </w:pPr>
    <w:rPr>
      <w:kern w:val="2"/>
      <w:sz w:val="21"/>
    </w:rPr>
  </w:style>
  <w:style w:type="paragraph" w:customStyle="1" w:styleId="NewNewNewNewNewNewNewNewNewNewNewNewNewNewNewNewNew0">
    <w:name w:val="页脚 New New New New New New New New New New New New New New New New New"/>
    <w:basedOn w:val="NewNewNewNewNewNewNewNewNewNewNewNewNewNewNewNewNewNewNewNewNewNewNewNew"/>
    <w:pPr>
      <w:tabs>
        <w:tab w:val="center" w:pos="4153"/>
        <w:tab w:val="right" w:pos="8306"/>
      </w:tabs>
      <w:snapToGrid w:val="0"/>
      <w:jc w:val="left"/>
    </w:pPr>
    <w:rPr>
      <w:rFonts w:eastAsia="Arial"/>
      <w:sz w:val="18"/>
      <w:szCs w:val="18"/>
    </w:rPr>
  </w:style>
  <w:style w:type="paragraph" w:customStyle="1" w:styleId="NewNewNewNewNewNewNewNewNewNewNewNewNewNewNewNewNewNewNewNewNewNewNewNew">
    <w:name w:val="正文 New New New New New New New New New New New New New New New New New New New New New New New New"/>
    <w:pPr>
      <w:widowControl w:val="0"/>
      <w:jc w:val="both"/>
    </w:pPr>
    <w:rPr>
      <w:kern w:val="2"/>
      <w:sz w:val="21"/>
      <w:szCs w:val="24"/>
    </w:rPr>
  </w:style>
  <w:style w:type="paragraph" w:customStyle="1" w:styleId="afffffffffffffffffffffe">
    <w:name w:val="报告节"/>
    <w:basedOn w:val="2"/>
    <w:pPr>
      <w:keepLines/>
      <w:numPr>
        <w:ilvl w:val="1"/>
      </w:numPr>
      <w:spacing w:after="360" w:line="520" w:lineRule="exact"/>
      <w:jc w:val="center"/>
    </w:pPr>
    <w:rPr>
      <w:rFonts w:ascii="方正仿宋简体" w:eastAsia="方正仿宋简体"/>
      <w:bCs w:val="0"/>
      <w:snapToGrid w:val="0"/>
      <w:kern w:val="0"/>
    </w:rPr>
  </w:style>
  <w:style w:type="paragraph" w:customStyle="1" w:styleId="New1">
    <w:name w:val="页眉 New"/>
    <w:basedOn w:val="a0"/>
    <w:pPr>
      <w:pBdr>
        <w:bottom w:val="single" w:sz="6" w:space="1" w:color="auto"/>
      </w:pBdr>
      <w:tabs>
        <w:tab w:val="center" w:pos="4153"/>
        <w:tab w:val="right" w:pos="8306"/>
      </w:tabs>
      <w:snapToGrid w:val="0"/>
      <w:spacing w:line="360" w:lineRule="auto"/>
      <w:ind w:firstLineChars="200" w:firstLine="200"/>
      <w:jc w:val="center"/>
    </w:pPr>
    <w:rPr>
      <w:sz w:val="18"/>
      <w:szCs w:val="18"/>
    </w:rPr>
  </w:style>
  <w:style w:type="paragraph" w:customStyle="1" w:styleId="NormalNewNewNewNewNewNewNewNewNewNewNewNewNewNewNewNewNewNewNewNew">
    <w:name w:val="Normal New New New New New New New New New New New New New New New New New New New New"/>
    <w:pPr>
      <w:jc w:val="both"/>
    </w:pPr>
    <w:rPr>
      <w:kern w:val="2"/>
      <w:sz w:val="21"/>
    </w:rPr>
  </w:style>
  <w:style w:type="paragraph" w:customStyle="1" w:styleId="2ffffc">
    <w:name w:val="报告标题2"/>
    <w:basedOn w:val="a0"/>
    <w:pPr>
      <w:spacing w:line="520" w:lineRule="exact"/>
    </w:pPr>
    <w:rPr>
      <w:rFonts w:ascii="Arial"/>
      <w:b/>
      <w:snapToGrid w:val="0"/>
      <w:kern w:val="0"/>
      <w:sz w:val="28"/>
      <w:szCs w:val="28"/>
    </w:rPr>
  </w:style>
  <w:style w:type="paragraph" w:customStyle="1" w:styleId="NormalNewNewNewNew">
    <w:name w:val="Normal New New New New"/>
    <w:pPr>
      <w:jc w:val="both"/>
    </w:pPr>
    <w:rPr>
      <w:kern w:val="2"/>
      <w:sz w:val="21"/>
    </w:rPr>
  </w:style>
  <w:style w:type="paragraph" w:customStyle="1" w:styleId="affffffffffffffffffffff">
    <w:name w:val="兖矿表格"/>
    <w:basedOn w:val="a0"/>
    <w:pPr>
      <w:spacing w:line="520" w:lineRule="exact"/>
      <w:jc w:val="center"/>
    </w:pPr>
    <w:rPr>
      <w:rFonts w:ascii="Cambria Math" w:eastAsia="Cambria Math" w:hAnsi="Arial" w:cs="Arial"/>
      <w:b/>
      <w:szCs w:val="21"/>
    </w:rPr>
  </w:style>
  <w:style w:type="paragraph" w:customStyle="1" w:styleId="NewNewNewNewNewNewNewNewNewNewNewNewNewNewNewNewNewNewNewNewNewNewNewNewNew">
    <w:name w:val="正文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
    <w:name w:val="正文 New New New New New New New New New New New New New New New New New New New New New New"/>
    <w:pPr>
      <w:widowControl w:val="0"/>
      <w:jc w:val="both"/>
    </w:pPr>
    <w:rPr>
      <w:kern w:val="2"/>
      <w:sz w:val="21"/>
      <w:szCs w:val="22"/>
    </w:rPr>
  </w:style>
  <w:style w:type="paragraph" w:customStyle="1" w:styleId="NormalNewNewNewNewNewNewNewNewNewNewNewNewNewNewNewNewNewNewNewNewNewNewNewNew">
    <w:name w:val="Normal New New New New New New New New New New New New New New New New New New New New New New New New"/>
    <w:pPr>
      <w:jc w:val="both"/>
    </w:pPr>
    <w:rPr>
      <w:kern w:val="2"/>
      <w:sz w:val="21"/>
    </w:rPr>
  </w:style>
  <w:style w:type="paragraph" w:customStyle="1" w:styleId="NewNewNewNewNewNewNewNewNew0">
    <w:name w:val="正文 New New New New New New New New New"/>
    <w:pPr>
      <w:widowControl w:val="0"/>
      <w:jc w:val="both"/>
    </w:pPr>
    <w:rPr>
      <w:kern w:val="2"/>
      <w:sz w:val="21"/>
      <w:szCs w:val="24"/>
    </w:rPr>
  </w:style>
  <w:style w:type="paragraph" w:customStyle="1" w:styleId="CM57">
    <w:name w:val="CM57"/>
    <w:basedOn w:val="Default"/>
    <w:next w:val="Default"/>
    <w:pPr>
      <w:spacing w:after="673" w:line="240" w:lineRule="auto"/>
      <w:ind w:firstLineChars="0" w:firstLine="0"/>
      <w:jc w:val="left"/>
    </w:pPr>
    <w:rPr>
      <w:rFonts w:ascii="Arial" w:eastAsia="宋体"/>
      <w:kern w:val="0"/>
      <w:sz w:val="24"/>
    </w:rPr>
  </w:style>
  <w:style w:type="paragraph" w:customStyle="1" w:styleId="NewNewNewNewNew0">
    <w:name w:val="正文 New New New New New"/>
    <w:pPr>
      <w:widowControl w:val="0"/>
      <w:jc w:val="both"/>
    </w:pPr>
    <w:rPr>
      <w:kern w:val="2"/>
      <w:sz w:val="21"/>
      <w:szCs w:val="24"/>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pPr>
      <w:widowControl w:val="0"/>
      <w:jc w:val="both"/>
    </w:pPr>
    <w:rPr>
      <w:kern w:val="2"/>
      <w:sz w:val="21"/>
      <w:szCs w:val="22"/>
    </w:rPr>
  </w:style>
  <w:style w:type="paragraph" w:customStyle="1" w:styleId="NewNew2">
    <w:name w:val="页眉 New New"/>
    <w:basedOn w:val="a0"/>
    <w:pPr>
      <w:pBdr>
        <w:bottom w:val="single" w:sz="6" w:space="1" w:color="auto"/>
      </w:pBdr>
      <w:tabs>
        <w:tab w:val="center" w:pos="4153"/>
        <w:tab w:val="right" w:pos="8306"/>
      </w:tabs>
      <w:snapToGrid w:val="0"/>
      <w:spacing w:line="360" w:lineRule="auto"/>
      <w:ind w:firstLineChars="200" w:firstLine="200"/>
      <w:jc w:val="center"/>
    </w:pPr>
    <w:rPr>
      <w:sz w:val="18"/>
      <w:szCs w:val="18"/>
    </w:rPr>
  </w:style>
  <w:style w:type="paragraph" w:customStyle="1" w:styleId="CM55">
    <w:name w:val="CM55"/>
    <w:basedOn w:val="Default"/>
    <w:next w:val="Default"/>
    <w:pPr>
      <w:spacing w:after="118" w:line="240" w:lineRule="auto"/>
      <w:ind w:firstLineChars="0" w:firstLine="0"/>
      <w:jc w:val="left"/>
    </w:pPr>
    <w:rPr>
      <w:rFonts w:ascii="Arial" w:eastAsia="宋体"/>
      <w:kern w:val="0"/>
      <w:sz w:val="24"/>
    </w:rPr>
  </w:style>
  <w:style w:type="paragraph" w:customStyle="1" w:styleId="New2">
    <w:name w:val="页脚 New"/>
    <w:basedOn w:val="NewNew"/>
    <w:pPr>
      <w:widowControl/>
      <w:tabs>
        <w:tab w:val="center" w:pos="4153"/>
        <w:tab w:val="right" w:pos="8306"/>
      </w:tabs>
      <w:snapToGrid w:val="0"/>
      <w:spacing w:line="360" w:lineRule="auto"/>
      <w:jc w:val="left"/>
    </w:pPr>
    <w:rPr>
      <w:rFonts w:ascii="Arial"/>
      <w:kern w:val="0"/>
      <w:sz w:val="18"/>
      <w:szCs w:val="20"/>
    </w:rPr>
  </w:style>
  <w:style w:type="paragraph" w:customStyle="1" w:styleId="NewNewNewNewNewNewNewNewNewNewNew0">
    <w:name w:val="页脚 New New New New New New New New New New New"/>
    <w:basedOn w:val="NewNewNewNewNewNewNewNewNewNewNewNew"/>
    <w:pPr>
      <w:widowControl/>
      <w:tabs>
        <w:tab w:val="center" w:pos="4153"/>
        <w:tab w:val="right" w:pos="8306"/>
      </w:tabs>
      <w:snapToGrid w:val="0"/>
      <w:spacing w:line="360" w:lineRule="auto"/>
      <w:jc w:val="left"/>
    </w:pPr>
    <w:rPr>
      <w:rFonts w:ascii="Arial"/>
      <w:kern w:val="0"/>
      <w:sz w:val="18"/>
      <w:szCs w:val="20"/>
    </w:rPr>
  </w:style>
  <w:style w:type="paragraph" w:customStyle="1" w:styleId="NewNewNewNewNewNewNewNewNewNewNewNewNewNewNewNewNewNewNewNewNewNewNewNewNewNewNewNewNewNewNewNewNewNew">
    <w:name w:val="正文 New New New New New New New New New New New New New New New New New New New New New New New New New New New New New New New New New New"/>
    <w:pPr>
      <w:widowControl w:val="0"/>
      <w:jc w:val="both"/>
    </w:pPr>
    <w:rPr>
      <w:kern w:val="2"/>
      <w:sz w:val="21"/>
      <w:szCs w:val="22"/>
    </w:rPr>
  </w:style>
  <w:style w:type="paragraph" w:customStyle="1" w:styleId="affffffffffffffffffffff0">
    <w:name w:val="说明书"/>
    <w:basedOn w:val="af6"/>
    <w:link w:val="Charfffff3"/>
    <w:pPr>
      <w:widowControl w:val="0"/>
      <w:spacing w:before="0" w:beforeAutospacing="0" w:after="0" w:afterAutospacing="0" w:line="400" w:lineRule="exact"/>
      <w:ind w:firstLine="200"/>
      <w:jc w:val="both"/>
    </w:pPr>
    <w:rPr>
      <w:rFonts w:ascii="Arial" w:hAnsi="Arial"/>
      <w:kern w:val="2"/>
      <w:szCs w:val="20"/>
      <w:lang w:val="x-none" w:eastAsia="x-none"/>
    </w:rPr>
  </w:style>
  <w:style w:type="character" w:customStyle="1" w:styleId="Charfffff3">
    <w:name w:val="说明书 Char"/>
    <w:link w:val="affffffffffffffffffffff0"/>
    <w:rPr>
      <w:rFonts w:ascii="Arial" w:hAnsi="Arial" w:cs="Courier New"/>
      <w:kern w:val="2"/>
      <w:sz w:val="24"/>
    </w:rPr>
  </w:style>
  <w:style w:type="paragraph" w:customStyle="1" w:styleId="CM3">
    <w:name w:val="CM3"/>
    <w:basedOn w:val="Default"/>
    <w:next w:val="Default"/>
    <w:pPr>
      <w:spacing w:line="580" w:lineRule="atLeast"/>
      <w:ind w:firstLineChars="0" w:firstLine="0"/>
      <w:jc w:val="left"/>
    </w:pPr>
    <w:rPr>
      <w:rFonts w:ascii="Arial" w:eastAsia="宋体" w:hAnsi="Arial"/>
      <w:kern w:val="0"/>
      <w:sz w:val="24"/>
    </w:rPr>
  </w:style>
  <w:style w:type="paragraph" w:customStyle="1" w:styleId="CM24">
    <w:name w:val="CM24"/>
    <w:basedOn w:val="Default"/>
    <w:next w:val="Default"/>
    <w:pPr>
      <w:spacing w:line="468" w:lineRule="atLeast"/>
      <w:ind w:firstLineChars="0" w:firstLine="0"/>
      <w:jc w:val="left"/>
    </w:pPr>
    <w:rPr>
      <w:rFonts w:ascii="Arial" w:eastAsia="宋体"/>
      <w:kern w:val="0"/>
      <w:sz w:val="24"/>
    </w:rPr>
  </w:style>
  <w:style w:type="paragraph" w:customStyle="1" w:styleId="NormalNewNewNewNewNewNew">
    <w:name w:val="Normal New New New New New New"/>
    <w:pPr>
      <w:jc w:val="both"/>
    </w:pPr>
    <w:rPr>
      <w:kern w:val="2"/>
      <w:sz w:val="21"/>
    </w:rPr>
  </w:style>
  <w:style w:type="paragraph" w:customStyle="1" w:styleId="affffffffffffffffffffff1">
    <w:name w:val="九江表格表题"/>
    <w:basedOn w:val="a0"/>
    <w:pPr>
      <w:spacing w:line="520" w:lineRule="exact"/>
      <w:jc w:val="center"/>
    </w:pPr>
    <w:rPr>
      <w:rFonts w:ascii="Cambria Math" w:eastAsia="Cambria Math" w:hAnsi="Arial"/>
      <w:b/>
    </w:rPr>
  </w:style>
  <w:style w:type="paragraph" w:customStyle="1" w:styleId="NormalNewNewNewNewNewNewNewNewNewNewNewNewNewNewNew">
    <w:name w:val="Normal New New New New New New New New New New New New New New New"/>
    <w:pPr>
      <w:jc w:val="both"/>
    </w:pPr>
    <w:rPr>
      <w:kern w:val="2"/>
      <w:sz w:val="21"/>
    </w:rPr>
  </w:style>
  <w:style w:type="paragraph" w:customStyle="1" w:styleId="CM61">
    <w:name w:val="CM61"/>
    <w:basedOn w:val="Default"/>
    <w:next w:val="Default"/>
    <w:pPr>
      <w:spacing w:after="195" w:line="240" w:lineRule="auto"/>
      <w:ind w:firstLineChars="0" w:firstLine="0"/>
      <w:jc w:val="left"/>
    </w:pPr>
    <w:rPr>
      <w:rFonts w:ascii="Arial" w:eastAsia="宋体"/>
      <w:kern w:val="0"/>
      <w:sz w:val="24"/>
    </w:rPr>
  </w:style>
  <w:style w:type="paragraph" w:customStyle="1" w:styleId="NewNewNewNewNewNewNewNew">
    <w:name w:val="页脚 New New New New New New New New"/>
    <w:basedOn w:val="NewNewNewNewNewNewNewNewNew0"/>
    <w:pPr>
      <w:widowControl/>
      <w:tabs>
        <w:tab w:val="center" w:pos="4153"/>
        <w:tab w:val="right" w:pos="8306"/>
      </w:tabs>
      <w:snapToGrid w:val="0"/>
      <w:spacing w:line="360" w:lineRule="auto"/>
      <w:jc w:val="left"/>
    </w:pPr>
    <w:rPr>
      <w:rFonts w:ascii="Arial"/>
      <w:kern w:val="0"/>
      <w:sz w:val="18"/>
      <w:szCs w:val="20"/>
    </w:rPr>
  </w:style>
  <w:style w:type="paragraph" w:customStyle="1" w:styleId="CM29">
    <w:name w:val="CM29"/>
    <w:basedOn w:val="Default"/>
    <w:next w:val="Default"/>
    <w:pPr>
      <w:spacing w:line="503" w:lineRule="atLeast"/>
      <w:ind w:firstLineChars="0" w:firstLine="0"/>
      <w:jc w:val="left"/>
    </w:pPr>
    <w:rPr>
      <w:rFonts w:ascii="Arial" w:eastAsia="宋体"/>
      <w:kern w:val="0"/>
      <w:sz w:val="24"/>
    </w:rPr>
  </w:style>
  <w:style w:type="paragraph" w:customStyle="1" w:styleId="New3">
    <w:name w:val="日期 New"/>
    <w:basedOn w:val="a0"/>
    <w:next w:val="a0"/>
    <w:pPr>
      <w:spacing w:line="360" w:lineRule="auto"/>
      <w:ind w:leftChars="2500" w:left="100" w:firstLineChars="200" w:firstLine="200"/>
    </w:pPr>
  </w:style>
  <w:style w:type="paragraph" w:customStyle="1" w:styleId="241">
    <w:name w:val="样式 四号 行距: 固定值 24 磅"/>
    <w:basedOn w:val="a0"/>
    <w:pPr>
      <w:spacing w:line="480" w:lineRule="exact"/>
    </w:pPr>
    <w:rPr>
      <w:sz w:val="28"/>
      <w:szCs w:val="20"/>
    </w:rPr>
  </w:style>
  <w:style w:type="paragraph" w:customStyle="1" w:styleId="affffffffffffffffffffff2">
    <w:name w:val="大炼油正文标题"/>
    <w:basedOn w:val="a0"/>
    <w:pPr>
      <w:spacing w:line="520" w:lineRule="exact"/>
    </w:pPr>
    <w:rPr>
      <w:rFonts w:ascii="Cambria Math" w:eastAsia="Cambria Math"/>
      <w:sz w:val="28"/>
      <w:szCs w:val="28"/>
    </w:rPr>
  </w:style>
  <w:style w:type="paragraph" w:customStyle="1" w:styleId="NewNewNewNew0">
    <w:name w:val="页脚 New New New New"/>
    <w:basedOn w:val="NewNewNewNewNew0"/>
    <w:pPr>
      <w:widowControl/>
      <w:tabs>
        <w:tab w:val="center" w:pos="4153"/>
        <w:tab w:val="right" w:pos="8306"/>
      </w:tabs>
      <w:snapToGrid w:val="0"/>
      <w:spacing w:line="360" w:lineRule="auto"/>
      <w:jc w:val="left"/>
    </w:pPr>
    <w:rPr>
      <w:rFonts w:ascii="Arial"/>
      <w:kern w:val="0"/>
      <w:sz w:val="18"/>
      <w:szCs w:val="20"/>
    </w:rPr>
  </w:style>
  <w:style w:type="paragraph" w:customStyle="1" w:styleId="NormalNewNewNewNewNew">
    <w:name w:val="Normal New New New New New"/>
    <w:pPr>
      <w:jc w:val="both"/>
    </w:pPr>
    <w:rPr>
      <w:kern w:val="2"/>
      <w:sz w:val="21"/>
    </w:rPr>
  </w:style>
  <w:style w:type="paragraph" w:customStyle="1" w:styleId="affffffffffffffffffffff3">
    <w:name w:val="报告的正文"/>
    <w:basedOn w:val="a0"/>
    <w:pPr>
      <w:tabs>
        <w:tab w:val="left" w:pos="630"/>
      </w:tabs>
      <w:spacing w:line="520" w:lineRule="exact"/>
      <w:ind w:firstLineChars="200" w:firstLine="560"/>
    </w:pPr>
    <w:rPr>
      <w:rFonts w:ascii="Arial"/>
      <w:position w:val="2"/>
      <w:sz w:val="28"/>
      <w:szCs w:val="20"/>
    </w:rPr>
  </w:style>
  <w:style w:type="paragraph" w:customStyle="1" w:styleId="xl54">
    <w:name w:val="xl54"/>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pPr>
      <w:widowControl w:val="0"/>
      <w:jc w:val="both"/>
    </w:pPr>
    <w:rPr>
      <w:kern w:val="2"/>
      <w:sz w:val="21"/>
      <w:szCs w:val="22"/>
    </w:rPr>
  </w:style>
  <w:style w:type="paragraph" w:customStyle="1" w:styleId="77">
    <w:name w:val="样式7"/>
    <w:basedOn w:val="1"/>
    <w:pPr>
      <w:spacing w:beforeLines="0" w:before="0" w:afterLines="0" w:after="0" w:line="520" w:lineRule="exact"/>
    </w:pPr>
    <w:rPr>
      <w:rFonts w:ascii="Times New Roman" w:eastAsia="Cambria Math" w:hAnsi="Times New Roman"/>
      <w:bCs/>
      <w:kern w:val="0"/>
      <w:szCs w:val="32"/>
    </w:rPr>
  </w:style>
  <w:style w:type="paragraph" w:customStyle="1" w:styleId="NormalNewNewNewNewNewNewNewNewNew">
    <w:name w:val="Normal New New New New New New New New New"/>
    <w:pPr>
      <w:jc w:val="both"/>
    </w:pPr>
    <w:rPr>
      <w:kern w:val="2"/>
      <w:sz w:val="21"/>
    </w:rPr>
  </w:style>
  <w:style w:type="paragraph" w:customStyle="1" w:styleId="NewNewNew0">
    <w:name w:val="页脚 New New New"/>
    <w:basedOn w:val="NewNewNewNew"/>
    <w:pPr>
      <w:widowControl/>
      <w:tabs>
        <w:tab w:val="center" w:pos="4153"/>
        <w:tab w:val="right" w:pos="8306"/>
      </w:tabs>
      <w:snapToGrid w:val="0"/>
      <w:spacing w:line="360" w:lineRule="auto"/>
      <w:jc w:val="left"/>
    </w:pPr>
    <w:rPr>
      <w:rFonts w:ascii="Arial"/>
      <w:kern w:val="0"/>
      <w:sz w:val="18"/>
      <w:szCs w:val="20"/>
    </w:rPr>
  </w:style>
  <w:style w:type="paragraph" w:customStyle="1" w:styleId="Normal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w:pPr>
      <w:jc w:val="both"/>
    </w:pPr>
    <w:rPr>
      <w:kern w:val="2"/>
      <w:sz w:val="21"/>
    </w:rPr>
  </w:style>
  <w:style w:type="paragraph" w:customStyle="1" w:styleId="Normal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w:pPr>
      <w:jc w:val="both"/>
    </w:pPr>
    <w:rPr>
      <w:kern w:val="2"/>
      <w:sz w:val="21"/>
    </w:rPr>
  </w:style>
  <w:style w:type="paragraph" w:customStyle="1" w:styleId="CM50">
    <w:name w:val="CM50"/>
    <w:basedOn w:val="Default"/>
    <w:next w:val="Default"/>
    <w:pPr>
      <w:spacing w:after="410" w:line="240" w:lineRule="auto"/>
      <w:ind w:firstLineChars="0" w:firstLine="0"/>
      <w:jc w:val="left"/>
    </w:pPr>
    <w:rPr>
      <w:rFonts w:ascii="Arial" w:eastAsia="宋体"/>
      <w:kern w:val="0"/>
      <w:sz w:val="24"/>
    </w:rPr>
  </w:style>
  <w:style w:type="paragraph" w:customStyle="1" w:styleId="NewNewNewNewNewNewNewNew0">
    <w:name w:val="正文 New New New New New New New New"/>
    <w:pPr>
      <w:widowControl w:val="0"/>
      <w:jc w:val="both"/>
    </w:pPr>
    <w:rPr>
      <w:kern w:val="2"/>
      <w:sz w:val="21"/>
      <w:szCs w:val="24"/>
    </w:rPr>
  </w:style>
  <w:style w:type="paragraph" w:customStyle="1" w:styleId="CM51">
    <w:name w:val="CM51"/>
    <w:basedOn w:val="Default"/>
    <w:next w:val="Default"/>
    <w:pPr>
      <w:spacing w:after="180" w:line="240" w:lineRule="auto"/>
      <w:ind w:firstLineChars="0" w:firstLine="0"/>
      <w:jc w:val="left"/>
    </w:pPr>
    <w:rPr>
      <w:rFonts w:ascii="Arial" w:eastAsia="宋体"/>
      <w:kern w:val="0"/>
      <w:sz w:val="24"/>
    </w:rPr>
  </w:style>
  <w:style w:type="paragraph" w:customStyle="1" w:styleId="affffffffffffffffffffff4">
    <w:name w:val="附件图题"/>
    <w:basedOn w:val="a0"/>
    <w:pPr>
      <w:spacing w:line="520" w:lineRule="exact"/>
      <w:jc w:val="center"/>
    </w:pPr>
    <w:rPr>
      <w:rFonts w:ascii="Cambria Math" w:eastAsia="Cambria Math"/>
      <w:sz w:val="24"/>
      <w:szCs w:val="20"/>
    </w:rPr>
  </w:style>
  <w:style w:type="paragraph" w:customStyle="1" w:styleId="xl55">
    <w:name w:val="xl5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Cambria Math"/>
      <w:kern w:val="0"/>
      <w:sz w:val="20"/>
      <w:szCs w:val="20"/>
    </w:rPr>
  </w:style>
  <w:style w:type="paragraph" w:customStyle="1" w:styleId="CM41">
    <w:name w:val="CM41"/>
    <w:basedOn w:val="Default"/>
    <w:next w:val="Default"/>
    <w:pPr>
      <w:spacing w:line="240" w:lineRule="auto"/>
      <w:ind w:firstLineChars="0" w:firstLine="0"/>
      <w:jc w:val="left"/>
    </w:pPr>
    <w:rPr>
      <w:rFonts w:ascii="Arial" w:eastAsia="宋体"/>
      <w:kern w:val="0"/>
      <w:sz w:val="24"/>
    </w:rPr>
  </w:style>
  <w:style w:type="paragraph" w:customStyle="1" w:styleId="HeaderBase">
    <w:name w:val="Header Base"/>
    <w:basedOn w:val="a0"/>
    <w:pPr>
      <w:widowControl/>
      <w:ind w:right="-360"/>
      <w:jc w:val="left"/>
    </w:pPr>
    <w:rPr>
      <w:kern w:val="0"/>
      <w:sz w:val="20"/>
      <w:szCs w:val="20"/>
    </w:rPr>
  </w:style>
  <w:style w:type="paragraph" w:customStyle="1" w:styleId="CM13">
    <w:name w:val="CM13"/>
    <w:basedOn w:val="Default"/>
    <w:next w:val="Default"/>
    <w:pPr>
      <w:spacing w:line="533" w:lineRule="atLeast"/>
      <w:ind w:firstLineChars="0" w:firstLine="0"/>
      <w:jc w:val="left"/>
    </w:pPr>
    <w:rPr>
      <w:rFonts w:ascii="Arial" w:eastAsia="宋体"/>
      <w:kern w:val="0"/>
      <w:sz w:val="24"/>
    </w:rPr>
  </w:style>
  <w:style w:type="paragraph" w:customStyle="1" w:styleId="Institution">
    <w:name w:val="Institution"/>
    <w:basedOn w:val="a0"/>
    <w:next w:val="Achievement"/>
    <w:pPr>
      <w:widowControl/>
      <w:tabs>
        <w:tab w:val="left" w:pos="2160"/>
        <w:tab w:val="right" w:pos="6480"/>
      </w:tabs>
      <w:spacing w:before="220" w:after="60" w:line="220" w:lineRule="atLeast"/>
      <w:ind w:right="-360"/>
      <w:jc w:val="left"/>
    </w:pPr>
    <w:rPr>
      <w:kern w:val="0"/>
      <w:sz w:val="20"/>
      <w:szCs w:val="20"/>
    </w:rPr>
  </w:style>
  <w:style w:type="paragraph" w:customStyle="1" w:styleId="NormalNewNew">
    <w:name w:val="Normal New New"/>
    <w:pPr>
      <w:jc w:val="both"/>
    </w:pPr>
    <w:rPr>
      <w:kern w:val="2"/>
      <w:sz w:val="21"/>
    </w:rPr>
  </w:style>
  <w:style w:type="paragraph" w:customStyle="1" w:styleId="2ffffd">
    <w:name w:val="条文2"/>
    <w:basedOn w:val="4"/>
    <w:pPr>
      <w:keepNext w:val="0"/>
      <w:keepLines w:val="0"/>
      <w:numPr>
        <w:ilvl w:val="3"/>
      </w:numPr>
      <w:adjustRightInd w:val="0"/>
      <w:spacing w:line="460" w:lineRule="exact"/>
      <w:ind w:left="1151" w:hanging="425"/>
      <w:textAlignment w:val="baseline"/>
      <w:outlineLvl w:val="9"/>
    </w:pPr>
    <w:rPr>
      <w:rFonts w:ascii="Arial" w:eastAsia="Arial"/>
      <w:b w:val="0"/>
      <w:bCs w:val="0"/>
      <w:spacing w:val="3"/>
      <w:kern w:val="24"/>
      <w:szCs w:val="20"/>
    </w:rPr>
  </w:style>
  <w:style w:type="paragraph" w:customStyle="1" w:styleId="affffffffffffffffffffff5">
    <w:name w:val="烟台正文"/>
    <w:basedOn w:val="a0"/>
    <w:pPr>
      <w:spacing w:line="520" w:lineRule="exact"/>
      <w:ind w:firstLineChars="200" w:firstLine="560"/>
    </w:pPr>
    <w:rPr>
      <w:rFonts w:ascii="Arial" w:hAnsi="Arial"/>
      <w:sz w:val="28"/>
      <w:szCs w:val="20"/>
    </w:rPr>
  </w:style>
  <w:style w:type="paragraph" w:customStyle="1" w:styleId="NewNewNewNewNewNewNew0">
    <w:name w:val="页脚 New New New New New New New"/>
    <w:basedOn w:val="NewNewNewNewNewNewNewNew0"/>
    <w:pPr>
      <w:widowControl/>
      <w:tabs>
        <w:tab w:val="center" w:pos="4153"/>
        <w:tab w:val="right" w:pos="8306"/>
      </w:tabs>
      <w:snapToGrid w:val="0"/>
      <w:spacing w:line="360" w:lineRule="auto"/>
      <w:jc w:val="left"/>
    </w:pPr>
    <w:rPr>
      <w:rFonts w:ascii="Arial"/>
      <w:kern w:val="0"/>
      <w:sz w:val="18"/>
      <w:szCs w:val="20"/>
    </w:rPr>
  </w:style>
  <w:style w:type="paragraph" w:customStyle="1" w:styleId="NewNewNewNewNewNewNewNewNewNewNewNewNewNewNewNewNewNewNewNewNew0">
    <w:name w:val="页脚 New New New New New New New New New New New New New New New New New New New New New"/>
    <w:basedOn w:val="NewNewNewNewNewNewNewNewNewNewNewNewNewNewNewNewNewNewNewNewNewNewNewNewNewNewNewNewNewNewNewNewNewNewNewNewNewNewNewNewNewNewNewNewNewNewNewNewNewNewNewNew"/>
    <w:pPr>
      <w:tabs>
        <w:tab w:val="center" w:pos="4153"/>
        <w:tab w:val="right" w:pos="8306"/>
      </w:tabs>
      <w:snapToGrid w:val="0"/>
      <w:jc w:val="left"/>
    </w:pPr>
    <w:rPr>
      <w:sz w:val="18"/>
    </w:rPr>
  </w:style>
  <w:style w:type="paragraph" w:customStyle="1" w:styleId="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w:pPr>
      <w:widowControl w:val="0"/>
      <w:jc w:val="both"/>
    </w:pPr>
    <w:rPr>
      <w:kern w:val="2"/>
      <w:sz w:val="21"/>
    </w:rPr>
  </w:style>
  <w:style w:type="paragraph" w:customStyle="1" w:styleId="NormalNewNewNewNewNewNewNewNewNewNewNewNewNewNewNewNewNewNewNewNewNewNewNewNewNewNewNewNewNewNewNewNew">
    <w:name w:val="Normal New New New New New New New New New New New New New New New New New New New New New New New New New New New New New New New New"/>
    <w:pPr>
      <w:jc w:val="both"/>
    </w:pPr>
    <w:rPr>
      <w:kern w:val="2"/>
      <w:sz w:val="21"/>
    </w:rPr>
  </w:style>
  <w:style w:type="paragraph" w:customStyle="1" w:styleId="NormalNewNewNewNewNewNewNewNewNewNewNewNew">
    <w:name w:val="Normal New New New New New New New New New New New New"/>
    <w:pPr>
      <w:jc w:val="both"/>
    </w:pPr>
    <w:rPr>
      <w:kern w:val="2"/>
      <w:sz w:val="21"/>
    </w:rPr>
  </w:style>
  <w:style w:type="paragraph" w:customStyle="1" w:styleId="affffffffffffffffffffff6">
    <w:name w:val="正文缩"/>
    <w:basedOn w:val="a0"/>
    <w:pPr>
      <w:adjustRightInd w:val="0"/>
      <w:snapToGrid w:val="0"/>
      <w:spacing w:line="480" w:lineRule="atLeast"/>
      <w:ind w:firstLine="567"/>
      <w:textAlignment w:val="baseline"/>
    </w:pPr>
    <w:rPr>
      <w:rFonts w:ascii="Arial"/>
      <w:color w:val="000080"/>
      <w:spacing w:val="6"/>
      <w:kern w:val="0"/>
      <w:sz w:val="28"/>
      <w:szCs w:val="20"/>
    </w:rPr>
  </w:style>
  <w:style w:type="paragraph" w:customStyle="1" w:styleId="2ffffe">
    <w:name w:val="列表延续 2"/>
    <w:basedOn w:val="a0"/>
    <w:pPr>
      <w:autoSpaceDE w:val="0"/>
      <w:autoSpaceDN w:val="0"/>
      <w:adjustRightInd w:val="0"/>
      <w:spacing w:line="360" w:lineRule="atLeast"/>
      <w:ind w:left="420" w:hanging="420"/>
      <w:jc w:val="left"/>
    </w:pPr>
    <w:rPr>
      <w:rFonts w:ascii="Arial" w:hAnsi="Arial"/>
      <w:spacing w:val="20"/>
      <w:kern w:val="0"/>
      <w:sz w:val="24"/>
      <w:szCs w:val="20"/>
    </w:rPr>
  </w:style>
  <w:style w:type="paragraph" w:customStyle="1" w:styleId="affffffffffffffffffffff7">
    <w:name w:val="青格"/>
    <w:basedOn w:val="affffffffffffffff3"/>
    <w:pPr>
      <w:tabs>
        <w:tab w:val="clear" w:pos="2160"/>
        <w:tab w:val="left" w:pos="0"/>
      </w:tabs>
      <w:spacing w:line="240" w:lineRule="auto"/>
    </w:pPr>
    <w:rPr>
      <w:rFonts w:ascii="Cambria Math" w:eastAsia="Cambria Math" w:hAnsi="Arial"/>
      <w:sz w:val="21"/>
      <w:szCs w:val="21"/>
      <w:lang w:val="zh-CN"/>
    </w:rPr>
  </w:style>
  <w:style w:type="paragraph" w:customStyle="1" w:styleId="NormalNewNewNew">
    <w:name w:val="Normal New New New"/>
    <w:pPr>
      <w:jc w:val="both"/>
    </w:pPr>
    <w:rPr>
      <w:kern w:val="2"/>
      <w:sz w:val="21"/>
    </w:rPr>
  </w:style>
  <w:style w:type="paragraph" w:customStyle="1" w:styleId="affffffffffffffffffffff8">
    <w:name w:val="表格网格"/>
    <w:basedOn w:val="a0"/>
    <w:pPr>
      <w:spacing w:line="360" w:lineRule="exact"/>
      <w:jc w:val="center"/>
    </w:pPr>
    <w:rPr>
      <w:rFonts w:cs="Arial"/>
      <w:szCs w:val="20"/>
    </w:rPr>
  </w:style>
  <w:style w:type="paragraph" w:customStyle="1" w:styleId="Name">
    <w:name w:val="Name"/>
    <w:basedOn w:val="a0"/>
    <w:next w:val="a0"/>
    <w:pPr>
      <w:widowControl/>
      <w:spacing w:after="440" w:line="240" w:lineRule="atLeast"/>
      <w:ind w:left="2160"/>
      <w:jc w:val="left"/>
    </w:pPr>
    <w:rPr>
      <w:spacing w:val="-20"/>
      <w:kern w:val="0"/>
      <w:sz w:val="48"/>
      <w:szCs w:val="20"/>
    </w:rPr>
  </w:style>
  <w:style w:type="paragraph" w:customStyle="1" w:styleId="NormalNewNewNewNewNewNewNewNewNewNewNewNewNewNewNewNewNewNewNewNewNewNewNewNewNew">
    <w:name w:val="Normal New New New New New New New New New New New New New New New New New New New New New New New New New"/>
    <w:pPr>
      <w:jc w:val="both"/>
    </w:pPr>
    <w:rPr>
      <w:kern w:val="2"/>
      <w:sz w:val="21"/>
    </w:rPr>
  </w:style>
  <w:style w:type="paragraph" w:customStyle="1" w:styleId="Normal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w:pPr>
      <w:jc w:val="both"/>
    </w:pPr>
    <w:rPr>
      <w:kern w:val="2"/>
      <w:sz w:val="21"/>
    </w:rPr>
  </w:style>
  <w:style w:type="paragraph" w:customStyle="1" w:styleId="NormalNewNewNewNewNewNewNewNewNewNewNewNewNewNewNewNewNewNewNewNewNewNewNewNewNewNew">
    <w:name w:val="Normal New New New New New New New New New New New New New New New New New New New New New New New New New New"/>
    <w:pPr>
      <w:jc w:val="both"/>
    </w:pPr>
    <w:rPr>
      <w:kern w:val="2"/>
      <w:sz w:val="21"/>
    </w:rPr>
  </w:style>
  <w:style w:type="paragraph" w:customStyle="1" w:styleId="NormalNewNewNewNewNewNewNewNewNewNewNewNewNewNewNewNewNewNewNewNewNewNewNewNewNewNewNewNew">
    <w:name w:val="Normal New New New New New New New New New New New New New New New New New New New New New New New New New New New New"/>
    <w:pPr>
      <w:jc w:val="both"/>
    </w:pPr>
    <w:rPr>
      <w:kern w:val="2"/>
      <w:sz w:val="21"/>
    </w:rPr>
  </w:style>
  <w:style w:type="paragraph" w:customStyle="1" w:styleId="NormalNewNewNewNewNewNewNewNewNewNewNewNewNewNewNewNewNewNewNewNewNewNewNewNewNewNewNewNewNew">
    <w:name w:val="Normal New New New New New New New New New New New New New New New New New New New New New New New New New New New New New"/>
    <w:pPr>
      <w:jc w:val="both"/>
    </w:pPr>
    <w:rPr>
      <w:kern w:val="2"/>
      <w:sz w:val="21"/>
    </w:rPr>
  </w:style>
  <w:style w:type="paragraph" w:customStyle="1" w:styleId="Normal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w:pPr>
      <w:jc w:val="both"/>
    </w:pPr>
    <w:rPr>
      <w:kern w:val="2"/>
      <w:sz w:val="21"/>
    </w:rPr>
  </w:style>
  <w:style w:type="paragraph" w:customStyle="1" w:styleId="NormalNewNewNewNewNewNewNewNewNewNewNewNewNewNewNewNewNewNewNewNewNewNewNewNewNewNewNewNewNewNewNewNewNewNew">
    <w:name w:val="Normal New New New New New New New New New New New New New New New New New New New New New New New New New New New New New New New New New New"/>
    <w:pPr>
      <w:jc w:val="both"/>
    </w:pPr>
    <w:rPr>
      <w:kern w:val="2"/>
      <w:sz w:val="21"/>
    </w:rPr>
  </w:style>
  <w:style w:type="paragraph" w:customStyle="1" w:styleId="NormalNewNewNewNewNewNewNewNewNewNewNewNewNewNewNewNewNewNewNewNewNewNewNewNewNewNewNewNewNewNewNewNewNewNewNewNew">
    <w:name w:val="Normal New New New New New New New New New New New New New New New New New New New New New New New New New New New New New New New New New New New New"/>
    <w:pPr>
      <w:jc w:val="both"/>
    </w:pPr>
    <w:rPr>
      <w:kern w:val="2"/>
      <w:sz w:val="21"/>
    </w:rPr>
  </w:style>
  <w:style w:type="paragraph" w:customStyle="1" w:styleId="NewNewNewNewNew1">
    <w:name w:val="页眉 New New New New New"/>
    <w:basedOn w:val="NewNewNewNewNewNewNewNewNewNewNewNewNewNewNewNewNewNewNewNewNewNewNewNewNewNewNewNewNewNewNewNewNewNewNewNewNewNewNewNewNewNewNewNewNewNewNewNewNewNewNewNewNew"/>
    <w:pPr>
      <w:pBdr>
        <w:bottom w:val="single" w:sz="6" w:space="1" w:color="auto"/>
      </w:pBdr>
      <w:tabs>
        <w:tab w:val="center" w:pos="4153"/>
        <w:tab w:val="right" w:pos="8306"/>
      </w:tabs>
      <w:snapToGrid w:val="0"/>
      <w:jc w:val="center"/>
    </w:pPr>
    <w:rPr>
      <w:sz w:val="18"/>
    </w:rPr>
  </w:style>
  <w:style w:type="paragraph" w:customStyle="1" w:styleId="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w:pPr>
      <w:widowControl w:val="0"/>
      <w:jc w:val="both"/>
    </w:pPr>
    <w:rPr>
      <w:kern w:val="2"/>
      <w:sz w:val="21"/>
    </w:rPr>
  </w:style>
  <w:style w:type="paragraph" w:customStyle="1" w:styleId="Normal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w:pPr>
      <w:jc w:val="both"/>
    </w:pPr>
    <w:rPr>
      <w:kern w:val="2"/>
      <w:sz w:val="21"/>
    </w:rPr>
  </w:style>
  <w:style w:type="paragraph" w:customStyle="1" w:styleId="Normal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w:pPr>
      <w:jc w:val="both"/>
    </w:pPr>
    <w:rPr>
      <w:kern w:val="2"/>
      <w:sz w:val="21"/>
    </w:rPr>
  </w:style>
  <w:style w:type="paragraph" w:customStyle="1" w:styleId="Normal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w:pPr>
      <w:widowControl w:val="0"/>
      <w:spacing w:line="360" w:lineRule="auto"/>
      <w:ind w:firstLineChars="200" w:firstLine="200"/>
      <w:jc w:val="both"/>
    </w:pPr>
    <w:rPr>
      <w:rFonts w:hint="eastAsia"/>
      <w:kern w:val="2"/>
      <w:sz w:val="28"/>
    </w:rPr>
  </w:style>
  <w:style w:type="paragraph" w:customStyle="1" w:styleId="Normal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w:pPr>
      <w:widowControl w:val="0"/>
      <w:spacing w:line="360" w:lineRule="auto"/>
      <w:ind w:firstLineChars="200" w:firstLine="200"/>
      <w:jc w:val="both"/>
    </w:pPr>
    <w:rPr>
      <w:rFonts w:hint="eastAsia"/>
      <w:kern w:val="2"/>
      <w:sz w:val="28"/>
    </w:rPr>
  </w:style>
  <w:style w:type="paragraph" w:customStyle="1" w:styleId="Normal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w:pPr>
      <w:jc w:val="both"/>
    </w:pPr>
    <w:rPr>
      <w:kern w:val="2"/>
      <w:sz w:val="21"/>
    </w:rPr>
  </w:style>
  <w:style w:type="paragraph" w:customStyle="1" w:styleId="Normal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w:pPr>
      <w:jc w:val="both"/>
    </w:pPr>
    <w:rPr>
      <w:kern w:val="2"/>
      <w:sz w:val="21"/>
    </w:rPr>
  </w:style>
  <w:style w:type="paragraph" w:customStyle="1" w:styleId="Normal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w:pPr>
      <w:jc w:val="both"/>
    </w:pPr>
    <w:rPr>
      <w:kern w:val="2"/>
      <w:sz w:val="21"/>
    </w:rPr>
  </w:style>
  <w:style w:type="paragraph" w:customStyle="1" w:styleId="Normal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w:pPr>
      <w:jc w:val="both"/>
    </w:pPr>
    <w:rPr>
      <w:kern w:val="2"/>
      <w:sz w:val="21"/>
    </w:rPr>
  </w:style>
  <w:style w:type="paragraph" w:customStyle="1" w:styleId="Normal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w:pPr>
      <w:jc w:val="both"/>
    </w:pPr>
    <w:rPr>
      <w:kern w:val="2"/>
      <w:sz w:val="21"/>
    </w:rPr>
  </w:style>
  <w:style w:type="paragraph" w:customStyle="1" w:styleId="Normal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New New"/>
    <w:pPr>
      <w:jc w:val="both"/>
    </w:pPr>
    <w:rPr>
      <w:kern w:val="2"/>
      <w:sz w:val="21"/>
    </w:rPr>
  </w:style>
  <w:style w:type="paragraph" w:customStyle="1" w:styleId="NewNewNewNewNewNewNewNewNewNewNewNewNewNewNewNewNewNewNewNewNewNewNewNew0">
    <w:name w:val="页脚 New New New New New New New New New New New New New New New New New New New New New New New New"/>
    <w:basedOn w:val="NewNewNewNewNewNewNewNewNewNewNewNewNewNewNewNewNewNewNewNewNewNewNewNewNewNewNewNewNewNewNewNewNew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w:pPr>
      <w:widowControl w:val="0"/>
      <w:jc w:val="both"/>
    </w:pPr>
    <w:rPr>
      <w:kern w:val="2"/>
      <w:sz w:val="21"/>
      <w:szCs w:val="24"/>
    </w:rPr>
  </w:style>
  <w:style w:type="paragraph" w:customStyle="1" w:styleId="NewNewNew1">
    <w:name w:val="表头 New New New"/>
    <w:basedOn w:val="NewNewNewNewNewNewNewNewNewNewNewNewNewNewNewNewNewNewNewNewNewNewNewNewNewNewNewNewNewNewNewNewNewNewNewNewNewNewNewNewNewNewNewNewNewNewNewNewNew"/>
    <w:next w:val="NewNewNewNewNewNewNewNewNewNewNewNewNewNewNewNewNewNewNewNewNewNewNewNewNewNewNewNewNewNewNewNewNewNewNewNewNewNewNewNewNewNewNewNewNewNewNewNewNew"/>
    <w:pPr>
      <w:keepNext/>
      <w:snapToGrid w:val="0"/>
      <w:spacing w:before="80" w:after="80" w:line="460" w:lineRule="exact"/>
    </w:pPr>
    <w:rPr>
      <w:rFonts w:ascii="Cambria Math" w:eastAsia="Cambria Math"/>
      <w:color w:val="000000"/>
      <w:spacing w:val="12"/>
      <w:kern w:val="21"/>
      <w:sz w:val="24"/>
      <w:szCs w:val="24"/>
    </w:rPr>
  </w:style>
  <w:style w:type="paragraph" w:customStyle="1" w:styleId="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w:pPr>
      <w:widowControl w:val="0"/>
      <w:jc w:val="both"/>
    </w:pPr>
    <w:rPr>
      <w:kern w:val="2"/>
      <w:sz w:val="24"/>
      <w:szCs w:val="24"/>
      <w:u w:val="single"/>
    </w:rPr>
  </w:style>
  <w:style w:type="paragraph" w:customStyle="1" w:styleId="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w:pPr>
      <w:widowControl w:val="0"/>
      <w:jc w:val="both"/>
    </w:pPr>
    <w:rPr>
      <w:kern w:val="2"/>
      <w:sz w:val="24"/>
      <w:szCs w:val="24"/>
      <w:u w:val="single"/>
    </w:rPr>
  </w:style>
  <w:style w:type="paragraph" w:customStyle="1" w:styleId="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w:pPr>
      <w:widowControl w:val="0"/>
      <w:jc w:val="both"/>
    </w:pPr>
    <w:rPr>
      <w:kern w:val="2"/>
      <w:sz w:val="24"/>
      <w:szCs w:val="24"/>
      <w:u w:val="single"/>
    </w:rPr>
  </w:style>
  <w:style w:type="paragraph" w:customStyle="1" w:styleId="NewNewNew2">
    <w:name w:val="页眉 New New New"/>
    <w:basedOn w:val="NewNewNewNewNewNewNewNewNewNewNewNewNewNewNewNewNewNewNewNewNewNewNewNewNewNewNewNewNewNewNewNewNewNewNewNewNewNewNewNewNewNewNewNewNewNewNewNewNewNewNew"/>
    <w:pPr>
      <w:pBdr>
        <w:bottom w:val="single" w:sz="6" w:space="1" w:color="auto"/>
      </w:pBdr>
      <w:tabs>
        <w:tab w:val="center" w:pos="4153"/>
        <w:tab w:val="right" w:pos="8306"/>
      </w:tabs>
      <w:snapToGrid w:val="0"/>
      <w:jc w:val="center"/>
    </w:pPr>
    <w:rPr>
      <w:sz w:val="18"/>
    </w:rPr>
  </w:style>
  <w:style w:type="paragraph" w:customStyle="1" w:styleId="NewNewNewNew1">
    <w:name w:val="页眉 New New New New"/>
    <w:basedOn w:val="NewNewNewNewNewNewNewNewNewNewNewNewNewNewNewNewNewNewNewNewNewNewNewNewNewNewNewNewNewNewNewNewNewNewNewNewNewNewNewNewNewNewNewNewNewNewNewNewNewNewNewNew"/>
    <w:pPr>
      <w:pBdr>
        <w:bottom w:val="single" w:sz="6" w:space="1" w:color="auto"/>
      </w:pBdr>
      <w:tabs>
        <w:tab w:val="center" w:pos="4153"/>
        <w:tab w:val="right" w:pos="8306"/>
      </w:tabs>
      <w:snapToGrid w:val="0"/>
      <w:jc w:val="center"/>
    </w:pPr>
    <w:rPr>
      <w:sz w:val="18"/>
    </w:rPr>
  </w:style>
  <w:style w:type="paragraph" w:customStyle="1" w:styleId="NewNewNewNewNewNewNewNewNewNewNewNewNewNewNewNewNewNewNewNewNewNew0">
    <w:name w:val="页脚 New New New New New New New New New New New New New New New New New New New New New New"/>
    <w:basedOn w:val="NewNewNewNewNewNewNewNewNewNewNewNewNewNewNewNewNewNewNewNewNewNewNewNewNewNewNewNewNewNewNewNewNewNewNewNewNewNewNewNewNewNewNewNewNewNewNewNewNewNewNewNewNew"/>
    <w:pPr>
      <w:tabs>
        <w:tab w:val="center" w:pos="4153"/>
        <w:tab w:val="right" w:pos="8306"/>
      </w:tabs>
      <w:snapToGrid w:val="0"/>
      <w:jc w:val="left"/>
    </w:pPr>
    <w:rPr>
      <w:sz w:val="18"/>
    </w:rPr>
  </w:style>
  <w:style w:type="paragraph" w:customStyle="1" w:styleId="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w:pPr>
      <w:widowControl w:val="0"/>
      <w:jc w:val="both"/>
    </w:pPr>
    <w:rPr>
      <w:kern w:val="2"/>
      <w:sz w:val="21"/>
      <w:szCs w:val="24"/>
    </w:rPr>
  </w:style>
  <w:style w:type="paragraph" w:customStyle="1" w:styleId="NewNewNewNewNewNewNewNewNewNewNewNewNewNewNewNewNewNewNewNewNewNewNew0">
    <w:name w:val="页脚 New New New New New New New New New New New New New New New New New New New New New New New"/>
    <w:basedOn w:val="NewNewNewNewNewNewNewNewNewNewNewNewNewNewNewNewNewNewNewNewNewNewNewNewNewNewNewNewNewNewNewNewNewNewNewNewNewNewNewNewNewNewNewNewNewNewNewNewNewNewNewNewNewNew"/>
    <w:pPr>
      <w:tabs>
        <w:tab w:val="center" w:pos="4153"/>
        <w:tab w:val="right" w:pos="8306"/>
      </w:tabs>
      <w:snapToGrid w:val="0"/>
      <w:jc w:val="left"/>
    </w:pPr>
    <w:rPr>
      <w:sz w:val="18"/>
      <w:szCs w:val="18"/>
    </w:rPr>
  </w:style>
  <w:style w:type="paragraph" w:customStyle="1" w:styleId="21e">
    <w:name w:val="正文21"/>
    <w:pPr>
      <w:widowControl w:val="0"/>
      <w:adjustRightInd w:val="0"/>
      <w:spacing w:line="312" w:lineRule="atLeast"/>
      <w:jc w:val="both"/>
    </w:pPr>
    <w:rPr>
      <w:rFonts w:ascii="Cambria Math" w:eastAsia="Cambria Math" w:hint="eastAsia"/>
      <w:sz w:val="24"/>
    </w:rPr>
  </w:style>
  <w:style w:type="paragraph" w:customStyle="1" w:styleId="2110">
    <w:name w:val="正文文本 211"/>
    <w:basedOn w:val="a0"/>
    <w:pPr>
      <w:adjustRightInd w:val="0"/>
      <w:spacing w:after="120"/>
      <w:ind w:left="420"/>
      <w:textAlignment w:val="baseline"/>
    </w:pPr>
    <w:rPr>
      <w:szCs w:val="20"/>
    </w:rPr>
  </w:style>
  <w:style w:type="paragraph" w:customStyle="1" w:styleId="CharCharChar2Char2">
    <w:name w:val="Char Char Char2 Char2"/>
    <w:basedOn w:val="2"/>
    <w:pPr>
      <w:keepLines/>
      <w:numPr>
        <w:ilvl w:val="1"/>
      </w:numPr>
      <w:tabs>
        <w:tab w:val="left" w:pos="425"/>
        <w:tab w:val="left" w:pos="680"/>
      </w:tabs>
      <w:adjustRightInd w:val="0"/>
      <w:spacing w:line="480" w:lineRule="exact"/>
      <w:ind w:left="425" w:hanging="425"/>
      <w:jc w:val="both"/>
    </w:pPr>
    <w:rPr>
      <w:rFonts w:ascii="Times New Roman" w:eastAsia="Arial" w:hAnsi="Times New Roman"/>
      <w:kern w:val="0"/>
      <w:szCs w:val="20"/>
    </w:rPr>
  </w:style>
  <w:style w:type="paragraph" w:customStyle="1" w:styleId="CharCharCharCharCharChar1Char4">
    <w:name w:val="Char Char Char Char Char Char1 Char4"/>
    <w:basedOn w:val="a0"/>
    <w:pPr>
      <w:widowControl/>
      <w:spacing w:after="160" w:line="240" w:lineRule="exact"/>
      <w:jc w:val="left"/>
    </w:pPr>
    <w:rPr>
      <w:rFonts w:ascii="Arial" w:eastAsia="Times New Roman" w:hAnsi="Arial" w:cs="Symbol"/>
      <w:b/>
      <w:kern w:val="0"/>
      <w:sz w:val="24"/>
      <w:szCs w:val="20"/>
      <w:lang w:eastAsia="en-US"/>
    </w:rPr>
  </w:style>
  <w:style w:type="paragraph" w:customStyle="1" w:styleId="CharCharCharCharCharCharCharCharCharChar4">
    <w:name w:val="Char Char Char Char Char Char Char Char Char Char4"/>
    <w:basedOn w:val="a0"/>
    <w:pPr>
      <w:jc w:val="left"/>
    </w:pPr>
    <w:rPr>
      <w:szCs w:val="21"/>
    </w:rPr>
  </w:style>
  <w:style w:type="character" w:customStyle="1" w:styleId="CharCharfff7">
    <w:name w:val="二级项 Char Char"/>
    <w:locked/>
    <w:rPr>
      <w:rFonts w:ascii="Arial" w:eastAsia="Cambria Math" w:hAnsi="Arial"/>
      <w:b/>
      <w:bCs/>
      <w:kern w:val="2"/>
      <w:sz w:val="24"/>
      <w:szCs w:val="24"/>
      <w:lang w:val="en-US" w:eastAsia="zh-CN" w:bidi="ar-SA"/>
    </w:rPr>
  </w:style>
  <w:style w:type="paragraph" w:customStyle="1" w:styleId="21121122Char1HD2Heading1">
    <w:name w:val="样式 标题 21.1标题 21.1标题2标题 2 Char1节二级标题，黑粗，小三，序号HD2Heading ...1"/>
    <w:basedOn w:val="2"/>
    <w:link w:val="21121122Char1HD2Heading1Char"/>
    <w:pPr>
      <w:keepLines/>
      <w:numPr>
        <w:ilvl w:val="1"/>
      </w:numPr>
      <w:spacing w:after="240"/>
    </w:pPr>
    <w:rPr>
      <w:rFonts w:eastAsia="Arial"/>
      <w:bCs w:val="0"/>
      <w:kern w:val="44"/>
      <w:sz w:val="28"/>
      <w:szCs w:val="20"/>
      <w:lang w:val="x-none" w:eastAsia="x-none"/>
    </w:rPr>
  </w:style>
  <w:style w:type="character" w:customStyle="1" w:styleId="21121122Char1HD2Heading1Char">
    <w:name w:val="样式 标题 21.1标题 21.1标题2标题 2 Char1节二级标题，黑粗，小三，序号HD2Heading ...1 Char"/>
    <w:link w:val="21121122Char1HD2Heading1"/>
    <w:rPr>
      <w:rFonts w:ascii="Arial" w:eastAsia="Arial" w:hAnsi="Arial"/>
      <w:b/>
      <w:kern w:val="44"/>
      <w:sz w:val="28"/>
    </w:rPr>
  </w:style>
  <w:style w:type="character" w:customStyle="1" w:styleId="Footer1CharChar2">
    <w:name w:val="Footer1 Char Char2"/>
    <w:rPr>
      <w:rFonts w:eastAsia="Arial" w:cs="Arial"/>
      <w:sz w:val="24"/>
      <w:lang w:val="en-US" w:eastAsia="zh-CN" w:bidi="ar-SA"/>
    </w:rPr>
  </w:style>
  <w:style w:type="paragraph" w:customStyle="1" w:styleId="affffffffffffffffffffff9">
    <w:name w:val="其他发布日期"/>
    <w:basedOn w:val="a0"/>
    <w:pPr>
      <w:framePr w:w="3997" w:h="471" w:hRule="exact" w:vSpace="181" w:wrap="around" w:vAnchor="page" w:hAnchor="page" w:x="1419" w:y="14097" w:anchorLock="1"/>
      <w:widowControl/>
      <w:numPr>
        <w:numId w:val="19"/>
      </w:numPr>
      <w:jc w:val="left"/>
    </w:pPr>
    <w:rPr>
      <w:rFonts w:eastAsia="Cambria Math"/>
      <w:kern w:val="0"/>
      <w:sz w:val="28"/>
      <w:szCs w:val="20"/>
    </w:rPr>
  </w:style>
  <w:style w:type="paragraph" w:customStyle="1" w:styleId="21f">
    <w:name w:val="二级标题 2.1"/>
    <w:basedOn w:val="1"/>
    <w:next w:val="-CharCharCharCharCharCharCharC"/>
    <w:pPr>
      <w:keepLines/>
      <w:spacing w:beforeLines="0" w:before="0" w:afterLines="0" w:after="0"/>
      <w:jc w:val="left"/>
    </w:pPr>
    <w:rPr>
      <w:rFonts w:ascii="Arial" w:eastAsia="方正仿宋简体" w:hAnsi="Arial" w:cs="Arial"/>
      <w:bCs/>
      <w:kern w:val="44"/>
      <w:szCs w:val="20"/>
    </w:rPr>
  </w:style>
  <w:style w:type="paragraph" w:customStyle="1" w:styleId="affffffffffffffffffffffa">
    <w:name w:val="五级无"/>
    <w:basedOn w:val="affffffffffffffc"/>
    <w:rPr>
      <w:rFonts w:ascii="Arial" w:eastAsia="Arial"/>
      <w:szCs w:val="21"/>
    </w:rPr>
  </w:style>
  <w:style w:type="paragraph" w:customStyle="1" w:styleId="affffffffffffffffffffffb">
    <w:name w:val="图表脚注说明"/>
    <w:basedOn w:val="a0"/>
    <w:pPr>
      <w:ind w:left="544" w:hanging="181"/>
    </w:pPr>
    <w:rPr>
      <w:rFonts w:ascii="Arial"/>
      <w:sz w:val="18"/>
      <w:szCs w:val="18"/>
    </w:rPr>
  </w:style>
  <w:style w:type="paragraph" w:customStyle="1" w:styleId="affffffffffffffffffffffc">
    <w:name w:val="表题"/>
    <w:basedOn w:val="a0"/>
    <w:next w:val="a0"/>
    <w:link w:val="Charfffff4"/>
    <w:qFormat/>
    <w:pPr>
      <w:adjustRightInd w:val="0"/>
      <w:snapToGrid w:val="0"/>
      <w:spacing w:line="288" w:lineRule="auto"/>
      <w:jc w:val="center"/>
    </w:pPr>
    <w:rPr>
      <w:rFonts w:eastAsia="方正仿宋简体"/>
      <w:b/>
      <w:kern w:val="0"/>
      <w:szCs w:val="20"/>
      <w:lang w:val="x-none" w:eastAsia="x-none"/>
    </w:rPr>
  </w:style>
  <w:style w:type="character" w:customStyle="1" w:styleId="Charfffff4">
    <w:name w:val="表题 Char"/>
    <w:link w:val="affffffffffffffffffffffc"/>
    <w:rPr>
      <w:rFonts w:eastAsia="方正仿宋简体"/>
      <w:b/>
      <w:sz w:val="21"/>
    </w:rPr>
  </w:style>
  <w:style w:type="paragraph" w:customStyle="1" w:styleId="Char26">
    <w:name w:val="样式 正文首行缩进正文首行缩进 Char + 首行缩进:  2 字符"/>
    <w:basedOn w:val="aff7"/>
    <w:pPr>
      <w:snapToGrid w:val="0"/>
      <w:spacing w:after="0" w:line="500" w:lineRule="exact"/>
      <w:ind w:firstLineChars="200" w:firstLine="608"/>
    </w:pPr>
    <w:rPr>
      <w:rFonts w:eastAsia="Arial" w:cs="Arial"/>
      <w:color w:val="000000"/>
      <w:spacing w:val="12"/>
      <w:kern w:val="24"/>
      <w:sz w:val="28"/>
      <w:szCs w:val="28"/>
      <w:lang w:val="en-US" w:eastAsia="zh-CN"/>
    </w:rPr>
  </w:style>
  <w:style w:type="character" w:customStyle="1" w:styleId="1fffffc">
    <w:name w:val="纯文本1"/>
    <w:rPr>
      <w:rFonts w:ascii="Arial" w:eastAsia="Arial" w:hAnsi="方正仿宋简体" w:cs="方正仿宋简体"/>
      <w:kern w:val="2"/>
      <w:sz w:val="21"/>
      <w:szCs w:val="21"/>
      <w:lang w:val="en-US" w:eastAsia="zh-CN" w:bidi="ar-SA"/>
    </w:rPr>
  </w:style>
  <w:style w:type="paragraph" w:customStyle="1" w:styleId="affffffffffffffffffffffd">
    <w:name w:val="宋体"/>
    <w:basedOn w:val="a0"/>
    <w:pPr>
      <w:jc w:val="center"/>
    </w:pPr>
    <w:rPr>
      <w:rFonts w:ascii="Arial" w:hAnsi="Arial"/>
    </w:rPr>
  </w:style>
  <w:style w:type="paragraph" w:customStyle="1" w:styleId="2fffff">
    <w:name w:val="首2"/>
    <w:basedOn w:val="a0"/>
    <w:pPr>
      <w:spacing w:line="360" w:lineRule="auto"/>
      <w:ind w:firstLineChars="200" w:firstLine="200"/>
    </w:pPr>
    <w:rPr>
      <w:rFonts w:ascii="Arial" w:hAnsi="Arial"/>
    </w:rPr>
  </w:style>
  <w:style w:type="paragraph" w:customStyle="1" w:styleId="4fd">
    <w:name w:val="首4"/>
    <w:basedOn w:val="af6"/>
    <w:pPr>
      <w:widowControl w:val="0"/>
      <w:tabs>
        <w:tab w:val="left" w:pos="1"/>
      </w:tabs>
      <w:spacing w:before="0" w:beforeAutospacing="0" w:after="0" w:afterAutospacing="0" w:line="360" w:lineRule="auto"/>
      <w:ind w:firstLineChars="400" w:firstLine="400"/>
      <w:jc w:val="both"/>
    </w:pPr>
    <w:rPr>
      <w:rFonts w:ascii="Arial" w:hAnsi="Arial" w:cs="Courier New"/>
      <w:kern w:val="2"/>
      <w:sz w:val="28"/>
      <w:szCs w:val="21"/>
    </w:rPr>
  </w:style>
  <w:style w:type="paragraph" w:customStyle="1" w:styleId="4fe">
    <w:name w:val="左4"/>
    <w:basedOn w:val="a0"/>
    <w:pPr>
      <w:spacing w:line="360" w:lineRule="auto"/>
      <w:ind w:leftChars="400" w:left="850" w:hangingChars="450" w:hanging="450"/>
      <w:jc w:val="left"/>
    </w:pPr>
    <w:rPr>
      <w:rFonts w:ascii="Arial" w:hAnsi="Arial"/>
      <w:szCs w:val="32"/>
    </w:rPr>
  </w:style>
  <w:style w:type="paragraph" w:customStyle="1" w:styleId="155">
    <w:name w:val="1。5"/>
    <w:basedOn w:val="a0"/>
    <w:pPr>
      <w:spacing w:line="360" w:lineRule="auto"/>
    </w:pPr>
    <w:rPr>
      <w:rFonts w:ascii="Arial" w:hAnsi="Arial"/>
    </w:rPr>
  </w:style>
  <w:style w:type="paragraph" w:customStyle="1" w:styleId="1fffffd">
    <w:name w:val="目录1"/>
    <w:basedOn w:val="af"/>
    <w:next w:val="a0"/>
    <w:pPr>
      <w:spacing w:line="360" w:lineRule="auto"/>
      <w:jc w:val="center"/>
      <w:outlineLvl w:val="0"/>
    </w:pPr>
    <w:rPr>
      <w:b/>
      <w:kern w:val="0"/>
      <w:sz w:val="32"/>
      <w:szCs w:val="20"/>
    </w:rPr>
  </w:style>
  <w:style w:type="paragraph" w:customStyle="1" w:styleId="CharChar14">
    <w:name w:val="Char Char14"/>
    <w:basedOn w:val="a0"/>
    <w:pPr>
      <w:widowControl/>
      <w:spacing w:after="160" w:line="240" w:lineRule="exact"/>
      <w:jc w:val="left"/>
    </w:pPr>
    <w:rPr>
      <w:rFonts w:ascii="Symbol" w:hAnsi="Symbol"/>
      <w:kern w:val="0"/>
      <w:sz w:val="20"/>
      <w:szCs w:val="20"/>
      <w:lang w:eastAsia="en-US"/>
    </w:rPr>
  </w:style>
  <w:style w:type="character" w:customStyle="1" w:styleId="3CharChar2">
    <w:name w:val="样式3 Char Char"/>
    <w:rPr>
      <w:rFonts w:ascii="Arial" w:eastAsia="Cambria Math" w:hAnsi="Arial"/>
      <w:bCs/>
      <w:kern w:val="2"/>
      <w:sz w:val="28"/>
      <w:szCs w:val="28"/>
    </w:rPr>
  </w:style>
  <w:style w:type="character" w:customStyle="1" w:styleId="CharCharCharChar4">
    <w:name w:val="表格文字居中 Char Char Char Char"/>
    <w:rPr>
      <w:kern w:val="2"/>
      <w:sz w:val="21"/>
      <w:szCs w:val="21"/>
    </w:rPr>
  </w:style>
  <w:style w:type="character" w:customStyle="1" w:styleId="CharCharCharCharCharCharCharCharCharChar0">
    <w:name w:val="样式 正文首行缩进正文首行缩进 Char Char Char Char Char Char正文首行缩进 Char Char ... Char Char"/>
    <w:rPr>
      <w:rFonts w:cs="Arial"/>
      <w:spacing w:val="8"/>
      <w:kern w:val="28"/>
      <w:sz w:val="28"/>
      <w:szCs w:val="28"/>
    </w:rPr>
  </w:style>
  <w:style w:type="character" w:customStyle="1" w:styleId="15CharCharChar">
    <w:name w:val="正文正文正文 1.5 倍行距 Char Char Char"/>
    <w:rPr>
      <w:rFonts w:ascii="Arial" w:hAnsi="Arial" w:cs="Arial"/>
      <w:kern w:val="2"/>
      <w:sz w:val="24"/>
      <w:szCs w:val="24"/>
    </w:rPr>
  </w:style>
  <w:style w:type="character" w:customStyle="1" w:styleId="6CharChar0">
    <w:name w:val="样式 标题 6 + Char Char"/>
    <w:rPr>
      <w:rFonts w:ascii="Arial" w:hAnsi="Arial"/>
      <w:b/>
      <w:bCs/>
      <w:kern w:val="2"/>
      <w:sz w:val="21"/>
      <w:szCs w:val="24"/>
    </w:rPr>
  </w:style>
  <w:style w:type="character" w:customStyle="1" w:styleId="CharCharfff8">
    <w:name w:val="表标题 Char Char"/>
  </w:style>
  <w:style w:type="character" w:customStyle="1" w:styleId="42H4H4144CharChar12CharChar">
    <w:name w:val="样式 标题 4条 2[三级节名]点标题H4H41第三层条小小节河石管道4标题 4 Char Char款标题1...2 Char Char"/>
    <w:rPr>
      <w:sz w:val="24"/>
      <w:szCs w:val="24"/>
    </w:rPr>
  </w:style>
  <w:style w:type="character" w:customStyle="1" w:styleId="CharCharfff9">
    <w:name w:val="样式 表格文字居中 + 自动设置 Char Char"/>
    <w:rPr>
      <w:rFonts w:ascii="Arial" w:hAnsi="Arial" w:cs="Arial"/>
      <w:sz w:val="21"/>
      <w:szCs w:val="21"/>
    </w:rPr>
  </w:style>
  <w:style w:type="paragraph" w:customStyle="1" w:styleId="-1">
    <w:name w:val="表格内容-中间对齐"/>
    <w:basedOn w:val="a0"/>
    <w:qFormat/>
    <w:pPr>
      <w:spacing w:line="240" w:lineRule="atLeast"/>
      <w:jc w:val="center"/>
    </w:pPr>
    <w:rPr>
      <w:rFonts w:ascii="Arial" w:hAnsi="Arial"/>
      <w:bCs/>
      <w:szCs w:val="20"/>
    </w:rPr>
  </w:style>
  <w:style w:type="paragraph" w:customStyle="1" w:styleId="-6">
    <w:name w:val="表格内容-左对齐"/>
    <w:basedOn w:val="-1"/>
    <w:qFormat/>
    <w:pPr>
      <w:jc w:val="left"/>
    </w:pPr>
  </w:style>
  <w:style w:type="paragraph" w:customStyle="1" w:styleId="GD-">
    <w:name w:val="GD-表格文字"/>
    <w:basedOn w:val="a0"/>
    <w:pPr>
      <w:autoSpaceDE w:val="0"/>
      <w:autoSpaceDN w:val="0"/>
      <w:adjustRightInd w:val="0"/>
      <w:spacing w:line="360" w:lineRule="auto"/>
      <w:jc w:val="center"/>
    </w:pPr>
    <w:rPr>
      <w:rFonts w:eastAsia="仿宋_GB2312" w:cs="宋体"/>
      <w:snapToGrid w:val="0"/>
      <w:kern w:val="0"/>
    </w:rPr>
  </w:style>
  <w:style w:type="paragraph" w:customStyle="1" w:styleId="2fffff0">
    <w:name w:val="正文首行缩进2字符!"/>
    <w:basedOn w:val="a0"/>
    <w:link w:val="2Charf2"/>
    <w:pPr>
      <w:adjustRightInd w:val="0"/>
      <w:snapToGrid w:val="0"/>
      <w:spacing w:line="360" w:lineRule="auto"/>
      <w:ind w:firstLineChars="200" w:firstLine="560"/>
      <w:jc w:val="left"/>
    </w:pPr>
    <w:rPr>
      <w:rFonts w:ascii="宋体" w:hAnsi="宋体"/>
      <w:sz w:val="28"/>
      <w:szCs w:val="20"/>
      <w:lang w:val="x-none" w:eastAsia="x-none"/>
    </w:rPr>
  </w:style>
  <w:style w:type="character" w:customStyle="1" w:styleId="2Charf2">
    <w:name w:val="正文首行缩进2字符! Char"/>
    <w:link w:val="2fffff0"/>
    <w:locked/>
    <w:rPr>
      <w:rFonts w:ascii="宋体" w:hAnsi="宋体"/>
      <w:kern w:val="2"/>
      <w:sz w:val="28"/>
    </w:rPr>
  </w:style>
  <w:style w:type="paragraph" w:customStyle="1" w:styleId="CharChar1CharCharCharCharCharCharCharCharCharCharChar">
    <w:name w:val="Char Char1 Char Char Char Char Char Char Char Char Char Char Char"/>
    <w:basedOn w:val="a0"/>
    <w:pPr>
      <w:widowControl/>
      <w:spacing w:after="160" w:line="240" w:lineRule="exact"/>
      <w:jc w:val="left"/>
    </w:pPr>
    <w:rPr>
      <w:rFonts w:ascii="Verdana" w:hAnsi="Verdana"/>
      <w:kern w:val="0"/>
      <w:sz w:val="20"/>
      <w:szCs w:val="20"/>
      <w:lang w:eastAsia="en-US"/>
    </w:rPr>
  </w:style>
  <w:style w:type="paragraph" w:customStyle="1" w:styleId="CharCharCharCharCharChar1Char3">
    <w:name w:val="Char Char Char Char Char Char1 Char3"/>
    <w:basedOn w:val="a0"/>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Char3">
    <w:name w:val="Char Char Char Char Char Char Char3"/>
    <w:basedOn w:val="a0"/>
    <w:pPr>
      <w:widowControl/>
      <w:spacing w:after="160" w:line="240" w:lineRule="exact"/>
      <w:jc w:val="left"/>
    </w:pPr>
    <w:rPr>
      <w:rFonts w:ascii="Arial" w:eastAsia="Times New Roman" w:hAnsi="Arial" w:cs="Verdana"/>
      <w:b/>
      <w:kern w:val="0"/>
      <w:sz w:val="24"/>
      <w:szCs w:val="20"/>
      <w:lang w:eastAsia="en-US"/>
    </w:rPr>
  </w:style>
  <w:style w:type="paragraph" w:customStyle="1" w:styleId="affffffffffffffffffffffe">
    <w:name w:val="大"/>
    <w:basedOn w:val="a9"/>
    <w:semiHidden/>
    <w:pPr>
      <w:widowControl/>
      <w:spacing w:line="320" w:lineRule="exact"/>
      <w:ind w:firstLine="0"/>
      <w:jc w:val="center"/>
    </w:pPr>
    <w:rPr>
      <w:rFonts w:hAnsi="宋体"/>
      <w:color w:val="000000"/>
      <w:sz w:val="21"/>
      <w:szCs w:val="21"/>
    </w:rPr>
  </w:style>
  <w:style w:type="paragraph" w:customStyle="1" w:styleId="afffffffffffffffffffffff">
    <w:name w:val="表中居中文字!"/>
    <w:basedOn w:val="a0"/>
    <w:pPr>
      <w:adjustRightInd w:val="0"/>
      <w:snapToGrid w:val="0"/>
      <w:jc w:val="center"/>
    </w:pPr>
    <w:rPr>
      <w:rFonts w:ascii="宋体" w:hAnsi="宋体" w:cs="Arial"/>
      <w:snapToGrid w:val="0"/>
      <w:kern w:val="0"/>
      <w:sz w:val="24"/>
      <w:lang w:val="en-US" w:eastAsia="zh-CN"/>
    </w:rPr>
  </w:style>
  <w:style w:type="character" w:customStyle="1" w:styleId="Char1f5">
    <w:name w:val="列表 Char1"/>
    <w:rPr>
      <w:rFonts w:ascii="Times New Roman" w:eastAsia="宋体" w:hAnsi="Times New Roman" w:cs="Times New Roman"/>
      <w:kern w:val="21"/>
      <w:szCs w:val="21"/>
    </w:rPr>
  </w:style>
  <w:style w:type="paragraph" w:customStyle="1" w:styleId="CharCharChar2Char1">
    <w:name w:val="Char Char Char2 Char1"/>
    <w:basedOn w:val="2"/>
    <w:pPr>
      <w:keepLines/>
      <w:numPr>
        <w:ilvl w:val="1"/>
      </w:numPr>
      <w:tabs>
        <w:tab w:val="left" w:pos="425"/>
        <w:tab w:val="left" w:pos="680"/>
      </w:tabs>
      <w:adjustRightInd w:val="0"/>
      <w:spacing w:line="480" w:lineRule="exact"/>
      <w:ind w:left="425" w:hanging="425"/>
      <w:jc w:val="both"/>
    </w:pPr>
    <w:rPr>
      <w:rFonts w:ascii="Times New Roman" w:eastAsia="宋体" w:hAnsi="Times New Roman"/>
      <w:kern w:val="0"/>
      <w:szCs w:val="20"/>
    </w:rPr>
  </w:style>
  <w:style w:type="paragraph" w:customStyle="1" w:styleId="CharCharCharCharCharCharCharCharCharChar3">
    <w:name w:val="Char Char Char Char Char Char Char Char Char Char3"/>
    <w:basedOn w:val="a0"/>
    <w:pPr>
      <w:jc w:val="left"/>
    </w:pPr>
    <w:rPr>
      <w:szCs w:val="21"/>
    </w:rPr>
  </w:style>
  <w:style w:type="paragraph" w:customStyle="1" w:styleId="3ff6">
    <w:name w:val="日期3"/>
    <w:basedOn w:val="a0"/>
    <w:next w:val="a0"/>
    <w:pPr>
      <w:adjustRightInd w:val="0"/>
      <w:spacing w:before="60" w:after="60" w:line="360" w:lineRule="atLeast"/>
      <w:ind w:left="100" w:firstLine="425"/>
      <w:textAlignment w:val="baseline"/>
    </w:pPr>
    <w:rPr>
      <w:rFonts w:ascii="宋体"/>
      <w:kern w:val="0"/>
      <w:sz w:val="24"/>
      <w:szCs w:val="20"/>
    </w:rPr>
  </w:style>
  <w:style w:type="paragraph" w:customStyle="1" w:styleId="afffffffffffffffffffffff0">
    <w:name w:val="表内容中"/>
    <w:basedOn w:val="af7"/>
    <w:pPr>
      <w:adjustRightInd w:val="0"/>
      <w:snapToGrid w:val="0"/>
      <w:spacing w:line="360" w:lineRule="exact"/>
      <w:ind w:leftChars="0" w:left="0"/>
      <w:jc w:val="center"/>
    </w:pPr>
    <w:rPr>
      <w:rFonts w:ascii="Arial" w:hAnsi="Arial"/>
      <w:color w:val="000000"/>
      <w:kern w:val="16"/>
      <w:sz w:val="28"/>
      <w:szCs w:val="20"/>
      <w:lang w:val="en-US" w:eastAsia="zh-CN"/>
    </w:rPr>
  </w:style>
  <w:style w:type="character" w:customStyle="1" w:styleId="CharCharfffa">
    <w:name w:val="无节款 Char Char"/>
    <w:rPr>
      <w:rFonts w:ascii="Times New Roman" w:eastAsia="黑体" w:hAnsi="Times New Roman" w:cs="Times New Roman"/>
      <w:kern w:val="0"/>
      <w:sz w:val="24"/>
      <w:szCs w:val="20"/>
    </w:rPr>
  </w:style>
  <w:style w:type="character" w:customStyle="1" w:styleId="CharChar141">
    <w:name w:val="Char Char141"/>
    <w:rPr>
      <w:rFonts w:ascii="Times New Roman" w:eastAsia="黑体" w:hAnsi="Times New Roman" w:cs="Times New Roman"/>
      <w:kern w:val="0"/>
      <w:sz w:val="24"/>
      <w:szCs w:val="20"/>
    </w:rPr>
  </w:style>
  <w:style w:type="paragraph" w:customStyle="1" w:styleId="afffffffffffffffffffffff1">
    <w:name w:val="正文标准样式"/>
    <w:basedOn w:val="a0"/>
    <w:link w:val="Charfffff5"/>
    <w:pPr>
      <w:spacing w:line="360" w:lineRule="auto"/>
      <w:ind w:firstLine="567"/>
    </w:pPr>
    <w:rPr>
      <w:rFonts w:ascii="宋体" w:hAnsi="宋体"/>
      <w:color w:val="000000"/>
      <w:sz w:val="28"/>
      <w:lang w:val="x-none" w:eastAsia="x-none"/>
    </w:rPr>
  </w:style>
  <w:style w:type="character" w:customStyle="1" w:styleId="Charfffff5">
    <w:name w:val="正文标准样式 Char"/>
    <w:link w:val="afffffffffffffffffffffff1"/>
    <w:rPr>
      <w:rFonts w:ascii="宋体" w:hAnsi="宋体"/>
      <w:color w:val="000000"/>
      <w:kern w:val="2"/>
      <w:sz w:val="28"/>
      <w:szCs w:val="24"/>
    </w:rPr>
  </w:style>
  <w:style w:type="paragraph" w:customStyle="1" w:styleId="afffffffffffffffffffffff2">
    <w:name w:val="正文标准格式"/>
    <w:basedOn w:val="a0"/>
    <w:next w:val="a0"/>
    <w:pPr>
      <w:spacing w:line="360" w:lineRule="auto"/>
      <w:ind w:firstLineChars="200" w:firstLine="200"/>
    </w:pPr>
    <w:rPr>
      <w:rFonts w:cs="宋体"/>
      <w:color w:val="000000"/>
      <w:sz w:val="28"/>
      <w:szCs w:val="28"/>
    </w:rPr>
  </w:style>
  <w:style w:type="table" w:customStyle="1" w:styleId="-10">
    <w:name w:val="网格型-中对齐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简明型 11"/>
    <w:basedOn w:val="a2"/>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customStyle="1" w:styleId="afffffffffffffffffffffff3">
    <w:name w:val="二级条"/>
    <w:next w:val="a0"/>
    <w:pPr>
      <w:numPr>
        <w:numId w:val="20"/>
      </w:numPr>
      <w:spacing w:line="360" w:lineRule="auto"/>
      <w:ind w:rightChars="100" w:right="100"/>
    </w:pPr>
    <w:rPr>
      <w:rFonts w:ascii="宋体"/>
      <w:b/>
      <w:sz w:val="24"/>
    </w:rPr>
  </w:style>
  <w:style w:type="paragraph" w:styleId="afffffffffffffffffffffff4">
    <w:name w:val="Quote"/>
    <w:basedOn w:val="a0"/>
    <w:next w:val="a0"/>
    <w:link w:val="Char1f6"/>
    <w:qFormat/>
    <w:pPr>
      <w:widowControl/>
      <w:spacing w:after="200" w:line="276" w:lineRule="auto"/>
      <w:jc w:val="left"/>
    </w:pPr>
    <w:rPr>
      <w:rFonts w:ascii="Calibri" w:hAnsi="Calibri"/>
      <w:i/>
      <w:iCs/>
      <w:color w:val="000000"/>
      <w:sz w:val="22"/>
      <w:szCs w:val="22"/>
      <w:lang w:val="x-none" w:eastAsia="en-US" w:bidi="en-US"/>
    </w:rPr>
  </w:style>
  <w:style w:type="character" w:customStyle="1" w:styleId="Char1f6">
    <w:name w:val="引用 Char1"/>
    <w:link w:val="afffffffffffffffffffffff4"/>
    <w:rPr>
      <w:rFonts w:ascii="Calibri" w:hAnsi="Calibri"/>
      <w:i/>
      <w:iCs/>
      <w:color w:val="000000"/>
      <w:kern w:val="2"/>
      <w:sz w:val="22"/>
      <w:szCs w:val="22"/>
      <w:lang w:eastAsia="en-US" w:bidi="en-US"/>
    </w:rPr>
  </w:style>
  <w:style w:type="paragraph" w:styleId="afffffffffffffffffffffff5">
    <w:name w:val="Intense Quote"/>
    <w:basedOn w:val="a0"/>
    <w:next w:val="a0"/>
    <w:link w:val="Char1f7"/>
    <w:qFormat/>
    <w:pPr>
      <w:widowControl/>
      <w:pBdr>
        <w:bottom w:val="single" w:sz="4" w:space="4" w:color="4F81BD"/>
      </w:pBdr>
      <w:spacing w:before="200" w:after="280" w:line="276" w:lineRule="auto"/>
      <w:ind w:left="936" w:right="936"/>
      <w:jc w:val="left"/>
    </w:pPr>
    <w:rPr>
      <w:rFonts w:ascii="Calibri" w:hAnsi="Calibri"/>
      <w:b/>
      <w:bCs/>
      <w:i/>
      <w:iCs/>
      <w:color w:val="4F81BD"/>
      <w:sz w:val="22"/>
      <w:szCs w:val="22"/>
      <w:lang w:val="x-none" w:eastAsia="en-US" w:bidi="en-US"/>
    </w:rPr>
  </w:style>
  <w:style w:type="character" w:customStyle="1" w:styleId="Char1f7">
    <w:name w:val="明显引用 Char1"/>
    <w:link w:val="afffffffffffffffffffffff5"/>
    <w:rPr>
      <w:rFonts w:ascii="Calibri" w:hAnsi="Calibri"/>
      <w:b/>
      <w:bCs/>
      <w:i/>
      <w:iCs/>
      <w:color w:val="4F81BD"/>
      <w:kern w:val="2"/>
      <w:sz w:val="22"/>
      <w:szCs w:val="22"/>
      <w:lang w:eastAsia="en-US" w:bidi="en-US"/>
    </w:rPr>
  </w:style>
  <w:style w:type="table" w:customStyle="1" w:styleId="TableNormal1">
    <w:name w:val="Table Normal1"/>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6d">
    <w:name w:val="超链接6"/>
    <w:rPr>
      <w:color w:val="auto"/>
      <w:sz w:val="18"/>
      <w:u w:val="none"/>
    </w:rPr>
  </w:style>
  <w:style w:type="paragraph" w:customStyle="1" w:styleId="6e">
    <w:name w:val="普通(网站)6"/>
    <w:basedOn w:val="a0"/>
    <w:pPr>
      <w:widowControl/>
      <w:adjustRightInd w:val="0"/>
      <w:spacing w:before="100" w:after="100"/>
      <w:jc w:val="left"/>
      <w:textAlignment w:val="baseline"/>
    </w:pPr>
    <w:rPr>
      <w:rFonts w:ascii="Arial Unicode MS" w:eastAsia="Arial Unicode MS" w:hAnsi="Arial Unicode MS"/>
      <w:color w:val="000000"/>
      <w:kern w:val="0"/>
      <w:sz w:val="24"/>
      <w:szCs w:val="20"/>
    </w:rPr>
  </w:style>
  <w:style w:type="paragraph" w:customStyle="1" w:styleId="Arial2">
    <w:name w:val="样式 (西文) Arial 五号 居中 首行缩进:  2 字符"/>
    <w:basedOn w:val="a0"/>
    <w:pPr>
      <w:snapToGrid w:val="0"/>
      <w:spacing w:line="400" w:lineRule="exact"/>
      <w:ind w:firstLineChars="200" w:firstLine="460"/>
      <w:jc w:val="center"/>
    </w:pPr>
    <w:rPr>
      <w:snapToGrid w:val="0"/>
      <w:spacing w:val="10"/>
      <w:szCs w:val="21"/>
    </w:rPr>
  </w:style>
  <w:style w:type="paragraph" w:customStyle="1" w:styleId="2fffff1">
    <w:name w:val="封面标准号2"/>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ffffffffffffffff6">
    <w:name w:val="示例内容"/>
    <w:pPr>
      <w:ind w:firstLineChars="200" w:firstLine="200"/>
    </w:pPr>
    <w:rPr>
      <w:rFonts w:ascii="宋体"/>
      <w:sz w:val="18"/>
      <w:szCs w:val="18"/>
    </w:rPr>
  </w:style>
  <w:style w:type="paragraph" w:customStyle="1" w:styleId="afffffffffffffffffffffff7">
    <w:name w:val="示例×："/>
    <w:basedOn w:val="1"/>
    <w:qFormat/>
    <w:pPr>
      <w:keepNext w:val="0"/>
      <w:widowControl/>
      <w:tabs>
        <w:tab w:val="left" w:pos="132"/>
      </w:tabs>
      <w:spacing w:beforeLines="0" w:before="0" w:afterLines="0" w:after="0" w:line="240" w:lineRule="auto"/>
      <w:ind w:left="132" w:firstLine="38"/>
      <w:jc w:val="both"/>
      <w:outlineLvl w:val="9"/>
    </w:pPr>
    <w:rPr>
      <w:rFonts w:ascii="宋体" w:eastAsia="宋体" w:hAnsi="Times New Roman"/>
      <w:b w:val="0"/>
      <w:kern w:val="0"/>
      <w:sz w:val="18"/>
      <w:szCs w:val="18"/>
    </w:rPr>
  </w:style>
  <w:style w:type="paragraph" w:customStyle="1" w:styleId="afffffffffffffffffffffff8">
    <w:name w:val="二级无"/>
    <w:basedOn w:val="affffffffffffff8"/>
    <w:pPr>
      <w:tabs>
        <w:tab w:val="clear" w:pos="360"/>
        <w:tab w:val="left" w:pos="1260"/>
      </w:tabs>
      <w:ind w:left="1260"/>
    </w:pPr>
    <w:rPr>
      <w:rFonts w:ascii="宋体" w:eastAsia="宋体"/>
      <w:szCs w:val="21"/>
    </w:rPr>
  </w:style>
  <w:style w:type="paragraph" w:customStyle="1" w:styleId="afffffffffffffffffffffff9">
    <w:name w:val="注：（正文）"/>
    <w:basedOn w:val="affffffffffffff0"/>
    <w:next w:val="afffffffffffffffffffff1"/>
    <w:pPr>
      <w:numPr>
        <w:numId w:val="21"/>
      </w:numPr>
      <w:tabs>
        <w:tab w:val="clear" w:pos="907"/>
      </w:tabs>
      <w:ind w:left="726" w:hanging="363"/>
    </w:pPr>
    <w:rPr>
      <w:szCs w:val="18"/>
    </w:rPr>
  </w:style>
  <w:style w:type="paragraph" w:customStyle="1" w:styleId="afffffffffffffffffffffffa">
    <w:name w:val="注×：（正文）"/>
    <w:pPr>
      <w:tabs>
        <w:tab w:val="left" w:pos="132"/>
      </w:tabs>
      <w:ind w:left="132" w:hanging="19"/>
      <w:jc w:val="both"/>
    </w:pPr>
    <w:rPr>
      <w:rFonts w:ascii="宋体"/>
      <w:sz w:val="18"/>
      <w:szCs w:val="18"/>
    </w:rPr>
  </w:style>
  <w:style w:type="paragraph" w:customStyle="1" w:styleId="afffffffffffffffffffffffb">
    <w:name w:val="标准书眉_偶数页"/>
    <w:basedOn w:val="affffffffffffffff6"/>
    <w:next w:val="a0"/>
    <w:pPr>
      <w:tabs>
        <w:tab w:val="left" w:pos="840"/>
      </w:tabs>
      <w:spacing w:after="220"/>
      <w:ind w:left="840" w:hanging="420"/>
      <w:jc w:val="left"/>
    </w:pPr>
    <w:rPr>
      <w:rFonts w:ascii="黑体" w:eastAsia="黑体"/>
      <w:szCs w:val="21"/>
      <w:lang w:val="en-US" w:eastAsia="zh-CN"/>
    </w:rPr>
  </w:style>
  <w:style w:type="paragraph" w:customStyle="1" w:styleId="afffffffffffffffffffffffc">
    <w:name w:val="参考文献"/>
    <w:basedOn w:val="a0"/>
    <w:next w:val="afffffffffffffffffffff1"/>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fffffffffffd">
    <w:name w:val="参考文献、索引标题"/>
    <w:basedOn w:val="a0"/>
    <w:next w:val="afffffffffffffffffffff1"/>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fffffffffffe">
    <w:name w:val="封面标准代替信息"/>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ffffffffffffffffffff">
    <w:name w:val="附录表标号"/>
    <w:basedOn w:val="a0"/>
    <w:next w:val="afffffffffffffffffffff1"/>
    <w:pPr>
      <w:spacing w:line="14" w:lineRule="exact"/>
      <w:ind w:left="811" w:hanging="448"/>
      <w:jc w:val="center"/>
      <w:outlineLvl w:val="0"/>
    </w:pPr>
    <w:rPr>
      <w:color w:val="FFFFFF"/>
    </w:rPr>
  </w:style>
  <w:style w:type="paragraph" w:customStyle="1" w:styleId="affffffffffffffffffffffff0">
    <w:name w:val="附录二级条标题"/>
    <w:basedOn w:val="a0"/>
    <w:next w:val="afffffffffffffffffffff1"/>
    <w:pPr>
      <w:widowControl/>
      <w:tabs>
        <w:tab w:val="left" w:pos="360"/>
        <w:tab w:val="left" w:pos="1680"/>
      </w:tabs>
      <w:wordWrap w:val="0"/>
      <w:overflowPunct w:val="0"/>
      <w:autoSpaceDE w:val="0"/>
      <w:autoSpaceDN w:val="0"/>
      <w:spacing w:beforeLines="50" w:afterLines="50"/>
      <w:ind w:left="1680" w:hanging="420"/>
      <w:textAlignment w:val="baseline"/>
      <w:outlineLvl w:val="3"/>
    </w:pPr>
    <w:rPr>
      <w:rFonts w:ascii="黑体" w:eastAsia="黑体"/>
      <w:kern w:val="21"/>
      <w:szCs w:val="20"/>
    </w:rPr>
  </w:style>
  <w:style w:type="paragraph" w:customStyle="1" w:styleId="affffffffffffffffffffffff1">
    <w:name w:val="附录二级无"/>
    <w:basedOn w:val="affffffffffffffffffffffff0"/>
    <w:pPr>
      <w:tabs>
        <w:tab w:val="clear" w:pos="360"/>
      </w:tabs>
      <w:spacing w:beforeLines="0" w:afterLines="0"/>
    </w:pPr>
    <w:rPr>
      <w:rFonts w:ascii="宋体" w:eastAsia="宋体"/>
      <w:szCs w:val="21"/>
    </w:rPr>
  </w:style>
  <w:style w:type="paragraph" w:customStyle="1" w:styleId="affffffffffffffffffffffff2">
    <w:name w:val="附录公式"/>
    <w:basedOn w:val="afffffffffffffffffffff1"/>
    <w:next w:val="afffffffffffffffffffff1"/>
    <w:link w:val="Charfffff6"/>
    <w:qFormat/>
    <w:rPr>
      <w:rFonts w:ascii="宋体"/>
      <w:lang w:val="en-US" w:eastAsia="zh-CN"/>
    </w:rPr>
  </w:style>
  <w:style w:type="character" w:customStyle="1" w:styleId="Charfffff6">
    <w:name w:val="附录公式 Char"/>
    <w:link w:val="affffffffffffffffffffffff2"/>
    <w:rPr>
      <w:rFonts w:ascii="宋体"/>
      <w:sz w:val="21"/>
      <w:lang w:val="en-US" w:eastAsia="zh-CN"/>
    </w:rPr>
  </w:style>
  <w:style w:type="paragraph" w:customStyle="1" w:styleId="affffffffffffffffffffffff3">
    <w:name w:val="附录公式编号制表符"/>
    <w:basedOn w:val="a0"/>
    <w:next w:val="afffffffffffffffffffff1"/>
    <w:qFormat/>
    <w:pPr>
      <w:widowControl/>
      <w:tabs>
        <w:tab w:val="center" w:pos="4201"/>
        <w:tab w:val="right" w:leader="dot" w:pos="9298"/>
      </w:tabs>
      <w:autoSpaceDE w:val="0"/>
      <w:autoSpaceDN w:val="0"/>
    </w:pPr>
    <w:rPr>
      <w:rFonts w:ascii="宋体"/>
      <w:kern w:val="0"/>
      <w:szCs w:val="20"/>
      <w:lang w:val="en-US" w:eastAsia="zh-CN"/>
    </w:rPr>
  </w:style>
  <w:style w:type="paragraph" w:customStyle="1" w:styleId="affffffffffffffffffffffff4">
    <w:name w:val="附录三级条标题"/>
    <w:basedOn w:val="affffffffffffffffffffffff0"/>
    <w:next w:val="afffffffffffffffffffff1"/>
    <w:pPr>
      <w:tabs>
        <w:tab w:val="left" w:pos="2100"/>
      </w:tabs>
      <w:ind w:left="2100"/>
      <w:outlineLvl w:val="4"/>
    </w:pPr>
  </w:style>
  <w:style w:type="paragraph" w:customStyle="1" w:styleId="affffffffffffffffffffffff5">
    <w:name w:val="附录三级无"/>
    <w:basedOn w:val="affffffffffffffffffffffff4"/>
    <w:pPr>
      <w:tabs>
        <w:tab w:val="clear" w:pos="360"/>
      </w:tabs>
      <w:spacing w:beforeLines="0" w:afterLines="0"/>
      <w:ind w:left="0" w:firstLine="0"/>
    </w:pPr>
    <w:rPr>
      <w:rFonts w:ascii="宋体" w:eastAsia="宋体"/>
      <w:szCs w:val="21"/>
    </w:rPr>
  </w:style>
  <w:style w:type="paragraph" w:customStyle="1" w:styleId="affffffffffffffffffffffff6">
    <w:name w:val="附录数字编号列项（二级）"/>
    <w:qFormat/>
    <w:pPr>
      <w:tabs>
        <w:tab w:val="left" w:pos="840"/>
      </w:tabs>
      <w:ind w:left="839" w:hanging="419"/>
    </w:pPr>
    <w:rPr>
      <w:rFonts w:ascii="宋体"/>
      <w:sz w:val="21"/>
    </w:rPr>
  </w:style>
  <w:style w:type="paragraph" w:customStyle="1" w:styleId="affffffffffffffffffffffff7">
    <w:name w:val="附录四级条标题"/>
    <w:basedOn w:val="affffffffffffffffffffffff4"/>
    <w:next w:val="afffffffffffffffffffff1"/>
    <w:pPr>
      <w:tabs>
        <w:tab w:val="left" w:pos="2520"/>
      </w:tabs>
      <w:ind w:left="2520"/>
      <w:outlineLvl w:val="5"/>
    </w:pPr>
  </w:style>
  <w:style w:type="paragraph" w:customStyle="1" w:styleId="affffffffffffffffffffffff8">
    <w:name w:val="附录四级无"/>
    <w:basedOn w:val="affffffffffffffffffffffff7"/>
    <w:pPr>
      <w:tabs>
        <w:tab w:val="clear" w:pos="360"/>
      </w:tabs>
      <w:spacing w:beforeLines="0" w:afterLines="0"/>
      <w:ind w:left="0" w:firstLine="0"/>
    </w:pPr>
    <w:rPr>
      <w:rFonts w:ascii="宋体" w:eastAsia="宋体"/>
      <w:szCs w:val="21"/>
    </w:rPr>
  </w:style>
  <w:style w:type="paragraph" w:customStyle="1" w:styleId="affffffffffffffffffffffff9">
    <w:name w:val="附录图标号"/>
    <w:basedOn w:val="a0"/>
    <w:pPr>
      <w:keepNext/>
      <w:pageBreakBefore/>
      <w:widowControl/>
      <w:spacing w:line="14" w:lineRule="exact"/>
      <w:ind w:firstLine="363"/>
      <w:jc w:val="center"/>
      <w:outlineLvl w:val="0"/>
    </w:pPr>
    <w:rPr>
      <w:color w:val="FFFFFF"/>
    </w:rPr>
  </w:style>
  <w:style w:type="paragraph" w:customStyle="1" w:styleId="affffffffffffffffffffffffa">
    <w:name w:val="附录五级条标题"/>
    <w:basedOn w:val="affffffffffffffffffffffff7"/>
    <w:next w:val="afffffffffffffffffffff1"/>
    <w:pPr>
      <w:tabs>
        <w:tab w:val="left" w:pos="2940"/>
      </w:tabs>
      <w:ind w:left="2940"/>
      <w:outlineLvl w:val="6"/>
    </w:pPr>
  </w:style>
  <w:style w:type="paragraph" w:customStyle="1" w:styleId="affffffffffffffffffffffffb">
    <w:name w:val="附录五级无"/>
    <w:basedOn w:val="affffffffffffffffffffffffa"/>
    <w:pPr>
      <w:tabs>
        <w:tab w:val="clear" w:pos="360"/>
      </w:tabs>
      <w:spacing w:beforeLines="0" w:afterLines="0"/>
      <w:ind w:left="0" w:firstLine="0"/>
    </w:pPr>
    <w:rPr>
      <w:rFonts w:ascii="宋体" w:eastAsia="宋体"/>
      <w:szCs w:val="21"/>
    </w:rPr>
  </w:style>
  <w:style w:type="paragraph" w:customStyle="1" w:styleId="affffffffffffffffffffffffc">
    <w:name w:val="附录一级条标题"/>
    <w:basedOn w:val="afffffffffffffffff"/>
    <w:next w:val="afffffffffffffffffffff1"/>
    <w:pPr>
      <w:tabs>
        <w:tab w:val="left" w:pos="360"/>
        <w:tab w:val="left" w:pos="1260"/>
      </w:tabs>
      <w:autoSpaceDN w:val="0"/>
      <w:spacing w:before="50" w:afterLines="50"/>
      <w:ind w:left="1260" w:hanging="420"/>
      <w:textAlignment w:val="baseline"/>
      <w:outlineLvl w:val="2"/>
    </w:pPr>
  </w:style>
  <w:style w:type="paragraph" w:customStyle="1" w:styleId="affffffffffffffffffffffffd">
    <w:name w:val="附录一级无"/>
    <w:basedOn w:val="affffffffffffffffffffffffc"/>
    <w:pPr>
      <w:tabs>
        <w:tab w:val="clear" w:pos="360"/>
      </w:tabs>
      <w:spacing w:beforeLines="0" w:afterLines="0"/>
      <w:ind w:left="0" w:firstLine="0"/>
    </w:pPr>
    <w:rPr>
      <w:rFonts w:ascii="宋体" w:eastAsia="宋体"/>
      <w:szCs w:val="21"/>
    </w:rPr>
  </w:style>
  <w:style w:type="paragraph" w:customStyle="1" w:styleId="affffffffffffffffffffffffe">
    <w:name w:val="附录字母编号列项（一级）"/>
    <w:qFormat/>
    <w:pPr>
      <w:tabs>
        <w:tab w:val="left" w:pos="839"/>
      </w:tabs>
      <w:ind w:left="839" w:hanging="419"/>
    </w:pPr>
    <w:rPr>
      <w:rFonts w:ascii="宋体"/>
      <w:sz w:val="21"/>
    </w:rPr>
  </w:style>
  <w:style w:type="paragraph" w:customStyle="1" w:styleId="afffffffffffffffffffffffff">
    <w:name w:val="列项说明"/>
    <w:basedOn w:val="a0"/>
    <w:pPr>
      <w:adjustRightInd w:val="0"/>
      <w:spacing w:line="320" w:lineRule="exact"/>
      <w:ind w:leftChars="200" w:left="400" w:hangingChars="200" w:hanging="200"/>
      <w:jc w:val="left"/>
      <w:textAlignment w:val="baseline"/>
    </w:pPr>
    <w:rPr>
      <w:rFonts w:ascii="宋体"/>
      <w:kern w:val="0"/>
      <w:szCs w:val="20"/>
    </w:rPr>
  </w:style>
  <w:style w:type="paragraph" w:customStyle="1" w:styleId="afffffffffffffffffffffffff0">
    <w:name w:val="列项说明数字编号"/>
    <w:pPr>
      <w:ind w:leftChars="400" w:left="600" w:hangingChars="200" w:hanging="200"/>
    </w:pPr>
    <w:rPr>
      <w:rFonts w:ascii="宋体"/>
      <w:sz w:val="21"/>
    </w:rPr>
  </w:style>
  <w:style w:type="paragraph" w:customStyle="1" w:styleId="afffffffffffffffffffffffff1">
    <w:name w:val="其他标准标志"/>
    <w:basedOn w:val="afffffffffc"/>
    <w:pPr>
      <w:framePr w:w="6101" w:h="1389" w:hRule="exact" w:hSpace="181" w:vSpace="181" w:wrap="around" w:vAnchor="page" w:hAnchor="page" w:x="4673" w:y="942" w:anchorLock="1"/>
      <w:tabs>
        <w:tab w:val="clear" w:pos="2880"/>
      </w:tabs>
      <w:ind w:left="0" w:firstLine="0"/>
    </w:pPr>
    <w:rPr>
      <w:szCs w:val="96"/>
    </w:rPr>
  </w:style>
  <w:style w:type="paragraph" w:customStyle="1" w:styleId="afffffffffffffffffffffffff2">
    <w:name w:val="其他发布部门"/>
    <w:basedOn w:val="afffffffffffffffff8"/>
    <w:pPr>
      <w:framePr w:w="7938" w:h="1134" w:hRule="exact" w:hSpace="125" w:vSpace="181" w:wrap="around" w:vAnchor="page" w:hAnchor="page" w:x="2150" w:y="15310"/>
      <w:spacing w:line="0" w:lineRule="atLeast"/>
    </w:pPr>
    <w:rPr>
      <w:rFonts w:ascii="黑体" w:eastAsia="黑体"/>
      <w:b w:val="0"/>
      <w:sz w:val="28"/>
    </w:rPr>
  </w:style>
  <w:style w:type="paragraph" w:customStyle="1" w:styleId="afffffffffffffffffffffffff3">
    <w:name w:val="三级无"/>
    <w:basedOn w:val="affffffffffffffa"/>
    <w:pPr>
      <w:tabs>
        <w:tab w:val="left" w:pos="1680"/>
      </w:tabs>
      <w:ind w:left="1680" w:hanging="420"/>
    </w:pPr>
    <w:rPr>
      <w:rFonts w:ascii="宋体" w:eastAsia="宋体"/>
      <w:szCs w:val="21"/>
    </w:rPr>
  </w:style>
  <w:style w:type="paragraph" w:customStyle="1" w:styleId="afffffffffffffffffffffffff4">
    <w:name w:val="示例后文字"/>
    <w:basedOn w:val="afffffffffffffffffffff1"/>
    <w:next w:val="afffffffffffffffffffff1"/>
    <w:qFormat/>
    <w:pPr>
      <w:ind w:firstLine="360"/>
    </w:pPr>
    <w:rPr>
      <w:rFonts w:ascii="宋体"/>
      <w:sz w:val="18"/>
      <w:lang w:val="en-US" w:eastAsia="zh-CN"/>
    </w:rPr>
  </w:style>
  <w:style w:type="paragraph" w:customStyle="1" w:styleId="afffffffffffffffffffffffff5">
    <w:name w:val="首示例"/>
    <w:next w:val="afffffffffffffffffffff1"/>
    <w:link w:val="Charfffff7"/>
    <w:qFormat/>
    <w:pPr>
      <w:tabs>
        <w:tab w:val="left" w:pos="0"/>
        <w:tab w:val="left" w:pos="360"/>
      </w:tabs>
      <w:ind w:left="420"/>
    </w:pPr>
    <w:rPr>
      <w:rFonts w:ascii="宋体" w:hAnsi="宋体"/>
      <w:kern w:val="2"/>
      <w:sz w:val="18"/>
      <w:szCs w:val="18"/>
    </w:rPr>
  </w:style>
  <w:style w:type="character" w:customStyle="1" w:styleId="Charfffff7">
    <w:name w:val="首示例 Char"/>
    <w:link w:val="afffffffffffffffffffffffff5"/>
    <w:rPr>
      <w:rFonts w:ascii="宋体" w:hAnsi="宋体"/>
      <w:kern w:val="2"/>
      <w:sz w:val="18"/>
      <w:szCs w:val="18"/>
      <w:lang w:bidi="ar-SA"/>
    </w:rPr>
  </w:style>
  <w:style w:type="paragraph" w:customStyle="1" w:styleId="afffffffffffffffffffffffff6">
    <w:name w:val="四级无"/>
    <w:basedOn w:val="affffffffffffffb"/>
    <w:pPr>
      <w:tabs>
        <w:tab w:val="left" w:pos="0"/>
      </w:tabs>
      <w:ind w:left="420"/>
    </w:pPr>
    <w:rPr>
      <w:rFonts w:ascii="宋体" w:eastAsia="宋体"/>
      <w:szCs w:val="21"/>
    </w:rPr>
  </w:style>
  <w:style w:type="paragraph" w:customStyle="1" w:styleId="afffffffffffffffffffffffff7">
    <w:name w:val="条文脚注"/>
    <w:basedOn w:val="aff1"/>
    <w:pPr>
      <w:adjustRightInd/>
      <w:snapToGrid w:val="0"/>
      <w:spacing w:line="240" w:lineRule="auto"/>
    </w:pPr>
    <w:rPr>
      <w:kern w:val="2"/>
      <w:sz w:val="18"/>
      <w:szCs w:val="18"/>
    </w:rPr>
  </w:style>
  <w:style w:type="paragraph" w:customStyle="1" w:styleId="afffffffffffffffffffffffff8">
    <w:name w:val="图标脚注说明"/>
    <w:basedOn w:val="afffffffffffffffffffff1"/>
    <w:pPr>
      <w:ind w:left="840" w:firstLineChars="0" w:hanging="420"/>
    </w:pPr>
    <w:rPr>
      <w:rFonts w:ascii="宋体"/>
      <w:sz w:val="18"/>
      <w:szCs w:val="18"/>
      <w:lang w:val="en-US" w:eastAsia="zh-CN"/>
    </w:rPr>
  </w:style>
  <w:style w:type="paragraph" w:customStyle="1" w:styleId="afffffffffffffffffffffffff9">
    <w:name w:val="图的脚注"/>
    <w:next w:val="afffffffffffffffffffff1"/>
    <w:qFormat/>
    <w:pPr>
      <w:widowControl w:val="0"/>
      <w:ind w:leftChars="200" w:left="840" w:hangingChars="200" w:hanging="420"/>
      <w:jc w:val="both"/>
    </w:pPr>
    <w:rPr>
      <w:rFonts w:ascii="宋体"/>
      <w:sz w:val="18"/>
    </w:rPr>
  </w:style>
  <w:style w:type="paragraph" w:customStyle="1" w:styleId="afffffffffffffffffffffffffa">
    <w:name w:val="一级无"/>
    <w:basedOn w:val="afffffffff7"/>
    <w:pPr>
      <w:tabs>
        <w:tab w:val="left" w:pos="840"/>
      </w:tabs>
      <w:ind w:hanging="420"/>
    </w:pPr>
    <w:rPr>
      <w:rFonts w:ascii="宋体" w:eastAsia="宋体"/>
      <w:szCs w:val="21"/>
    </w:rPr>
  </w:style>
  <w:style w:type="paragraph" w:customStyle="1" w:styleId="afffffffffffffffffffffffffb">
    <w:name w:val="正文公式编号制表符"/>
    <w:basedOn w:val="afffffffffffffffffffff1"/>
    <w:next w:val="afffffffffffffffffffff1"/>
    <w:qFormat/>
    <w:pPr>
      <w:ind w:firstLineChars="0" w:firstLine="0"/>
    </w:pPr>
    <w:rPr>
      <w:rFonts w:ascii="宋体"/>
      <w:lang w:val="en-US" w:eastAsia="zh-CN"/>
    </w:rPr>
  </w:style>
  <w:style w:type="paragraph" w:customStyle="1" w:styleId="afffffffffffffffffffffffffc">
    <w:name w:val="终结线"/>
    <w:basedOn w:val="a0"/>
    <w:pPr>
      <w:framePr w:hSpace="181" w:vSpace="181" w:wrap="around" w:vAnchor="text" w:hAnchor="margin" w:xAlign="center" w:y="285"/>
    </w:pPr>
  </w:style>
  <w:style w:type="paragraph" w:customStyle="1" w:styleId="afffffffffffffffffffffffffd">
    <w:name w:val="其他实施日期"/>
    <w:basedOn w:val="afffffff6"/>
    <w:pPr>
      <w:framePr w:w="3997" w:h="471" w:hRule="exact" w:vSpace="181" w:wrap="around" w:vAnchor="page" w:hAnchor="text" w:x="7089" w:y="14097"/>
    </w:pPr>
  </w:style>
  <w:style w:type="paragraph" w:customStyle="1" w:styleId="2fffff2">
    <w:name w:val="封面标准名称2"/>
    <w:basedOn w:val="afffffffffffff"/>
    <w:pPr>
      <w:framePr w:w="9639" w:wrap="around" w:vAnchor="page" w:hAnchor="page" w:y="4469"/>
      <w:spacing w:beforeLines="630"/>
    </w:pPr>
  </w:style>
  <w:style w:type="paragraph" w:customStyle="1" w:styleId="2fffff3">
    <w:name w:val="封面标准英文名称2"/>
    <w:basedOn w:val="afffffffffffffffffa"/>
    <w:pPr>
      <w:framePr w:w="9639" w:h="6917" w:hRule="exact" w:wrap="around" w:vAnchor="page" w:hAnchor="page" w:xAlign="center" w:y="4469" w:anchorLock="1"/>
      <w:textAlignment w:val="center"/>
    </w:pPr>
    <w:rPr>
      <w:rFonts w:eastAsia="黑体"/>
      <w:szCs w:val="28"/>
    </w:rPr>
  </w:style>
  <w:style w:type="paragraph" w:customStyle="1" w:styleId="2fffff4">
    <w:name w:val="封面一致性程度标识2"/>
    <w:basedOn w:val="afffffffffffffffffb"/>
    <w:pPr>
      <w:framePr w:w="9639" w:h="6917" w:hRule="exact" w:wrap="around" w:vAnchor="page" w:hAnchor="page" w:xAlign="center" w:y="4469" w:anchorLock="1"/>
      <w:widowControl w:val="0"/>
      <w:textAlignment w:val="center"/>
    </w:pPr>
    <w:rPr>
      <w:szCs w:val="28"/>
    </w:rPr>
  </w:style>
  <w:style w:type="paragraph" w:customStyle="1" w:styleId="2fffff5">
    <w:name w:val="封面标准文稿类别2"/>
    <w:basedOn w:val="afffffffc"/>
    <w:pPr>
      <w:framePr w:w="9639" w:h="6917" w:hRule="exact" w:wrap="around" w:vAnchor="page" w:hAnchor="page" w:xAlign="center" w:y="4469" w:anchorLock="1"/>
      <w:suppressAutoHyphens w:val="0"/>
      <w:spacing w:after="160" w:line="240" w:lineRule="auto"/>
      <w:textAlignment w:val="center"/>
    </w:pPr>
    <w:rPr>
      <w:rFonts w:hAnsi="Times New Roman"/>
      <w:szCs w:val="28"/>
      <w:lang w:eastAsia="zh-CN"/>
    </w:rPr>
  </w:style>
  <w:style w:type="paragraph" w:customStyle="1" w:styleId="2fffff6">
    <w:name w:val="封面标准文稿编辑信息2"/>
    <w:basedOn w:val="affffffffffffffd"/>
    <w:pPr>
      <w:framePr w:w="9639" w:h="6917" w:hRule="exact" w:wrap="around" w:vAnchor="page" w:hAnchor="page" w:xAlign="center" w:y="4469" w:anchorLock="1"/>
      <w:widowControl w:val="0"/>
      <w:spacing w:after="160"/>
      <w:textAlignment w:val="center"/>
    </w:pPr>
    <w:rPr>
      <w:szCs w:val="28"/>
    </w:rPr>
  </w:style>
  <w:style w:type="character" w:customStyle="1" w:styleId="CharCharChar4">
    <w:name w:val="章 Char Char Char"/>
    <w:rPr>
      <w:rFonts w:eastAsia="仿宋_GB2312"/>
      <w:b/>
      <w:bCs/>
      <w:kern w:val="44"/>
      <w:sz w:val="28"/>
      <w:szCs w:val="44"/>
      <w:lang w:val="en-US" w:eastAsia="zh-CN" w:bidi="ar-SA"/>
    </w:rPr>
  </w:style>
  <w:style w:type="paragraph" w:customStyle="1" w:styleId="156">
    <w:name w:val="样式 宋体 行距: 1.5 倍行距"/>
    <w:basedOn w:val="a0"/>
    <w:pPr>
      <w:spacing w:line="360" w:lineRule="auto"/>
    </w:pPr>
    <w:rPr>
      <w:rFonts w:ascii="宋体" w:hAnsi="宋体" w:cs="宋体"/>
      <w:szCs w:val="20"/>
    </w:rPr>
  </w:style>
  <w:style w:type="paragraph" w:customStyle="1" w:styleId="2Heading2Char">
    <w:name w:val="样式 标题 2一级条_Heading 2 Char + 宋体 非加粗"/>
    <w:basedOn w:val="2"/>
    <w:pPr>
      <w:keepLines/>
      <w:numPr>
        <w:ilvl w:val="1"/>
      </w:numPr>
      <w:spacing w:after="260" w:line="416" w:lineRule="auto"/>
      <w:jc w:val="both"/>
    </w:pPr>
    <w:rPr>
      <w:rFonts w:ascii="宋体" w:eastAsia="宋体"/>
      <w:b w:val="0"/>
      <w:sz w:val="21"/>
    </w:rPr>
  </w:style>
  <w:style w:type="paragraph" w:customStyle="1" w:styleId="166">
    <w:name w:val="样式 标题 1章 + 四号 段前: 6 磅 段后: 6 磅 行距: 单倍行距"/>
    <w:basedOn w:val="1"/>
    <w:pPr>
      <w:keepLines/>
      <w:tabs>
        <w:tab w:val="left" w:pos="0"/>
      </w:tabs>
      <w:spacing w:beforeLines="0" w:before="0" w:afterLines="0" w:after="0" w:line="240" w:lineRule="auto"/>
      <w:jc w:val="both"/>
    </w:pPr>
    <w:rPr>
      <w:rFonts w:ascii="宋体" w:eastAsia="宋体" w:cs="宋体"/>
      <w:bCs/>
      <w:kern w:val="44"/>
      <w:sz w:val="28"/>
      <w:szCs w:val="28"/>
    </w:rPr>
  </w:style>
  <w:style w:type="paragraph" w:customStyle="1" w:styleId="2Heading2Arial66">
    <w:name w:val="样式 标题 2一级条_Heading 2 + Arial 五号 加粗 两端对齐 段前: 6 磅 段后: 6 磅 ..."/>
    <w:basedOn w:val="2"/>
    <w:pPr>
      <w:keepNext w:val="0"/>
      <w:widowControl/>
      <w:numPr>
        <w:ilvl w:val="1"/>
      </w:numPr>
      <w:tabs>
        <w:tab w:val="left" w:pos="425"/>
      </w:tabs>
      <w:spacing w:after="120" w:line="240" w:lineRule="auto"/>
      <w:jc w:val="both"/>
    </w:pPr>
    <w:rPr>
      <w:rFonts w:eastAsia="宋体" w:cs="宋体"/>
      <w:bCs w:val="0"/>
      <w:sz w:val="21"/>
      <w:szCs w:val="20"/>
    </w:rPr>
  </w:style>
  <w:style w:type="paragraph" w:customStyle="1" w:styleId="333">
    <w:name w:val="样式 标题 3条 + 宋体 非加粗 段前: 3 磅 段后: 3 磅 行距: 单倍行距"/>
    <w:basedOn w:val="3"/>
    <w:link w:val="333Char"/>
    <w:pPr>
      <w:keepLines w:val="0"/>
      <w:widowControl/>
      <w:numPr>
        <w:ilvl w:val="2"/>
      </w:numPr>
      <w:tabs>
        <w:tab w:val="left" w:pos="0"/>
      </w:tabs>
      <w:spacing w:before="60" w:after="60" w:line="240" w:lineRule="auto"/>
      <w:jc w:val="both"/>
    </w:pPr>
    <w:rPr>
      <w:rFonts w:ascii="宋体" w:eastAsia="宋体" w:hAnsi="宋体"/>
      <w:b w:val="0"/>
      <w:bCs w:val="0"/>
      <w:sz w:val="21"/>
      <w:szCs w:val="20"/>
      <w:lang w:val="x-none" w:eastAsia="x-none"/>
    </w:rPr>
  </w:style>
  <w:style w:type="character" w:customStyle="1" w:styleId="333Char">
    <w:name w:val="样式 标题 3条 + 宋体 非加粗 段前: 3 磅 段后: 3 磅 行距: 单倍行距 Char"/>
    <w:link w:val="333"/>
    <w:rPr>
      <w:rFonts w:ascii="宋体" w:hAnsi="宋体"/>
      <w:kern w:val="2"/>
      <w:sz w:val="21"/>
    </w:rPr>
  </w:style>
  <w:style w:type="paragraph" w:customStyle="1" w:styleId="4TimesNewRoman6">
    <w:name w:val="样式 标题 4段 + (西文) Times New Roman (中文) 宋体 五号 非加粗 左 段前: 6 磅 ..."/>
    <w:basedOn w:val="4"/>
    <w:pPr>
      <w:numPr>
        <w:ilvl w:val="3"/>
      </w:numPr>
      <w:tabs>
        <w:tab w:val="left" w:pos="0"/>
      </w:tabs>
      <w:spacing w:before="120" w:after="120"/>
    </w:pPr>
    <w:rPr>
      <w:rFonts w:ascii="Times New Roman" w:eastAsia="宋体" w:hAnsi="Times New Roman" w:cs="宋体"/>
      <w:b w:val="0"/>
      <w:bCs w:val="0"/>
      <w:kern w:val="21"/>
      <w:sz w:val="21"/>
      <w:szCs w:val="20"/>
    </w:rPr>
  </w:style>
  <w:style w:type="paragraph" w:customStyle="1" w:styleId="afffffffffffffffffffffffffe">
    <w:name w:val="三级无标题条"/>
    <w:basedOn w:val="a0"/>
  </w:style>
  <w:style w:type="paragraph" w:customStyle="1" w:styleId="affffffffffffffffffffffffff">
    <w:name w:val="四级无标题条"/>
    <w:basedOn w:val="a0"/>
  </w:style>
  <w:style w:type="paragraph" w:customStyle="1" w:styleId="affffffffffffffffffffffffff0">
    <w:name w:val="五级无标题条"/>
    <w:basedOn w:val="a0"/>
  </w:style>
  <w:style w:type="paragraph" w:customStyle="1" w:styleId="affffffffffffffffffffffffff1">
    <w:name w:val="一级无标题条"/>
    <w:basedOn w:val="a0"/>
    <w:pPr>
      <w:tabs>
        <w:tab w:val="left" w:pos="1260"/>
      </w:tabs>
      <w:ind w:left="1260" w:hanging="420"/>
    </w:pPr>
  </w:style>
  <w:style w:type="paragraph" w:customStyle="1" w:styleId="affffffffffffffffffffffffff2">
    <w:name w:val="三级条"/>
    <w:basedOn w:val="afffffffffffffffffffffff3"/>
    <w:pPr>
      <w:numPr>
        <w:numId w:val="0"/>
      </w:numPr>
      <w:spacing w:line="440" w:lineRule="exact"/>
      <w:ind w:rightChars="0" w:right="0"/>
    </w:pPr>
    <w:rPr>
      <w:b w:val="0"/>
    </w:rPr>
  </w:style>
  <w:style w:type="paragraph" w:customStyle="1" w:styleId="affffffffffffffffffffffffff3">
    <w:name w:val="字母项"/>
    <w:basedOn w:val="4"/>
    <w:pPr>
      <w:keepNext w:val="0"/>
      <w:keepLines w:val="0"/>
      <w:widowControl/>
      <w:numPr>
        <w:ilvl w:val="3"/>
      </w:numPr>
      <w:spacing w:line="440" w:lineRule="exact"/>
      <w:ind w:left="551"/>
      <w:outlineLvl w:val="9"/>
    </w:pPr>
    <w:rPr>
      <w:rFonts w:ascii="宋体" w:eastAsia="宋体" w:hAnsi="Times New Roman"/>
      <w:b w:val="0"/>
      <w:bCs w:val="0"/>
      <w:kern w:val="0"/>
      <w:szCs w:val="20"/>
    </w:rPr>
  </w:style>
  <w:style w:type="paragraph" w:customStyle="1" w:styleId="affffffffffffffffffffffffff4">
    <w:name w:val="四级条"/>
    <w:basedOn w:val="afffffffffffffffffffffff3"/>
    <w:next w:val="4"/>
    <w:pPr>
      <w:numPr>
        <w:numId w:val="0"/>
      </w:numPr>
      <w:spacing w:line="440" w:lineRule="exact"/>
      <w:ind w:rightChars="0" w:right="0"/>
    </w:pPr>
    <w:rPr>
      <w:b w:val="0"/>
    </w:rPr>
  </w:style>
  <w:style w:type="paragraph" w:customStyle="1" w:styleId="affffffffffffffffffffffffff5">
    <w:name w:val="附录二级条"/>
    <w:basedOn w:val="afffffffffffffffff0"/>
    <w:next w:val="4"/>
    <w:pPr>
      <w:tabs>
        <w:tab w:val="left" w:pos="1260"/>
      </w:tabs>
      <w:ind w:left="840" w:hanging="420"/>
    </w:pPr>
  </w:style>
  <w:style w:type="paragraph" w:customStyle="1" w:styleId="affffffffffffffffffffffffff6">
    <w:name w:val="附录三级条"/>
    <w:basedOn w:val="afffffffffffffffff0"/>
    <w:next w:val="4"/>
    <w:pPr>
      <w:ind w:left="108"/>
    </w:pPr>
  </w:style>
  <w:style w:type="paragraph" w:customStyle="1" w:styleId="affffffffffffffffffffffffff7">
    <w:name w:val="附录四级条"/>
    <w:basedOn w:val="afffffffffffffffff0"/>
    <w:next w:val="4"/>
    <w:pPr>
      <w:ind w:left="108"/>
    </w:pPr>
  </w:style>
  <w:style w:type="paragraph" w:customStyle="1" w:styleId="X">
    <w:name w:val="注X"/>
    <w:basedOn w:val="4"/>
    <w:pPr>
      <w:keepNext w:val="0"/>
      <w:keepLines w:val="0"/>
      <w:widowControl/>
      <w:numPr>
        <w:ilvl w:val="3"/>
      </w:numPr>
      <w:spacing w:line="440" w:lineRule="exact"/>
      <w:ind w:leftChars="200" w:left="480" w:hangingChars="280" w:hanging="280"/>
      <w:outlineLvl w:val="9"/>
    </w:pPr>
    <w:rPr>
      <w:rFonts w:ascii="宋体" w:eastAsia="宋体" w:hAnsi="Times New Roman"/>
      <w:b w:val="0"/>
      <w:bCs w:val="0"/>
      <w:kern w:val="0"/>
      <w:sz w:val="21"/>
      <w:szCs w:val="20"/>
    </w:rPr>
  </w:style>
  <w:style w:type="paragraph" w:customStyle="1" w:styleId="Bullet1">
    <w:name w:val="Bullet 1"/>
    <w:basedOn w:val="a0"/>
    <w:next w:val="a0"/>
    <w:pPr>
      <w:widowControl/>
      <w:tabs>
        <w:tab w:val="left" w:pos="1440"/>
      </w:tabs>
      <w:ind w:left="2160" w:hanging="720"/>
      <w:jc w:val="left"/>
    </w:pPr>
    <w:rPr>
      <w:rFonts w:ascii="Arial" w:hAnsi="Arial"/>
      <w:kern w:val="0"/>
      <w:sz w:val="20"/>
      <w:szCs w:val="20"/>
      <w:lang w:val="en-US" w:eastAsia="zh-CN"/>
    </w:rPr>
  </w:style>
  <w:style w:type="paragraph" w:customStyle="1" w:styleId="Bullet2">
    <w:name w:val="Bullet 2"/>
    <w:basedOn w:val="a0"/>
    <w:next w:val="a0"/>
    <w:pPr>
      <w:widowControl/>
      <w:tabs>
        <w:tab w:val="left" w:pos="1440"/>
      </w:tabs>
      <w:ind w:left="2880" w:hanging="720"/>
      <w:jc w:val="left"/>
    </w:pPr>
    <w:rPr>
      <w:rFonts w:ascii="Arial" w:hAnsi="Arial"/>
      <w:kern w:val="0"/>
      <w:sz w:val="20"/>
      <w:szCs w:val="20"/>
      <w:lang w:val="en-US" w:eastAsia="zh-CN"/>
    </w:rPr>
  </w:style>
  <w:style w:type="paragraph" w:customStyle="1" w:styleId="Bullet3">
    <w:name w:val="Bullet 3"/>
    <w:basedOn w:val="a0"/>
    <w:next w:val="a0"/>
    <w:pPr>
      <w:widowControl/>
      <w:tabs>
        <w:tab w:val="left" w:pos="1440"/>
      </w:tabs>
      <w:ind w:left="3600" w:hanging="720"/>
      <w:jc w:val="left"/>
    </w:pPr>
    <w:rPr>
      <w:rFonts w:ascii="Arial" w:hAnsi="Arial"/>
      <w:kern w:val="0"/>
      <w:sz w:val="20"/>
      <w:szCs w:val="20"/>
      <w:lang w:val="en-US" w:eastAsia="zh-CN"/>
    </w:rPr>
  </w:style>
  <w:style w:type="paragraph" w:customStyle="1" w:styleId="Bullet4">
    <w:name w:val="Bullet 4"/>
    <w:basedOn w:val="a0"/>
    <w:next w:val="a0"/>
    <w:pPr>
      <w:widowControl/>
      <w:tabs>
        <w:tab w:val="left" w:pos="1440"/>
      </w:tabs>
      <w:ind w:left="4320" w:hanging="720"/>
      <w:jc w:val="left"/>
    </w:pPr>
    <w:rPr>
      <w:rFonts w:ascii="Arial" w:hAnsi="Arial"/>
      <w:kern w:val="0"/>
      <w:sz w:val="20"/>
      <w:szCs w:val="20"/>
      <w:lang w:val="en-US" w:eastAsia="zh-CN"/>
    </w:rPr>
  </w:style>
  <w:style w:type="paragraph" w:customStyle="1" w:styleId="Bullet5">
    <w:name w:val="Bullet 5"/>
    <w:basedOn w:val="a0"/>
    <w:next w:val="a0"/>
    <w:pPr>
      <w:widowControl/>
      <w:tabs>
        <w:tab w:val="left" w:pos="1440"/>
      </w:tabs>
      <w:ind w:left="5041" w:hanging="720"/>
      <w:jc w:val="left"/>
    </w:pPr>
    <w:rPr>
      <w:rFonts w:ascii="Arial" w:hAnsi="Arial"/>
      <w:kern w:val="0"/>
      <w:sz w:val="20"/>
      <w:szCs w:val="20"/>
      <w:lang w:val="en-US" w:eastAsia="zh-CN"/>
    </w:rPr>
  </w:style>
  <w:style w:type="paragraph" w:customStyle="1" w:styleId="affffffffffffffffffffffffff8">
    <w:name w:val="调研内容"/>
    <w:basedOn w:val="a0"/>
    <w:pPr>
      <w:spacing w:line="360" w:lineRule="auto"/>
    </w:pPr>
    <w:rPr>
      <w:szCs w:val="20"/>
    </w:rPr>
  </w:style>
  <w:style w:type="paragraph" w:customStyle="1" w:styleId="affffffffffffffffffffffffff9">
    <w:name w:val="附件名称"/>
    <w:basedOn w:val="a0"/>
    <w:pPr>
      <w:spacing w:line="360" w:lineRule="auto"/>
    </w:pPr>
    <w:rPr>
      <w:szCs w:val="20"/>
    </w:rPr>
  </w:style>
  <w:style w:type="paragraph" w:customStyle="1" w:styleId="HTMLa">
    <w:name w:val="HTML 预先格式化"/>
    <w:basedOn w:val="a0"/>
    <w:rPr>
      <w:rFonts w:ascii="Courier New" w:hAnsi="Courier New" w:cs="Century"/>
      <w:sz w:val="20"/>
      <w:szCs w:val="20"/>
    </w:rPr>
  </w:style>
  <w:style w:type="character" w:customStyle="1" w:styleId="CharChar120">
    <w:name w:val="Char Char12"/>
    <w:semiHidden/>
    <w:rPr>
      <w:sz w:val="18"/>
      <w:szCs w:val="18"/>
    </w:rPr>
  </w:style>
  <w:style w:type="character" w:customStyle="1" w:styleId="CharChar110">
    <w:name w:val="Char Char11"/>
    <w:rPr>
      <w:sz w:val="18"/>
      <w:szCs w:val="18"/>
    </w:rPr>
  </w:style>
  <w:style w:type="character" w:customStyle="1" w:styleId="CharChar19">
    <w:name w:val="Char Char19"/>
    <w:rPr>
      <w:rFonts w:ascii="Times New Roman" w:hAnsi="Times New Roman"/>
      <w:b/>
      <w:bCs/>
      <w:kern w:val="44"/>
      <w:sz w:val="44"/>
      <w:szCs w:val="44"/>
    </w:rPr>
  </w:style>
  <w:style w:type="character" w:customStyle="1" w:styleId="CharChar18">
    <w:name w:val="Char Char18"/>
    <w:rPr>
      <w:rFonts w:ascii="Times New Roman" w:hAnsi="Times New Roman"/>
      <w:b/>
      <w:sz w:val="32"/>
    </w:rPr>
  </w:style>
  <w:style w:type="paragraph" w:customStyle="1" w:styleId="P2ndLevel">
    <w:name w:val="P2nd Level"/>
    <w:basedOn w:val="a0"/>
    <w:pPr>
      <w:widowControl/>
      <w:jc w:val="left"/>
    </w:pPr>
    <w:rPr>
      <w:b/>
      <w:bCs/>
      <w:kern w:val="0"/>
      <w:sz w:val="30"/>
      <w:szCs w:val="30"/>
    </w:rPr>
  </w:style>
  <w:style w:type="paragraph" w:customStyle="1" w:styleId="affffffffffffffffffffffffffa">
    <w:name w:val="图片"/>
    <w:basedOn w:val="a0"/>
    <w:pPr>
      <w:spacing w:line="360" w:lineRule="auto"/>
    </w:pPr>
    <w:rPr>
      <w:sz w:val="24"/>
      <w:szCs w:val="20"/>
    </w:rPr>
  </w:style>
  <w:style w:type="paragraph" w:customStyle="1" w:styleId="NumberedList1">
    <w:name w:val="Numbered List 1"/>
    <w:basedOn w:val="a9"/>
    <w:pPr>
      <w:widowControl/>
      <w:tabs>
        <w:tab w:val="left" w:pos="132"/>
      </w:tabs>
      <w:spacing w:after="120" w:line="240" w:lineRule="atLeast"/>
      <w:ind w:left="132" w:firstLine="38"/>
      <w:jc w:val="left"/>
    </w:pPr>
    <w:rPr>
      <w:rFonts w:ascii="Times New Roman"/>
      <w:szCs w:val="22"/>
      <w:u w:val="single"/>
      <w:lang w:val="en-GB"/>
    </w:rPr>
  </w:style>
  <w:style w:type="paragraph" w:customStyle="1" w:styleId="Byline">
    <w:name w:val="Byline"/>
    <w:basedOn w:val="af2"/>
    <w:pPr>
      <w:widowControl/>
      <w:spacing w:line="240" w:lineRule="auto"/>
      <w:jc w:val="both"/>
    </w:pPr>
    <w:rPr>
      <w:rFonts w:ascii="Arial" w:hAnsi="Arial"/>
      <w:kern w:val="0"/>
      <w:sz w:val="24"/>
      <w:szCs w:val="20"/>
    </w:rPr>
  </w:style>
  <w:style w:type="character" w:customStyle="1" w:styleId="1TimesNewRomanChar">
    <w:name w:val="样式 样式 样式 样式 标题 1 + 宋体 三号 + 小三 + 宋体 + Times New Roman Char"/>
    <w:rPr>
      <w:rFonts w:ascii="宋体" w:eastAsia="宋体" w:hAnsi="宋体"/>
      <w:b/>
      <w:bCs/>
      <w:kern w:val="2"/>
      <w:sz w:val="21"/>
      <w:szCs w:val="21"/>
      <w:lang w:val="en-US" w:eastAsia="zh-CN" w:bidi="ar-SA"/>
    </w:rPr>
  </w:style>
  <w:style w:type="character" w:customStyle="1" w:styleId="zhangChar">
    <w:name w:val="zhang Char"/>
    <w:aliases w:val="正文 + 左 Char,行距: 1.5 倍行距 Char,ITTHEADER1 Char Char"/>
    <w:rPr>
      <w:rFonts w:ascii="宋体" w:eastAsia="宋体"/>
      <w:b/>
      <w:bCs/>
      <w:spacing w:val="20"/>
      <w:kern w:val="44"/>
      <w:sz w:val="44"/>
      <w:szCs w:val="44"/>
      <w:lang w:val="en-US" w:eastAsia="zh-CN" w:bidi="ar-SA"/>
    </w:rPr>
  </w:style>
  <w:style w:type="character" w:customStyle="1" w:styleId="1Char9">
    <w:name w:val="样式 标题 1章 + 五号 Char"/>
    <w:rPr>
      <w:rFonts w:ascii="宋体" w:eastAsia="宋体" w:hAnsi="宋体" w:cs="Arial"/>
      <w:b/>
      <w:bCs/>
      <w:caps/>
      <w:spacing w:val="10"/>
      <w:kern w:val="24"/>
      <w:sz w:val="21"/>
      <w:lang w:val="en-US" w:eastAsia="zh-CN" w:bidi="ar-SA"/>
    </w:rPr>
  </w:style>
  <w:style w:type="paragraph" w:customStyle="1" w:styleId="2Heading2">
    <w:name w:val="样式 标题 2一级条_Heading 2 + (中文) 宋体 五号 非加粗"/>
    <w:basedOn w:val="2"/>
    <w:pPr>
      <w:keepLines/>
      <w:numPr>
        <w:ilvl w:val="1"/>
      </w:numPr>
      <w:spacing w:after="260" w:line="416" w:lineRule="auto"/>
      <w:jc w:val="both"/>
    </w:pPr>
    <w:rPr>
      <w:rFonts w:eastAsia="宋体"/>
      <w:b w:val="0"/>
      <w:sz w:val="21"/>
    </w:rPr>
  </w:style>
  <w:style w:type="character" w:customStyle="1" w:styleId="CharCharChar5">
    <w:name w:val="文字缩进 Char Char Char"/>
    <w:aliases w:val="文字缩进 Char Char Char1"/>
    <w:rPr>
      <w:rFonts w:ascii="宋体" w:eastAsia="宋体" w:hAnsi="Courier New" w:cs="Courier New"/>
      <w:kern w:val="2"/>
      <w:sz w:val="21"/>
      <w:szCs w:val="21"/>
      <w:lang w:val="en-US" w:eastAsia="zh-CN" w:bidi="ar-SA"/>
    </w:rPr>
  </w:style>
  <w:style w:type="paragraph" w:customStyle="1" w:styleId="422">
    <w:name w:val="样式 标题 4段 + 首行缩进:  2 字符"/>
    <w:basedOn w:val="4"/>
    <w:pPr>
      <w:keepNext w:val="0"/>
      <w:keepLines w:val="0"/>
      <w:numPr>
        <w:ilvl w:val="3"/>
      </w:numPr>
      <w:spacing w:line="360" w:lineRule="auto"/>
      <w:jc w:val="both"/>
      <w:outlineLvl w:val="9"/>
    </w:pPr>
    <w:rPr>
      <w:rFonts w:ascii="Times New Roman" w:eastAsia="宋体" w:hAnsi="Times New Roman"/>
      <w:b w:val="0"/>
      <w:kern w:val="0"/>
      <w:sz w:val="21"/>
      <w:szCs w:val="24"/>
    </w:rPr>
  </w:style>
  <w:style w:type="character" w:customStyle="1" w:styleId="Charfffff8">
    <w:name w:val="正文 + 宋体 Char"/>
    <w:rPr>
      <w:rFonts w:eastAsia="宋体"/>
      <w:bCs/>
      <w:kern w:val="2"/>
      <w:sz w:val="21"/>
      <w:szCs w:val="21"/>
      <w:lang w:val="en-US" w:eastAsia="zh-CN" w:bidi="ar-SA"/>
    </w:rPr>
  </w:style>
  <w:style w:type="paragraph" w:customStyle="1" w:styleId="157">
    <w:name w:val="正文 + 行距: 1.5 倍行距"/>
    <w:basedOn w:val="afffffffffffffffffff6"/>
    <w:pPr>
      <w:keepNext/>
      <w:keepLines/>
      <w:spacing w:before="260" w:after="260" w:line="360" w:lineRule="auto"/>
      <w:ind w:firstLineChars="0" w:firstLine="0"/>
      <w:outlineLvl w:val="2"/>
    </w:pPr>
    <w:rPr>
      <w:rFonts w:eastAsia="宋体"/>
      <w:bCs/>
      <w:kern w:val="2"/>
      <w:sz w:val="21"/>
      <w:szCs w:val="21"/>
    </w:rPr>
  </w:style>
  <w:style w:type="paragraph" w:customStyle="1" w:styleId="affffffffffffffffffffffffffb">
    <w:name w:val="题目"/>
    <w:basedOn w:val="a0"/>
    <w:pPr>
      <w:spacing w:before="240" w:after="60" w:line="312" w:lineRule="auto"/>
      <w:jc w:val="center"/>
      <w:outlineLvl w:val="1"/>
    </w:pPr>
    <w:rPr>
      <w:rFonts w:ascii="Arial" w:hAnsi="Arial" w:cs="Arial"/>
      <w:b/>
      <w:bCs/>
      <w:kern w:val="28"/>
      <w:sz w:val="32"/>
      <w:szCs w:val="32"/>
    </w:rPr>
  </w:style>
  <w:style w:type="paragraph" w:customStyle="1" w:styleId="affffffffffffffffffffffffffc">
    <w:name w:val="首页脚注"/>
    <w:basedOn w:val="afa"/>
    <w:pPr>
      <w:keepLines/>
      <w:widowControl/>
      <w:tabs>
        <w:tab w:val="clear" w:pos="4153"/>
        <w:tab w:val="clear" w:pos="8306"/>
        <w:tab w:val="center" w:pos="4320"/>
      </w:tabs>
      <w:overflowPunct w:val="0"/>
      <w:autoSpaceDE w:val="0"/>
      <w:autoSpaceDN w:val="0"/>
      <w:adjustRightInd w:val="0"/>
      <w:snapToGrid/>
      <w:spacing w:line="360" w:lineRule="auto"/>
      <w:jc w:val="center"/>
      <w:textAlignment w:val="baseline"/>
    </w:pPr>
    <w:rPr>
      <w:rFonts w:eastAsia="宋体"/>
      <w:snapToGrid/>
      <w:kern w:val="2"/>
      <w:sz w:val="28"/>
      <w:szCs w:val="20"/>
    </w:rPr>
  </w:style>
  <w:style w:type="paragraph" w:customStyle="1" w:styleId="Sun">
    <w:name w:val="Sun"/>
    <w:basedOn w:val="a0"/>
    <w:pPr>
      <w:adjustRightInd w:val="0"/>
      <w:spacing w:line="360" w:lineRule="auto"/>
      <w:ind w:firstLine="567"/>
      <w:textAlignment w:val="baseline"/>
    </w:pPr>
    <w:rPr>
      <w:kern w:val="28"/>
      <w:sz w:val="28"/>
      <w:szCs w:val="20"/>
    </w:rPr>
  </w:style>
  <w:style w:type="paragraph" w:customStyle="1" w:styleId="5f5">
    <w:name w:val="正文表格5号"/>
    <w:basedOn w:val="a0"/>
    <w:pPr>
      <w:adjustRightInd w:val="0"/>
      <w:spacing w:line="312" w:lineRule="atLeast"/>
      <w:textAlignment w:val="baseline"/>
    </w:pPr>
    <w:rPr>
      <w:rFonts w:ascii="Arial" w:hAnsi="Arial"/>
      <w:kern w:val="0"/>
      <w:szCs w:val="20"/>
    </w:rPr>
  </w:style>
  <w:style w:type="paragraph" w:customStyle="1" w:styleId="affffffffffffffffffffffffffd">
    <w:name w:val="样式 节标 + 宋体 小四 非加粗"/>
    <w:basedOn w:val="afffffffffffffffffffff9"/>
    <w:rPr>
      <w:rFonts w:ascii="宋体" w:eastAsia="Arial" w:hAnsi="宋体"/>
      <w:b w:val="0"/>
      <w:sz w:val="24"/>
    </w:rPr>
  </w:style>
  <w:style w:type="character" w:customStyle="1" w:styleId="Charfffff9">
    <w:name w:val="节标 Char"/>
    <w:rPr>
      <w:rFonts w:eastAsia="宋体"/>
      <w:b/>
      <w:sz w:val="30"/>
      <w:lang w:val="en-US" w:eastAsia="zh-CN" w:bidi="ar-SA"/>
    </w:rPr>
  </w:style>
  <w:style w:type="character" w:customStyle="1" w:styleId="Charfffffa">
    <w:name w:val="样式 节标 + 宋体 小四 非加粗 Char"/>
    <w:rPr>
      <w:rFonts w:ascii="宋体" w:eastAsia="Arial" w:hAnsi="宋体"/>
      <w:b/>
      <w:sz w:val="24"/>
      <w:lang w:val="en-US" w:eastAsia="zh-CN" w:bidi="ar-SA"/>
    </w:rPr>
  </w:style>
  <w:style w:type="paragraph" w:customStyle="1" w:styleId="5515">
    <w:name w:val="样式 宋体 小四 加粗 段前: 5 磅 段后: 5 磅 行距: 1.5 倍行距"/>
    <w:basedOn w:val="1"/>
    <w:pPr>
      <w:keepLines/>
      <w:adjustRightInd w:val="0"/>
      <w:spacing w:beforeLines="0" w:before="0" w:afterLines="0" w:after="0"/>
      <w:jc w:val="left"/>
      <w:textAlignment w:val="baseline"/>
    </w:pPr>
    <w:rPr>
      <w:rFonts w:ascii="宋体" w:eastAsia="宋体"/>
      <w:spacing w:val="20"/>
      <w:kern w:val="44"/>
      <w:sz w:val="24"/>
      <w:szCs w:val="20"/>
    </w:rPr>
  </w:style>
  <w:style w:type="character" w:customStyle="1" w:styleId="Char27">
    <w:name w:val="条 Char2"/>
    <w:aliases w:val="标题 3 Char Char Char Char Char Char Char Char Char2,标题 3 Char Char Char Char Char Char Char Char Char Char Char Char1,标题 3 Char Char Char Char Char Char Char Char Char Char Char Char Char Char Char1"/>
    <w:rPr>
      <w:rFonts w:eastAsia="宋体"/>
      <w:bCs/>
      <w:kern w:val="2"/>
      <w:sz w:val="21"/>
      <w:szCs w:val="32"/>
      <w:lang w:val="en-US" w:eastAsia="zh-CN" w:bidi="ar-SA"/>
    </w:rPr>
  </w:style>
  <w:style w:type="character" w:customStyle="1" w:styleId="Char28">
    <w:name w:val="段 Char2"/>
    <w:aliases w:val="段 Char Char Char"/>
    <w:rPr>
      <w:rFonts w:ascii="Arial" w:eastAsia="黑体" w:hAnsi="Arial"/>
      <w:b/>
      <w:bCs/>
      <w:kern w:val="2"/>
      <w:sz w:val="28"/>
      <w:szCs w:val="28"/>
      <w:lang w:val="en-US" w:eastAsia="zh-CN" w:bidi="ar-SA"/>
    </w:rPr>
  </w:style>
  <w:style w:type="character" w:customStyle="1" w:styleId="affffffffffffffffffffffffffe">
    <w:name w:val="发布"/>
    <w:rPr>
      <w:rFonts w:ascii="黑体" w:eastAsia="黑体"/>
      <w:spacing w:val="85"/>
      <w:w w:val="100"/>
      <w:position w:val="3"/>
      <w:sz w:val="28"/>
      <w:szCs w:val="28"/>
    </w:rPr>
  </w:style>
  <w:style w:type="character" w:customStyle="1" w:styleId="321CharChar">
    <w:name w:val="样式 标题 3条 + 首行缩进:  2 字符1 Char Char"/>
    <w:rPr>
      <w:rFonts w:eastAsia="宋体"/>
      <w:kern w:val="2"/>
      <w:sz w:val="21"/>
      <w:szCs w:val="21"/>
      <w:lang w:val="en-US" w:eastAsia="zh-CN" w:bidi="ar-SA"/>
    </w:rPr>
  </w:style>
  <w:style w:type="paragraph" w:customStyle="1" w:styleId="3210">
    <w:name w:val="样式 标题 3条 + 首行缩进:  2 字符1"/>
    <w:basedOn w:val="3"/>
    <w:pPr>
      <w:numPr>
        <w:ilvl w:val="2"/>
      </w:numPr>
      <w:textAlignment w:val="baseline"/>
      <w:outlineLvl w:val="1"/>
    </w:pPr>
    <w:rPr>
      <w:rFonts w:ascii="Times New Roman" w:eastAsia="宋体"/>
      <w:b w:val="0"/>
      <w:bCs w:val="0"/>
      <w:sz w:val="21"/>
      <w:szCs w:val="21"/>
    </w:rPr>
  </w:style>
  <w:style w:type="paragraph" w:customStyle="1" w:styleId="42Char">
    <w:name w:val="样式 标题 4段 + 首行缩进:  2 字符 Char"/>
    <w:basedOn w:val="4"/>
    <w:link w:val="42CharChar"/>
    <w:pPr>
      <w:keepLines w:val="0"/>
      <w:numPr>
        <w:ilvl w:val="3"/>
      </w:numPr>
      <w:jc w:val="both"/>
      <w:outlineLvl w:val="2"/>
    </w:pPr>
    <w:rPr>
      <w:rFonts w:ascii="Times New Roman" w:eastAsia="宋体" w:hAnsi="Times New Roman"/>
      <w:sz w:val="21"/>
      <w:szCs w:val="24"/>
      <w:lang w:val="x-none" w:eastAsia="x-none"/>
    </w:rPr>
  </w:style>
  <w:style w:type="character" w:customStyle="1" w:styleId="42CharChar">
    <w:name w:val="样式 标题 4段 + 首行缩进:  2 字符 Char Char"/>
    <w:link w:val="42Char"/>
    <w:rPr>
      <w:b/>
      <w:bCs/>
      <w:kern w:val="2"/>
      <w:sz w:val="21"/>
      <w:szCs w:val="24"/>
    </w:rPr>
  </w:style>
  <w:style w:type="paragraph" w:customStyle="1" w:styleId="3ff7">
    <w:name w:val="样式 标题 3条 + 宋体 五号 非加粗"/>
    <w:basedOn w:val="3"/>
    <w:link w:val="3Char8"/>
    <w:pPr>
      <w:numPr>
        <w:ilvl w:val="2"/>
      </w:numPr>
      <w:spacing w:before="260" w:after="260" w:line="416" w:lineRule="auto"/>
      <w:jc w:val="both"/>
    </w:pPr>
    <w:rPr>
      <w:rFonts w:ascii="宋体" w:eastAsia="宋体" w:hAnsi="宋体"/>
      <w:bCs w:val="0"/>
      <w:sz w:val="21"/>
      <w:lang w:val="x-none" w:eastAsia="x-none"/>
    </w:rPr>
  </w:style>
  <w:style w:type="character" w:customStyle="1" w:styleId="3Char8">
    <w:name w:val="样式 标题 3条 + 宋体 五号 非加粗 Char"/>
    <w:link w:val="3ff7"/>
    <w:rPr>
      <w:rFonts w:ascii="宋体" w:hAnsi="宋体"/>
      <w:b/>
      <w:kern w:val="2"/>
      <w:sz w:val="21"/>
      <w:szCs w:val="32"/>
    </w:rPr>
  </w:style>
  <w:style w:type="character" w:customStyle="1" w:styleId="CharChar13">
    <w:name w:val="段 Char Char1"/>
    <w:aliases w:val="段 Char Char2"/>
    <w:rPr>
      <w:rFonts w:ascii="Arial" w:eastAsia="黑体" w:hAnsi="Arial" w:cs="Arial"/>
      <w:b/>
      <w:bCs/>
      <w:kern w:val="2"/>
      <w:sz w:val="28"/>
      <w:szCs w:val="28"/>
      <w:lang w:val="en-US" w:eastAsia="zh-CN" w:bidi="ar-SA"/>
    </w:rPr>
  </w:style>
  <w:style w:type="character" w:customStyle="1" w:styleId="121CharCharCharCharCharChar">
    <w:name w:val="样式 标题 1章 + 首行缩进:  2 字符1 Char Char Char Char Char Char"/>
    <w:link w:val="121CharCharCharCharChar"/>
    <w:rPr>
      <w:rFonts w:ascii="宋体" w:hAnsi="宋体" w:cs="宋体"/>
      <w:b/>
      <w:bCs/>
      <w:caps/>
      <w:spacing w:val="10"/>
      <w:kern w:val="24"/>
      <w:sz w:val="32"/>
      <w:szCs w:val="24"/>
    </w:rPr>
  </w:style>
  <w:style w:type="paragraph" w:customStyle="1" w:styleId="121CharCharCharCharChar">
    <w:name w:val="样式 标题 1章 + 首行缩进:  2 字符1 Char Char Char Char Char"/>
    <w:basedOn w:val="1"/>
    <w:link w:val="121CharCharCharCharCharChar"/>
    <w:pPr>
      <w:keepLines/>
      <w:adjustRightInd w:val="0"/>
      <w:spacing w:beforeLines="0" w:before="0" w:afterLines="0" w:after="0" w:line="240" w:lineRule="auto"/>
      <w:ind w:firstLineChars="200" w:firstLine="683"/>
      <w:jc w:val="left"/>
    </w:pPr>
    <w:rPr>
      <w:rFonts w:ascii="宋体" w:eastAsia="宋体"/>
      <w:bCs/>
      <w:caps/>
      <w:spacing w:val="10"/>
      <w:kern w:val="24"/>
      <w:lang w:val="x-none" w:eastAsia="x-none"/>
    </w:rPr>
  </w:style>
  <w:style w:type="character" w:customStyle="1" w:styleId="1CharCharCharCharCharChar">
    <w:name w:val="样式 标题 1章 + 五号 Char Char Char Char Char Char"/>
    <w:link w:val="1CharCharCharCharChar"/>
    <w:rPr>
      <w:rFonts w:ascii="宋体" w:hAnsi="宋体" w:cs="Arial"/>
      <w:b/>
      <w:bCs/>
      <w:caps/>
      <w:spacing w:val="10"/>
      <w:kern w:val="24"/>
      <w:sz w:val="21"/>
      <w:szCs w:val="24"/>
    </w:rPr>
  </w:style>
  <w:style w:type="paragraph" w:customStyle="1" w:styleId="1CharCharCharCharChar">
    <w:name w:val="样式 标题 1章 + 五号 Char Char Char Char Char"/>
    <w:basedOn w:val="1"/>
    <w:link w:val="1CharCharCharCharCharChar"/>
    <w:pPr>
      <w:keepLines/>
      <w:adjustRightInd w:val="0"/>
      <w:spacing w:beforeLines="0" w:before="0" w:afterLines="0" w:after="0" w:line="240" w:lineRule="auto"/>
      <w:ind w:firstLineChars="200" w:firstLine="420"/>
      <w:jc w:val="left"/>
    </w:pPr>
    <w:rPr>
      <w:rFonts w:ascii="宋体" w:eastAsia="宋体"/>
      <w:bCs/>
      <w:caps/>
      <w:spacing w:val="10"/>
      <w:kern w:val="24"/>
      <w:sz w:val="21"/>
      <w:lang w:val="x-none" w:eastAsia="x-none"/>
    </w:rPr>
  </w:style>
  <w:style w:type="character" w:customStyle="1" w:styleId="4CharCharCharCharCharCharChar">
    <w:name w:val="样式4 Char Char Char Char Char Char Char"/>
    <w:link w:val="4CharCharCharCharCharChar"/>
    <w:rPr>
      <w:rFonts w:cs="Arial"/>
      <w:b/>
      <w:bCs/>
      <w:sz w:val="21"/>
      <w:szCs w:val="28"/>
    </w:rPr>
  </w:style>
  <w:style w:type="paragraph" w:customStyle="1" w:styleId="4CharCharCharCharCharChar">
    <w:name w:val="样式4 Char Char Char Char Char Char"/>
    <w:basedOn w:val="4"/>
    <w:link w:val="4CharCharCharCharCharCharChar"/>
    <w:pPr>
      <w:numPr>
        <w:ilvl w:val="3"/>
      </w:numPr>
      <w:tabs>
        <w:tab w:val="left" w:pos="0"/>
        <w:tab w:val="left" w:pos="2100"/>
        <w:tab w:val="left" w:pos="2880"/>
      </w:tabs>
      <w:adjustRightInd w:val="0"/>
      <w:snapToGrid w:val="0"/>
      <w:spacing w:before="120" w:after="120"/>
      <w:ind w:left="420" w:hanging="420"/>
    </w:pPr>
    <w:rPr>
      <w:rFonts w:ascii="Times New Roman" w:eastAsia="宋体" w:hAnsi="Times New Roman"/>
      <w:kern w:val="0"/>
      <w:sz w:val="21"/>
      <w:lang w:val="x-none" w:eastAsia="x-none"/>
    </w:rPr>
  </w:style>
  <w:style w:type="character" w:customStyle="1" w:styleId="33CharCharCharCharCharCharCharCharCharCharCharCharCharChar">
    <w:name w:val="样式 标题 3条标题 3 Char Char Char Char Char Char Char Char Char + 宋体... Char Char Char Char Char"/>
    <w:link w:val="33CharCharCharCharCharCharCharCharCharCharCharCharChar"/>
    <w:rPr>
      <w:rFonts w:ascii="宋体" w:hAnsi="宋体"/>
      <w:bCs/>
      <w:caps/>
      <w:sz w:val="21"/>
      <w:szCs w:val="32"/>
    </w:rPr>
  </w:style>
  <w:style w:type="paragraph" w:customStyle="1" w:styleId="33CharCharCharCharCharCharCharCharCharCharCharCharChar">
    <w:name w:val="样式 标题 3条标题 3 Char Char Char Char Char Char Char Char Char + 宋体... Char Char Char Char"/>
    <w:basedOn w:val="3"/>
    <w:link w:val="33CharCharCharCharCharCharCharCharCharCharCharCharCharChar"/>
    <w:pPr>
      <w:numPr>
        <w:ilvl w:val="2"/>
      </w:numPr>
      <w:spacing w:before="260" w:after="260" w:line="415" w:lineRule="auto"/>
      <w:jc w:val="both"/>
    </w:pPr>
    <w:rPr>
      <w:rFonts w:ascii="宋体" w:eastAsia="宋体" w:hAnsi="宋体"/>
      <w:b w:val="0"/>
      <w:caps/>
      <w:kern w:val="0"/>
      <w:sz w:val="21"/>
      <w:lang w:val="x-none" w:eastAsia="x-none"/>
    </w:rPr>
  </w:style>
  <w:style w:type="paragraph" w:customStyle="1" w:styleId="514">
    <w:name w:val="样式 标题 5一级项 + 五号1"/>
    <w:basedOn w:val="5"/>
    <w:pPr>
      <w:keepNext w:val="0"/>
      <w:keepLines w:val="0"/>
      <w:spacing w:line="440" w:lineRule="exact"/>
      <w:jc w:val="left"/>
    </w:pPr>
    <w:rPr>
      <w:rFonts w:ascii="宋体" w:hAnsi="宋体" w:cs="宋体"/>
      <w:b w:val="0"/>
      <w:bCs w:val="0"/>
      <w:color w:val="000000"/>
      <w:sz w:val="21"/>
      <w:szCs w:val="24"/>
    </w:rPr>
  </w:style>
  <w:style w:type="character" w:customStyle="1" w:styleId="3CharCharCharCharCharCharCharCharChar">
    <w:name w:val="标题 3 Char Char Char Char Char Char Char Char Char"/>
    <w:aliases w:val="条1,标题 311"/>
    <w:rPr>
      <w:rFonts w:ascii="宋体" w:eastAsia="宋体" w:hAnsi="宋体" w:hint="eastAsia"/>
      <w:bCs/>
      <w:kern w:val="2"/>
      <w:sz w:val="21"/>
      <w:szCs w:val="32"/>
      <w:lang w:val="en-US" w:eastAsia="zh-CN" w:bidi="ar-SA"/>
    </w:rPr>
  </w:style>
  <w:style w:type="paragraph" w:customStyle="1" w:styleId="121CharCharCharChar">
    <w:name w:val="样式 标题 1章 + 首行缩进:  2 字符1 Char Char Char Char"/>
    <w:basedOn w:val="1"/>
    <w:pPr>
      <w:keepLines/>
      <w:adjustRightInd w:val="0"/>
      <w:spacing w:beforeLines="0" w:before="0" w:afterLines="0" w:after="0" w:line="240" w:lineRule="auto"/>
      <w:ind w:firstLineChars="200" w:firstLine="683"/>
      <w:jc w:val="left"/>
    </w:pPr>
    <w:rPr>
      <w:rFonts w:ascii="宋体" w:eastAsia="宋体" w:cs="宋体"/>
      <w:bCs/>
      <w:caps/>
      <w:spacing w:val="10"/>
      <w:kern w:val="24"/>
    </w:rPr>
  </w:style>
  <w:style w:type="paragraph" w:customStyle="1" w:styleId="1CharCharCharChar0">
    <w:name w:val="样式 标题 1章 + 五号 Char Char Char Char"/>
    <w:basedOn w:val="1"/>
    <w:pPr>
      <w:keepLines/>
      <w:adjustRightInd w:val="0"/>
      <w:spacing w:beforeLines="0" w:before="0" w:afterLines="0" w:after="0" w:line="240" w:lineRule="auto"/>
      <w:ind w:firstLineChars="200" w:firstLine="420"/>
      <w:jc w:val="left"/>
    </w:pPr>
    <w:rPr>
      <w:rFonts w:ascii="宋体" w:eastAsia="宋体" w:cs="Arial"/>
      <w:bCs/>
      <w:caps/>
      <w:spacing w:val="10"/>
      <w:kern w:val="24"/>
      <w:sz w:val="21"/>
    </w:rPr>
  </w:style>
  <w:style w:type="paragraph" w:customStyle="1" w:styleId="4CharCharCharCharChar">
    <w:name w:val="样式4 Char Char Char Char Char"/>
    <w:basedOn w:val="4"/>
    <w:pPr>
      <w:numPr>
        <w:ilvl w:val="3"/>
      </w:numPr>
      <w:tabs>
        <w:tab w:val="left" w:pos="0"/>
        <w:tab w:val="left" w:pos="2100"/>
        <w:tab w:val="left" w:pos="2880"/>
      </w:tabs>
      <w:adjustRightInd w:val="0"/>
      <w:snapToGrid w:val="0"/>
      <w:spacing w:before="120" w:after="120"/>
      <w:ind w:left="420" w:hanging="420"/>
    </w:pPr>
    <w:rPr>
      <w:rFonts w:ascii="Times New Roman" w:eastAsia="宋体" w:hAnsi="Times New Roman" w:cs="Arial"/>
      <w:sz w:val="21"/>
    </w:rPr>
  </w:style>
  <w:style w:type="paragraph" w:customStyle="1" w:styleId="33CharCharCharCharCharCharCharCharCharCharCharChar">
    <w:name w:val="样式 标题 3条标题 3 Char Char Char Char Char Char Char Char Char + 宋体... Char Char Char"/>
    <w:basedOn w:val="3"/>
    <w:pPr>
      <w:numPr>
        <w:ilvl w:val="2"/>
      </w:numPr>
      <w:spacing w:before="260" w:after="260" w:line="415" w:lineRule="auto"/>
      <w:jc w:val="both"/>
    </w:pPr>
    <w:rPr>
      <w:rFonts w:ascii="宋体" w:eastAsia="宋体" w:hAnsi="宋体"/>
      <w:b w:val="0"/>
      <w:caps/>
      <w:sz w:val="21"/>
    </w:rPr>
  </w:style>
  <w:style w:type="paragraph" w:customStyle="1" w:styleId="afffffffffffffffffffffffffff">
    <w:name w:val="标题一"/>
    <w:basedOn w:val="a0"/>
    <w:pPr>
      <w:spacing w:line="360" w:lineRule="auto"/>
      <w:outlineLvl w:val="0"/>
    </w:pPr>
    <w:rPr>
      <w:rFonts w:eastAsia="黑体"/>
      <w:color w:val="FF0000"/>
      <w:sz w:val="24"/>
    </w:rPr>
  </w:style>
  <w:style w:type="paragraph" w:customStyle="1" w:styleId="126">
    <w:name w:val="样式 标题 1章 + 首行缩进:  2 字符"/>
    <w:basedOn w:val="1"/>
    <w:pPr>
      <w:keepLines/>
      <w:adjustRightInd w:val="0"/>
      <w:spacing w:beforeLines="0" w:before="0" w:afterLines="0" w:after="0" w:line="240" w:lineRule="auto"/>
      <w:ind w:firstLineChars="200" w:firstLine="420"/>
      <w:jc w:val="left"/>
    </w:pPr>
    <w:rPr>
      <w:rFonts w:ascii="宋体" w:eastAsia="宋体" w:cs="宋体"/>
      <w:bCs/>
      <w:caps/>
      <w:spacing w:val="10"/>
      <w:kern w:val="24"/>
    </w:rPr>
  </w:style>
  <w:style w:type="paragraph" w:customStyle="1" w:styleId="xl149">
    <w:name w:val="xl149"/>
    <w:basedOn w:val="a0"/>
    <w:pPr>
      <w:widowControl/>
      <w:pBdr>
        <w:top w:val="single" w:sz="4" w:space="0" w:color="auto"/>
        <w:left w:val="single" w:sz="4" w:space="0" w:color="auto"/>
        <w:bottom w:val="single" w:sz="4" w:space="0" w:color="auto"/>
      </w:pBdr>
      <w:spacing w:before="100" w:beforeAutospacing="1" w:after="100" w:afterAutospacing="1"/>
      <w:ind w:firstLineChars="200" w:firstLine="420"/>
      <w:jc w:val="left"/>
    </w:pPr>
    <w:rPr>
      <w:rFonts w:ascii="宋体" w:hAnsi="宋体" w:cs="宋体"/>
      <w:kern w:val="0"/>
      <w:sz w:val="22"/>
      <w:szCs w:val="22"/>
    </w:rPr>
  </w:style>
  <w:style w:type="paragraph" w:customStyle="1" w:styleId="xl150">
    <w:name w:val="xl150"/>
    <w:basedOn w:val="a0"/>
    <w:pPr>
      <w:widowControl/>
      <w:pBdr>
        <w:top w:val="single" w:sz="4" w:space="0" w:color="auto"/>
        <w:bottom w:val="single" w:sz="4" w:space="0" w:color="auto"/>
        <w:right w:val="single" w:sz="8" w:space="0" w:color="auto"/>
      </w:pBdr>
      <w:spacing w:before="100" w:beforeAutospacing="1" w:after="100" w:afterAutospacing="1"/>
      <w:ind w:firstLineChars="200" w:firstLine="420"/>
      <w:jc w:val="left"/>
    </w:pPr>
    <w:rPr>
      <w:rFonts w:ascii="宋体" w:hAnsi="宋体" w:cs="宋体"/>
      <w:kern w:val="0"/>
      <w:sz w:val="22"/>
      <w:szCs w:val="22"/>
    </w:rPr>
  </w:style>
  <w:style w:type="paragraph" w:customStyle="1" w:styleId="xl151">
    <w:name w:val="xl151"/>
    <w:basedOn w:val="a0"/>
    <w:pPr>
      <w:widowControl/>
      <w:pBdr>
        <w:top w:val="single" w:sz="4" w:space="0" w:color="auto"/>
        <w:left w:val="single" w:sz="4" w:space="0" w:color="auto"/>
        <w:bottom w:val="single" w:sz="4" w:space="0" w:color="auto"/>
      </w:pBdr>
      <w:spacing w:before="100" w:beforeAutospacing="1" w:after="100" w:afterAutospacing="1"/>
      <w:ind w:firstLineChars="200" w:firstLine="420"/>
      <w:jc w:val="left"/>
    </w:pPr>
    <w:rPr>
      <w:kern w:val="0"/>
      <w:sz w:val="22"/>
      <w:szCs w:val="22"/>
    </w:rPr>
  </w:style>
  <w:style w:type="paragraph" w:customStyle="1" w:styleId="xl152">
    <w:name w:val="xl152"/>
    <w:basedOn w:val="a0"/>
    <w:pPr>
      <w:widowControl/>
      <w:pBdr>
        <w:top w:val="single" w:sz="4" w:space="0" w:color="auto"/>
        <w:left w:val="single" w:sz="4" w:space="0" w:color="auto"/>
        <w:bottom w:val="single" w:sz="4" w:space="0" w:color="auto"/>
      </w:pBdr>
      <w:spacing w:before="100" w:beforeAutospacing="1" w:after="100" w:afterAutospacing="1"/>
      <w:ind w:firstLineChars="200" w:firstLine="420"/>
      <w:jc w:val="left"/>
    </w:pPr>
    <w:rPr>
      <w:rFonts w:ascii="宋体" w:hAnsi="宋体" w:cs="宋体"/>
      <w:kern w:val="0"/>
      <w:sz w:val="18"/>
      <w:szCs w:val="18"/>
    </w:rPr>
  </w:style>
  <w:style w:type="paragraph" w:customStyle="1" w:styleId="xl153">
    <w:name w:val="xl153"/>
    <w:basedOn w:val="a0"/>
    <w:pPr>
      <w:widowControl/>
      <w:pBdr>
        <w:top w:val="single" w:sz="4" w:space="0" w:color="auto"/>
        <w:bottom w:val="single" w:sz="4" w:space="0" w:color="auto"/>
      </w:pBdr>
      <w:spacing w:before="100" w:beforeAutospacing="1" w:after="100" w:afterAutospacing="1"/>
      <w:ind w:firstLineChars="200" w:firstLine="420"/>
      <w:jc w:val="left"/>
    </w:pPr>
    <w:rPr>
      <w:rFonts w:ascii="宋体" w:hAnsi="宋体" w:cs="宋体"/>
      <w:kern w:val="0"/>
      <w:sz w:val="18"/>
      <w:szCs w:val="18"/>
    </w:rPr>
  </w:style>
  <w:style w:type="paragraph" w:customStyle="1" w:styleId="xl154">
    <w:name w:val="xl154"/>
    <w:basedOn w:val="a0"/>
    <w:pPr>
      <w:widowControl/>
      <w:pBdr>
        <w:top w:val="single" w:sz="4" w:space="0" w:color="auto"/>
        <w:bottom w:val="single" w:sz="4" w:space="0" w:color="auto"/>
        <w:right w:val="single" w:sz="8" w:space="0" w:color="auto"/>
      </w:pBdr>
      <w:spacing w:before="100" w:beforeAutospacing="1" w:after="100" w:afterAutospacing="1"/>
      <w:ind w:firstLineChars="200" w:firstLine="420"/>
      <w:jc w:val="left"/>
    </w:pPr>
    <w:rPr>
      <w:rFonts w:ascii="宋体" w:hAnsi="宋体" w:cs="宋体"/>
      <w:kern w:val="0"/>
      <w:sz w:val="18"/>
      <w:szCs w:val="18"/>
    </w:rPr>
  </w:style>
  <w:style w:type="paragraph" w:customStyle="1" w:styleId="xl155">
    <w:name w:val="xl155"/>
    <w:basedOn w:val="a0"/>
    <w:pPr>
      <w:widowControl/>
      <w:pBdr>
        <w:top w:val="single" w:sz="4" w:space="0" w:color="auto"/>
        <w:left w:val="single" w:sz="4" w:space="0" w:color="auto"/>
        <w:bottom w:val="single" w:sz="4" w:space="0" w:color="auto"/>
      </w:pBdr>
      <w:spacing w:before="100" w:beforeAutospacing="1" w:after="100" w:afterAutospacing="1"/>
      <w:ind w:firstLineChars="200" w:firstLine="420"/>
      <w:jc w:val="left"/>
    </w:pPr>
    <w:rPr>
      <w:rFonts w:ascii="宋体" w:hAnsi="宋体" w:cs="宋体"/>
      <w:kern w:val="0"/>
      <w:sz w:val="22"/>
      <w:szCs w:val="22"/>
    </w:rPr>
  </w:style>
  <w:style w:type="paragraph" w:customStyle="1" w:styleId="xl156">
    <w:name w:val="xl156"/>
    <w:basedOn w:val="a0"/>
    <w:pPr>
      <w:widowControl/>
      <w:pBdr>
        <w:top w:val="single" w:sz="4" w:space="0" w:color="auto"/>
        <w:bottom w:val="single" w:sz="4" w:space="0" w:color="auto"/>
      </w:pBdr>
      <w:spacing w:before="100" w:beforeAutospacing="1" w:after="100" w:afterAutospacing="1"/>
      <w:ind w:firstLineChars="200" w:firstLine="420"/>
      <w:jc w:val="left"/>
    </w:pPr>
    <w:rPr>
      <w:rFonts w:ascii="宋体" w:hAnsi="宋体" w:cs="宋体"/>
      <w:kern w:val="0"/>
      <w:sz w:val="22"/>
      <w:szCs w:val="22"/>
    </w:rPr>
  </w:style>
  <w:style w:type="paragraph" w:customStyle="1" w:styleId="xl157">
    <w:name w:val="xl157"/>
    <w:basedOn w:val="a0"/>
    <w:pPr>
      <w:widowControl/>
      <w:pBdr>
        <w:top w:val="single" w:sz="4" w:space="0" w:color="auto"/>
        <w:bottom w:val="single" w:sz="4" w:space="0" w:color="auto"/>
        <w:right w:val="single" w:sz="8" w:space="0" w:color="auto"/>
      </w:pBdr>
      <w:spacing w:before="100" w:beforeAutospacing="1" w:after="100" w:afterAutospacing="1"/>
      <w:ind w:firstLineChars="200" w:firstLine="420"/>
      <w:jc w:val="left"/>
    </w:pPr>
    <w:rPr>
      <w:rFonts w:ascii="宋体" w:hAnsi="宋体" w:cs="宋体"/>
      <w:kern w:val="0"/>
      <w:sz w:val="22"/>
      <w:szCs w:val="22"/>
    </w:rPr>
  </w:style>
  <w:style w:type="paragraph" w:customStyle="1" w:styleId="xl158">
    <w:name w:val="xl158"/>
    <w:basedOn w:val="a0"/>
    <w:pPr>
      <w:widowControl/>
      <w:pBdr>
        <w:left w:val="single" w:sz="4" w:space="0" w:color="auto"/>
        <w:bottom w:val="single" w:sz="4" w:space="0" w:color="auto"/>
      </w:pBdr>
      <w:spacing w:before="100" w:beforeAutospacing="1" w:after="100" w:afterAutospacing="1"/>
      <w:ind w:firstLineChars="200" w:firstLine="420"/>
      <w:jc w:val="left"/>
    </w:pPr>
    <w:rPr>
      <w:rFonts w:ascii="宋体" w:hAnsi="宋体" w:cs="宋体"/>
      <w:kern w:val="0"/>
      <w:sz w:val="20"/>
      <w:szCs w:val="20"/>
    </w:rPr>
  </w:style>
  <w:style w:type="paragraph" w:customStyle="1" w:styleId="xl159">
    <w:name w:val="xl159"/>
    <w:basedOn w:val="a0"/>
    <w:pPr>
      <w:widowControl/>
      <w:pBdr>
        <w:bottom w:val="single" w:sz="4" w:space="0" w:color="auto"/>
        <w:right w:val="single" w:sz="4" w:space="0" w:color="auto"/>
      </w:pBdr>
      <w:spacing w:before="100" w:beforeAutospacing="1" w:after="100" w:afterAutospacing="1"/>
      <w:ind w:firstLineChars="200" w:firstLine="420"/>
      <w:jc w:val="left"/>
    </w:pPr>
    <w:rPr>
      <w:rFonts w:ascii="宋体" w:hAnsi="宋体" w:cs="宋体"/>
      <w:kern w:val="0"/>
      <w:sz w:val="20"/>
      <w:szCs w:val="20"/>
    </w:rPr>
  </w:style>
  <w:style w:type="paragraph" w:customStyle="1" w:styleId="xl160">
    <w:name w:val="xl160"/>
    <w:basedOn w:val="a0"/>
    <w:pPr>
      <w:widowControl/>
      <w:pBdr>
        <w:top w:val="single" w:sz="8" w:space="0" w:color="auto"/>
        <w:left w:val="single" w:sz="4" w:space="0" w:color="auto"/>
        <w:bottom w:val="single" w:sz="4" w:space="0" w:color="auto"/>
        <w:right w:val="single" w:sz="4" w:space="0" w:color="auto"/>
      </w:pBdr>
      <w:spacing w:before="100" w:beforeAutospacing="1" w:after="100" w:afterAutospacing="1"/>
      <w:ind w:firstLineChars="200" w:firstLine="420"/>
      <w:jc w:val="center"/>
    </w:pPr>
    <w:rPr>
      <w:rFonts w:ascii="宋体" w:hAnsi="宋体" w:cs="宋体"/>
      <w:b/>
      <w:bCs/>
      <w:kern w:val="0"/>
      <w:sz w:val="20"/>
      <w:szCs w:val="20"/>
    </w:rPr>
  </w:style>
  <w:style w:type="paragraph" w:customStyle="1" w:styleId="xl161">
    <w:name w:val="xl161"/>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420"/>
      <w:jc w:val="center"/>
    </w:pPr>
    <w:rPr>
      <w:rFonts w:ascii="宋体" w:hAnsi="宋体" w:cs="宋体"/>
      <w:b/>
      <w:bCs/>
      <w:kern w:val="0"/>
      <w:sz w:val="20"/>
      <w:szCs w:val="20"/>
    </w:rPr>
  </w:style>
  <w:style w:type="paragraph" w:customStyle="1" w:styleId="xl162">
    <w:name w:val="xl162"/>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ind w:firstLineChars="200" w:firstLine="420"/>
      <w:jc w:val="center"/>
    </w:pPr>
    <w:rPr>
      <w:rFonts w:ascii="宋体" w:hAnsi="宋体" w:cs="宋体"/>
      <w:b/>
      <w:bCs/>
      <w:kern w:val="0"/>
      <w:sz w:val="20"/>
      <w:szCs w:val="20"/>
    </w:rPr>
  </w:style>
  <w:style w:type="paragraph" w:customStyle="1" w:styleId="322">
    <w:name w:val="样式 标题 3条 + 首行缩进:  2 字符2"/>
    <w:basedOn w:val="3"/>
    <w:pPr>
      <w:numPr>
        <w:ilvl w:val="2"/>
      </w:numPr>
      <w:tabs>
        <w:tab w:val="left" w:pos="780"/>
      </w:tabs>
      <w:spacing w:beforeLines="50" w:line="240" w:lineRule="auto"/>
      <w:ind w:firstLineChars="200" w:firstLine="200"/>
    </w:pPr>
    <w:rPr>
      <w:rFonts w:ascii="宋体" w:eastAsia="宋体" w:hAnsi="宋体" w:cs="宋体"/>
      <w:b w:val="0"/>
      <w:bCs w:val="0"/>
      <w:spacing w:val="10"/>
      <w:kern w:val="0"/>
      <w:sz w:val="21"/>
      <w:szCs w:val="20"/>
    </w:rPr>
  </w:style>
  <w:style w:type="paragraph" w:customStyle="1" w:styleId="bodytextbtChar2">
    <w:name w:val="样式 正文文本body textbt正文文本 Char + 首行缩进:  2 字符"/>
    <w:basedOn w:val="a0"/>
    <w:pPr>
      <w:tabs>
        <w:tab w:val="left" w:pos="780"/>
      </w:tabs>
      <w:ind w:left="704" w:firstLineChars="200" w:hanging="284"/>
    </w:pPr>
  </w:style>
  <w:style w:type="paragraph" w:customStyle="1" w:styleId="1212">
    <w:name w:val="样式 标题 1章 + 首行缩进:  2 字符1"/>
    <w:basedOn w:val="1"/>
    <w:pPr>
      <w:keepLines/>
      <w:adjustRightInd w:val="0"/>
      <w:spacing w:beforeLines="0" w:before="0" w:afterLines="0" w:after="0" w:line="240" w:lineRule="auto"/>
      <w:ind w:firstLineChars="200" w:firstLine="683"/>
      <w:jc w:val="left"/>
    </w:pPr>
    <w:rPr>
      <w:rFonts w:ascii="宋体" w:eastAsia="宋体" w:cs="宋体"/>
      <w:bCs/>
      <w:caps/>
      <w:spacing w:val="10"/>
      <w:kern w:val="24"/>
    </w:rPr>
  </w:style>
  <w:style w:type="paragraph" w:customStyle="1" w:styleId="1fffffe">
    <w:name w:val="样式 标题 1章 + 五号"/>
    <w:basedOn w:val="1"/>
    <w:pPr>
      <w:keepLines/>
      <w:adjustRightInd w:val="0"/>
      <w:spacing w:beforeLines="0" w:before="0" w:afterLines="0" w:after="0" w:line="240" w:lineRule="auto"/>
      <w:ind w:firstLineChars="200" w:firstLine="420"/>
      <w:jc w:val="left"/>
    </w:pPr>
    <w:rPr>
      <w:rFonts w:ascii="宋体" w:eastAsia="宋体" w:cs="Arial"/>
      <w:bCs/>
      <w:caps/>
      <w:spacing w:val="10"/>
      <w:kern w:val="24"/>
      <w:sz w:val="21"/>
    </w:rPr>
  </w:style>
  <w:style w:type="paragraph" w:customStyle="1" w:styleId="3211">
    <w:name w:val="321"/>
    <w:basedOn w:val="a0"/>
    <w:pPr>
      <w:widowControl/>
      <w:spacing w:before="100" w:beforeAutospacing="1" w:after="100" w:afterAutospacing="1"/>
      <w:jc w:val="left"/>
    </w:pPr>
    <w:rPr>
      <w:rFonts w:ascii="宋体" w:hAnsi="宋体" w:cs="宋体"/>
      <w:kern w:val="0"/>
      <w:sz w:val="24"/>
    </w:rPr>
  </w:style>
  <w:style w:type="paragraph" w:customStyle="1" w:styleId="94">
    <w:name w:val="样式9"/>
    <w:basedOn w:val="a0"/>
    <w:pPr>
      <w:keepNext/>
      <w:keepLines/>
      <w:widowControl/>
      <w:tabs>
        <w:tab w:val="left" w:pos="720"/>
      </w:tabs>
      <w:spacing w:before="120" w:after="120"/>
      <w:ind w:left="720" w:hanging="720"/>
      <w:outlineLvl w:val="2"/>
    </w:pPr>
    <w:rPr>
      <w:b/>
      <w:kern w:val="0"/>
      <w:szCs w:val="32"/>
    </w:rPr>
  </w:style>
  <w:style w:type="paragraph" w:customStyle="1" w:styleId="4Char3">
    <w:name w:val="样式4 Char"/>
    <w:basedOn w:val="4"/>
    <w:pPr>
      <w:numPr>
        <w:ilvl w:val="3"/>
      </w:numPr>
      <w:tabs>
        <w:tab w:val="left" w:pos="0"/>
        <w:tab w:val="left" w:pos="2100"/>
        <w:tab w:val="left" w:pos="2880"/>
      </w:tabs>
      <w:adjustRightInd w:val="0"/>
      <w:snapToGrid w:val="0"/>
      <w:spacing w:before="120" w:after="120"/>
      <w:ind w:left="420" w:hanging="420"/>
    </w:pPr>
    <w:rPr>
      <w:rFonts w:ascii="Times New Roman" w:eastAsia="宋体" w:hAnsi="Times New Roman" w:cs="Arial"/>
      <w:sz w:val="21"/>
    </w:rPr>
  </w:style>
  <w:style w:type="paragraph" w:customStyle="1" w:styleId="11c">
    <w:name w:val="样式11"/>
    <w:basedOn w:val="a0"/>
    <w:pPr>
      <w:keepNext/>
      <w:keepLines/>
      <w:widowControl/>
      <w:tabs>
        <w:tab w:val="left" w:pos="576"/>
      </w:tabs>
      <w:spacing w:before="120" w:after="120"/>
      <w:ind w:left="576" w:hanging="576"/>
      <w:jc w:val="left"/>
      <w:outlineLvl w:val="1"/>
    </w:pPr>
    <w:rPr>
      <w:b/>
      <w:kern w:val="0"/>
      <w:szCs w:val="20"/>
    </w:rPr>
  </w:style>
  <w:style w:type="paragraph" w:customStyle="1" w:styleId="5f6">
    <w:name w:val="样式 标题 5一级项 + 五号"/>
    <w:basedOn w:val="5"/>
    <w:pPr>
      <w:keepNext w:val="0"/>
      <w:keepLines w:val="0"/>
      <w:spacing w:line="440" w:lineRule="exact"/>
      <w:jc w:val="left"/>
    </w:pPr>
    <w:rPr>
      <w:rFonts w:ascii="宋体" w:hAnsi="宋体" w:cs="宋体"/>
      <w:b w:val="0"/>
      <w:bCs w:val="0"/>
      <w:color w:val="000000"/>
      <w:sz w:val="21"/>
      <w:szCs w:val="24"/>
    </w:rPr>
  </w:style>
  <w:style w:type="paragraph" w:customStyle="1" w:styleId="127">
    <w:name w:val="样式12"/>
    <w:basedOn w:val="4"/>
    <w:pPr>
      <w:numPr>
        <w:ilvl w:val="3"/>
      </w:numPr>
      <w:tabs>
        <w:tab w:val="left" w:pos="113"/>
        <w:tab w:val="left" w:pos="294"/>
        <w:tab w:val="left" w:pos="680"/>
      </w:tabs>
      <w:snapToGrid w:val="0"/>
      <w:spacing w:before="120" w:after="120"/>
      <w:ind w:left="864" w:hanging="864"/>
      <w:jc w:val="both"/>
    </w:pPr>
    <w:rPr>
      <w:rFonts w:ascii="Times New Roman" w:eastAsia="宋体" w:hAnsi="Times New Roman" w:cs="Arial"/>
      <w:kern w:val="0"/>
      <w:sz w:val="21"/>
      <w:szCs w:val="21"/>
    </w:rPr>
  </w:style>
  <w:style w:type="paragraph" w:customStyle="1" w:styleId="566">
    <w:name w:val="样式 标题 5 + 五号 段前: 6 磅 段后: 6 磅 行距: 单倍行距"/>
    <w:basedOn w:val="5"/>
    <w:pPr>
      <w:tabs>
        <w:tab w:val="left" w:pos="284"/>
        <w:tab w:val="left" w:pos="567"/>
        <w:tab w:val="left" w:pos="1134"/>
        <w:tab w:val="left" w:pos="1191"/>
      </w:tabs>
      <w:snapToGrid w:val="0"/>
      <w:spacing w:before="120" w:after="120"/>
      <w:ind w:left="1191" w:hanging="1191"/>
      <w:jc w:val="both"/>
    </w:pPr>
    <w:rPr>
      <w:rFonts w:ascii="宋体" w:hAnsi="宋体" w:cs="宋体"/>
      <w:bCs w:val="0"/>
      <w:kern w:val="0"/>
      <w:sz w:val="21"/>
      <w:szCs w:val="24"/>
    </w:rPr>
  </w:style>
  <w:style w:type="paragraph" w:customStyle="1" w:styleId="5f7">
    <w:name w:val="样式 标题 5一级项 + (符号) 宋体 五号"/>
    <w:basedOn w:val="5"/>
    <w:pPr>
      <w:keepNext w:val="0"/>
      <w:keepLines w:val="0"/>
      <w:spacing w:line="440" w:lineRule="exact"/>
      <w:jc w:val="left"/>
    </w:pPr>
    <w:rPr>
      <w:rFonts w:ascii="宋体" w:hAnsi="宋体" w:cs="宋体"/>
      <w:b w:val="0"/>
      <w:bCs w:val="0"/>
      <w:color w:val="000000"/>
      <w:sz w:val="21"/>
      <w:szCs w:val="24"/>
    </w:rPr>
  </w:style>
  <w:style w:type="paragraph" w:customStyle="1" w:styleId="121CharChar">
    <w:name w:val="样式 标题 1章 + 首行缩进:  2 字符1 Char Char"/>
    <w:basedOn w:val="1"/>
    <w:pPr>
      <w:keepLines/>
      <w:adjustRightInd w:val="0"/>
      <w:spacing w:beforeLines="0" w:before="0" w:afterLines="0" w:after="0" w:line="240" w:lineRule="auto"/>
      <w:ind w:firstLineChars="200" w:firstLine="683"/>
      <w:jc w:val="left"/>
    </w:pPr>
    <w:rPr>
      <w:rFonts w:ascii="宋体" w:eastAsia="宋体" w:cs="宋体"/>
      <w:bCs/>
      <w:caps/>
      <w:spacing w:val="10"/>
      <w:kern w:val="24"/>
    </w:rPr>
  </w:style>
  <w:style w:type="paragraph" w:customStyle="1" w:styleId="1CharChar3">
    <w:name w:val="样式 标题 1章 + 五号 Char Char"/>
    <w:basedOn w:val="1"/>
    <w:pPr>
      <w:keepLines/>
      <w:adjustRightInd w:val="0"/>
      <w:spacing w:beforeLines="0" w:before="0" w:afterLines="0" w:after="0" w:line="240" w:lineRule="auto"/>
      <w:ind w:firstLineChars="200" w:firstLine="420"/>
      <w:jc w:val="left"/>
    </w:pPr>
    <w:rPr>
      <w:rFonts w:ascii="宋体" w:eastAsia="宋体" w:cs="Arial"/>
      <w:bCs/>
      <w:caps/>
      <w:spacing w:val="10"/>
      <w:kern w:val="24"/>
      <w:sz w:val="21"/>
    </w:rPr>
  </w:style>
  <w:style w:type="paragraph" w:customStyle="1" w:styleId="4CharCharChar0">
    <w:name w:val="样式4 Char Char Char"/>
    <w:basedOn w:val="4"/>
    <w:pPr>
      <w:numPr>
        <w:ilvl w:val="3"/>
      </w:numPr>
      <w:tabs>
        <w:tab w:val="left" w:pos="0"/>
        <w:tab w:val="left" w:pos="2100"/>
        <w:tab w:val="left" w:pos="2880"/>
      </w:tabs>
      <w:adjustRightInd w:val="0"/>
      <w:snapToGrid w:val="0"/>
      <w:spacing w:before="120" w:after="120"/>
      <w:ind w:left="420" w:hanging="420"/>
    </w:pPr>
    <w:rPr>
      <w:rFonts w:ascii="Times New Roman" w:eastAsia="宋体" w:hAnsi="Times New Roman" w:cs="Arial"/>
      <w:sz w:val="21"/>
    </w:rPr>
  </w:style>
  <w:style w:type="paragraph" w:customStyle="1" w:styleId="33CharCharCharCharCharCharCharCharCharChar">
    <w:name w:val="样式 标题 3条标题 3 Char Char Char Char Char Char Char Char Char + 宋体... Char"/>
    <w:basedOn w:val="3"/>
    <w:pPr>
      <w:numPr>
        <w:ilvl w:val="2"/>
      </w:numPr>
      <w:spacing w:before="260" w:after="260" w:line="412" w:lineRule="auto"/>
      <w:jc w:val="both"/>
    </w:pPr>
    <w:rPr>
      <w:rFonts w:ascii="宋体" w:eastAsia="宋体" w:hAnsi="宋体"/>
      <w:b w:val="0"/>
      <w:caps/>
      <w:sz w:val="21"/>
    </w:rPr>
  </w:style>
  <w:style w:type="paragraph" w:customStyle="1" w:styleId="33CharCharCharCharCharCharCharChar3Char">
    <w:name w:val="样式 标题 3条标题 3 Char Char Char Char Char Char Char Char标题 3 Char..."/>
    <w:basedOn w:val="3"/>
    <w:pPr>
      <w:numPr>
        <w:ilvl w:val="2"/>
      </w:numPr>
      <w:spacing w:before="260" w:after="260"/>
      <w:jc w:val="both"/>
    </w:pPr>
    <w:rPr>
      <w:rFonts w:ascii="宋体" w:eastAsia="宋体" w:hAnsi="宋体" w:cs="宋体"/>
      <w:b w:val="0"/>
      <w:bCs w:val="0"/>
      <w:sz w:val="21"/>
      <w:szCs w:val="21"/>
    </w:rPr>
  </w:style>
  <w:style w:type="character" w:customStyle="1" w:styleId="121Char0">
    <w:name w:val="样式 标题 1章 + 首行缩进:  2 字符1 Char"/>
    <w:rPr>
      <w:rFonts w:ascii="宋体" w:eastAsia="宋体" w:hAnsi="宋体" w:cs="宋体" w:hint="eastAsia"/>
      <w:b/>
      <w:bCs/>
      <w:caps/>
      <w:spacing w:val="10"/>
      <w:kern w:val="24"/>
      <w:sz w:val="32"/>
      <w:lang w:val="en-US" w:eastAsia="zh-CN" w:bidi="ar-SA"/>
    </w:rPr>
  </w:style>
  <w:style w:type="character" w:customStyle="1" w:styleId="9Char0">
    <w:name w:val="样式9 Char"/>
    <w:rPr>
      <w:rFonts w:ascii="宋体" w:eastAsia="宋体" w:hAnsi="宋体" w:hint="eastAsia"/>
      <w:b/>
      <w:bCs w:val="0"/>
      <w:sz w:val="21"/>
      <w:szCs w:val="32"/>
      <w:lang w:val="en-US" w:eastAsia="zh-CN" w:bidi="ar-SA"/>
    </w:rPr>
  </w:style>
  <w:style w:type="character" w:customStyle="1" w:styleId="4CharChar0">
    <w:name w:val="样式4 Char Char"/>
    <w:rPr>
      <w:rFonts w:ascii="宋体" w:eastAsia="宋体" w:hAnsi="宋体" w:hint="eastAsia"/>
      <w:b/>
      <w:bCs/>
      <w:kern w:val="2"/>
      <w:sz w:val="21"/>
      <w:szCs w:val="28"/>
      <w:lang w:val="en-US" w:eastAsia="zh-CN" w:bidi="ar-SA"/>
    </w:rPr>
  </w:style>
  <w:style w:type="character" w:customStyle="1" w:styleId="321CharCharCharCharCharChar">
    <w:name w:val="样式 标题 3条 + 首行缩进:  2 字符1 Char Char Char Char Char Char"/>
    <w:rPr>
      <w:rFonts w:ascii="宋体" w:eastAsia="宋体" w:hAnsi="宋体" w:hint="eastAsia"/>
      <w:b/>
      <w:bCs w:val="0"/>
      <w:sz w:val="21"/>
      <w:szCs w:val="21"/>
      <w:lang w:val="en-US" w:eastAsia="zh-CN" w:bidi="ar-SA"/>
    </w:rPr>
  </w:style>
  <w:style w:type="character" w:customStyle="1" w:styleId="321CharCharCharCharChar">
    <w:name w:val="样式 标题 3条 + 首行缩进:  2 字符1 Char Char Char Char Char"/>
    <w:rPr>
      <w:rFonts w:ascii="宋体" w:eastAsia="宋体" w:hAnsi="宋体" w:cs="宋体" w:hint="eastAsia"/>
      <w:b/>
      <w:bCs w:val="0"/>
      <w:spacing w:val="10"/>
      <w:kern w:val="2"/>
      <w:sz w:val="21"/>
      <w:szCs w:val="24"/>
      <w:lang w:val="en-US" w:eastAsia="zh-CN" w:bidi="ar-SA"/>
    </w:rPr>
  </w:style>
  <w:style w:type="character" w:customStyle="1" w:styleId="42CharCharCharCharCharChar">
    <w:name w:val="样式 标题 4段 + 首行缩进:  2 字符 Char Char Char Char Char Char"/>
    <w:rPr>
      <w:rFonts w:ascii="宋体" w:eastAsia="宋体" w:hAnsi="宋体" w:hint="eastAsia"/>
      <w:bCs/>
      <w:sz w:val="21"/>
      <w:szCs w:val="24"/>
      <w:lang w:val="en-US" w:eastAsia="zh-CN" w:bidi="ar-SA"/>
    </w:rPr>
  </w:style>
  <w:style w:type="character" w:customStyle="1" w:styleId="42CharCharCharCharChar">
    <w:name w:val="样式 标题 4段 + 首行缩进:  2 字符 Char Char Char Char Char"/>
    <w:rPr>
      <w:rFonts w:ascii="黑体" w:eastAsia="宋体" w:cs="宋体" w:hint="eastAsia"/>
      <w:b/>
      <w:bCs/>
      <w:kern w:val="2"/>
      <w:sz w:val="21"/>
      <w:szCs w:val="24"/>
      <w:lang w:val="en-US" w:eastAsia="zh-CN" w:bidi="ar-SA"/>
    </w:rPr>
  </w:style>
  <w:style w:type="character" w:customStyle="1" w:styleId="42CharCharChar">
    <w:name w:val="样式 标题 4段 + 首行缩进:  2 字符 Char Char Char"/>
    <w:rPr>
      <w:rFonts w:ascii="黑体" w:eastAsia="宋体" w:cs="宋体" w:hint="eastAsia"/>
      <w:b/>
      <w:bCs/>
      <w:kern w:val="2"/>
      <w:sz w:val="21"/>
      <w:szCs w:val="24"/>
      <w:lang w:val="en-US" w:eastAsia="zh-CN" w:bidi="ar-SA"/>
    </w:rPr>
  </w:style>
  <w:style w:type="character" w:customStyle="1" w:styleId="3CharChar3">
    <w:name w:val="样式 标题 3 Char条 Char + 宋体 五号 非加粗"/>
    <w:rPr>
      <w:rFonts w:ascii="宋体" w:eastAsia="宋体" w:hAnsi="宋体" w:hint="eastAsia"/>
      <w:b/>
      <w:bCs/>
      <w:kern w:val="2"/>
      <w:sz w:val="21"/>
      <w:szCs w:val="32"/>
      <w:lang w:val="en-US" w:eastAsia="zh-CN" w:bidi="ar-SA"/>
    </w:rPr>
  </w:style>
  <w:style w:type="character" w:customStyle="1" w:styleId="CharCharfffb">
    <w:name w:val="段 Char Char"/>
    <w:rPr>
      <w:rFonts w:ascii="Arial" w:eastAsia="黑体" w:hAnsi="Arial"/>
      <w:b/>
      <w:bCs/>
      <w:kern w:val="2"/>
      <w:sz w:val="28"/>
      <w:szCs w:val="28"/>
      <w:lang w:val="en-US" w:eastAsia="zh-CN" w:bidi="ar-SA"/>
    </w:rPr>
  </w:style>
  <w:style w:type="character" w:customStyle="1" w:styleId="Char1f8">
    <w:name w:val="二级项 Char1"/>
    <w:aliases w:val="标题1.1.1.1.1.1 Char1,H6 Char1,标题 55 Char Char1"/>
    <w:rPr>
      <w:rFonts w:ascii="Cambria" w:eastAsia="宋体" w:hAnsi="Cambria" w:cs="Times New Roman"/>
      <w:b/>
      <w:bCs/>
      <w:sz w:val="24"/>
      <w:szCs w:val="24"/>
    </w:rPr>
  </w:style>
  <w:style w:type="character" w:customStyle="1" w:styleId="aCharChar">
    <w:name w:val="干标题(a) Char Char"/>
    <w:rPr>
      <w:rFonts w:ascii="Arial" w:eastAsia="黑体" w:hAnsi="Arial" w:cs="Times New Roman"/>
      <w:kern w:val="0"/>
      <w:szCs w:val="20"/>
    </w:rPr>
  </w:style>
  <w:style w:type="character" w:customStyle="1" w:styleId="CharCharfffc">
    <w:name w:val="特点标题 Char Char"/>
    <w:rPr>
      <w:rFonts w:ascii="Times New Roman" w:eastAsia="宋体" w:hAnsi="Times New Roman" w:cs="Times New Roman"/>
      <w:spacing w:val="10"/>
      <w:sz w:val="24"/>
      <w:szCs w:val="24"/>
    </w:rPr>
  </w:style>
  <w:style w:type="character" w:customStyle="1" w:styleId="Footer1CharChar1">
    <w:name w:val="Footer1 Char Char1"/>
    <w:rPr>
      <w:rFonts w:ascii="Times New Roman" w:eastAsia="宋体" w:hAnsi="Times New Roman" w:cs="Times New Roman"/>
      <w:sz w:val="18"/>
      <w:szCs w:val="18"/>
    </w:rPr>
  </w:style>
  <w:style w:type="character" w:customStyle="1" w:styleId="21CharChar">
    <w:name w:val="正文文字缩进 21 Char Char"/>
    <w:rPr>
      <w:rFonts w:ascii="Times New Roman" w:eastAsia="宋体" w:hAnsi="Times New Roman" w:cs="Times New Roman"/>
      <w:szCs w:val="20"/>
    </w:rPr>
  </w:style>
  <w:style w:type="character" w:customStyle="1" w:styleId="5CharCharCharCharCharCharChar">
    <w:name w:val="标题 5 Char Char Char Char Char Char Char"/>
    <w:rPr>
      <w:rFonts w:ascii="Arial" w:eastAsia="黑体" w:hAnsi="Arial"/>
      <w:snapToGrid w:val="0"/>
      <w:spacing w:val="10"/>
      <w:w w:val="92"/>
      <w:kern w:val="24"/>
      <w:sz w:val="24"/>
      <w:lang w:val="en-US" w:eastAsia="zh-CN" w:bidi="ar-SA"/>
    </w:rPr>
  </w:style>
  <w:style w:type="character" w:customStyle="1" w:styleId="1Chara">
    <w:name w:val="1) Char"/>
    <w:aliases w:val="项 Char,无序号，小四黑常规，空两字 Char,无序号，小四黑常规，空两字 Char Char Char Char Char Char Char,标题 5 Char Char Char"/>
    <w:locked/>
    <w:rPr>
      <w:rFonts w:eastAsia="宋体"/>
      <w:b/>
      <w:bCs/>
      <w:kern w:val="2"/>
      <w:sz w:val="28"/>
      <w:szCs w:val="28"/>
      <w:lang w:val="en-US" w:eastAsia="zh-CN" w:bidi="ar-SA"/>
    </w:rPr>
  </w:style>
  <w:style w:type="character" w:customStyle="1" w:styleId="11d">
    <w:name w:val="超链接11"/>
    <w:rPr>
      <w:color w:val="auto"/>
      <w:sz w:val="18"/>
      <w:u w:val="none"/>
    </w:rPr>
  </w:style>
  <w:style w:type="paragraph" w:customStyle="1" w:styleId="11e">
    <w:name w:val="普通(网站)11"/>
    <w:basedOn w:val="a0"/>
    <w:pPr>
      <w:widowControl/>
      <w:adjustRightInd w:val="0"/>
      <w:spacing w:before="100" w:after="100"/>
      <w:jc w:val="left"/>
      <w:textAlignment w:val="baseline"/>
    </w:pPr>
    <w:rPr>
      <w:rFonts w:ascii="Arial Unicode MS" w:eastAsia="Arial Unicode MS" w:hAnsi="Arial Unicode MS"/>
      <w:color w:val="000000"/>
      <w:kern w:val="0"/>
      <w:sz w:val="24"/>
      <w:szCs w:val="20"/>
    </w:rPr>
  </w:style>
  <w:style w:type="paragraph" w:customStyle="1" w:styleId="Char1CharCharChar2">
    <w:name w:val="Char1 Char Char Char2"/>
    <w:basedOn w:val="a0"/>
    <w:pPr>
      <w:widowControl/>
      <w:tabs>
        <w:tab w:val="left" w:pos="377"/>
      </w:tabs>
    </w:pPr>
    <w:rPr>
      <w:kern w:val="0"/>
    </w:rPr>
  </w:style>
  <w:style w:type="paragraph" w:customStyle="1" w:styleId="1ffffff">
    <w:name w:val="访问过的超链接1"/>
    <w:uiPriority w:val="99"/>
    <w:pPr>
      <w:widowControl w:val="0"/>
      <w:jc w:val="both"/>
    </w:pPr>
    <w:rPr>
      <w:kern w:val="2"/>
      <w:sz w:val="21"/>
      <w:szCs w:val="24"/>
    </w:rPr>
  </w:style>
  <w:style w:type="paragraph" w:customStyle="1" w:styleId="1ffffff0">
    <w:name w:val="正文文本缩进1"/>
    <w:basedOn w:val="a0"/>
    <w:pPr>
      <w:widowControl/>
      <w:spacing w:line="360" w:lineRule="auto"/>
      <w:ind w:firstLine="480"/>
      <w:jc w:val="left"/>
    </w:pPr>
    <w:rPr>
      <w:rFonts w:ascii="Calibri" w:hAnsi="Calibri"/>
      <w:kern w:val="0"/>
      <w:sz w:val="28"/>
      <w:szCs w:val="22"/>
    </w:rPr>
  </w:style>
  <w:style w:type="character" w:customStyle="1" w:styleId="1ffffff1">
    <w:name w:val="批注引用1"/>
    <w:rPr>
      <w:sz w:val="21"/>
      <w:szCs w:val="21"/>
    </w:rPr>
  </w:style>
  <w:style w:type="paragraph" w:customStyle="1" w:styleId="318">
    <w:name w:val="正文文本缩进 31"/>
    <w:basedOn w:val="a0"/>
    <w:pPr>
      <w:spacing w:after="120"/>
      <w:ind w:leftChars="200" w:left="420"/>
    </w:pPr>
    <w:rPr>
      <w:rFonts w:ascii="Calibri" w:hAnsi="Calibri"/>
      <w:sz w:val="16"/>
      <w:szCs w:val="16"/>
    </w:rPr>
  </w:style>
  <w:style w:type="paragraph" w:customStyle="1" w:styleId="1ffffff2">
    <w:name w:val="批注主题1"/>
    <w:basedOn w:val="af"/>
    <w:next w:val="af"/>
    <w:rPr>
      <w:rFonts w:ascii="Calibri" w:hAnsi="Calibri"/>
      <w:b/>
      <w:bCs/>
      <w:kern w:val="0"/>
      <w:sz w:val="20"/>
      <w:szCs w:val="22"/>
    </w:rPr>
  </w:style>
  <w:style w:type="paragraph" w:customStyle="1" w:styleId="HTML11">
    <w:name w:val="HTML 预设格式1"/>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character" w:customStyle="1" w:styleId="1ffffff3">
    <w:name w:val="页码1"/>
  </w:style>
  <w:style w:type="paragraph" w:customStyle="1" w:styleId="afffffffffffffffffffffffffff0">
    <w:name w:val="正文 + (符号) 宋体"/>
    <w:basedOn w:val="a0"/>
    <w:pPr>
      <w:widowControl/>
      <w:tabs>
        <w:tab w:val="center" w:pos="4153"/>
        <w:tab w:val="right" w:pos="8306"/>
      </w:tabs>
      <w:adjustRightInd w:val="0"/>
      <w:snapToGrid w:val="0"/>
      <w:spacing w:line="360" w:lineRule="atLeast"/>
      <w:jc w:val="center"/>
      <w:textAlignment w:val="baseline"/>
    </w:pPr>
    <w:rPr>
      <w:rFonts w:ascii="宋体" w:hAnsi="宋体" w:cs="宋体"/>
      <w:color w:val="000000"/>
      <w:spacing w:val="20"/>
      <w:kern w:val="0"/>
      <w:sz w:val="18"/>
      <w:szCs w:val="18"/>
    </w:rPr>
  </w:style>
  <w:style w:type="paragraph" w:customStyle="1" w:styleId="2fffff7">
    <w:name w:val="纯文本2"/>
    <w:basedOn w:val="a0"/>
    <w:rPr>
      <w:rFonts w:ascii="宋体" w:hAnsi="Courier New"/>
      <w:szCs w:val="22"/>
    </w:rPr>
  </w:style>
  <w:style w:type="paragraph" w:customStyle="1" w:styleId="1ffffff4">
    <w:name w:val="文档结构图1"/>
    <w:basedOn w:val="a0"/>
    <w:rPr>
      <w:rFonts w:ascii="宋体" w:hAnsi="Calibri"/>
      <w:sz w:val="18"/>
      <w:szCs w:val="18"/>
    </w:rPr>
  </w:style>
  <w:style w:type="character" w:customStyle="1" w:styleId="CharChar90">
    <w:name w:val="Char Char9"/>
    <w:rPr>
      <w:kern w:val="2"/>
      <w:sz w:val="18"/>
      <w:szCs w:val="18"/>
    </w:rPr>
  </w:style>
  <w:style w:type="paragraph" w:customStyle="1" w:styleId="CharChar80">
    <w:name w:val="Char Char8"/>
    <w:basedOn w:val="a0"/>
    <w:rPr>
      <w:spacing w:val="10"/>
      <w:w w:val="95"/>
      <w:kern w:val="0"/>
      <w:sz w:val="20"/>
      <w:szCs w:val="20"/>
      <w:lang w:eastAsia="en-US"/>
    </w:rPr>
  </w:style>
  <w:style w:type="paragraph" w:customStyle="1" w:styleId="11f">
    <w:name w:val="目录 11"/>
    <w:basedOn w:val="a0"/>
    <w:uiPriority w:val="1"/>
    <w:qFormat/>
    <w:pPr>
      <w:spacing w:before="216"/>
      <w:jc w:val="left"/>
    </w:pPr>
    <w:rPr>
      <w:rFonts w:eastAsia="Times New Roman"/>
      <w:kern w:val="0"/>
      <w:sz w:val="18"/>
      <w:szCs w:val="18"/>
      <w:lang w:eastAsia="en-US"/>
    </w:rPr>
  </w:style>
  <w:style w:type="paragraph" w:customStyle="1" w:styleId="11f0">
    <w:name w:val="标题 11"/>
    <w:basedOn w:val="a0"/>
    <w:qFormat/>
    <w:pPr>
      <w:jc w:val="left"/>
      <w:outlineLvl w:val="1"/>
    </w:pPr>
    <w:rPr>
      <w:rFonts w:ascii="微软雅黑" w:eastAsia="微软雅黑" w:hAnsi="微软雅黑"/>
      <w:b/>
      <w:bCs/>
      <w:kern w:val="0"/>
      <w:sz w:val="32"/>
      <w:szCs w:val="32"/>
      <w:lang w:eastAsia="en-US"/>
    </w:rPr>
  </w:style>
  <w:style w:type="paragraph" w:customStyle="1" w:styleId="228">
    <w:name w:val="标题 22"/>
    <w:basedOn w:val="a0"/>
    <w:uiPriority w:val="1"/>
    <w:qFormat/>
    <w:pPr>
      <w:spacing w:before="14"/>
      <w:ind w:left="674"/>
      <w:jc w:val="left"/>
      <w:outlineLvl w:val="2"/>
    </w:pPr>
    <w:rPr>
      <w:rFonts w:ascii="黑体" w:eastAsia="黑体" w:hAnsi="黑体"/>
      <w:b/>
      <w:bCs/>
      <w:kern w:val="0"/>
      <w:sz w:val="28"/>
      <w:szCs w:val="28"/>
      <w:lang w:eastAsia="en-US"/>
    </w:rPr>
  </w:style>
  <w:style w:type="character" w:customStyle="1" w:styleId="CharChar28">
    <w:name w:val="Char Char28"/>
    <w:rPr>
      <w:rFonts w:ascii="Times New Roman" w:hAnsi="Times New Roman"/>
      <w:kern w:val="2"/>
      <w:sz w:val="21"/>
      <w:szCs w:val="24"/>
      <w:shd w:val="clear" w:color="auto" w:fill="000080"/>
    </w:rPr>
  </w:style>
  <w:style w:type="paragraph" w:customStyle="1" w:styleId="1ffffff5">
    <w:name w:val="宋体1"/>
    <w:basedOn w:val="a0"/>
    <w:pPr>
      <w:tabs>
        <w:tab w:val="left" w:pos="5280"/>
        <w:tab w:val="left" w:pos="5880"/>
      </w:tabs>
      <w:adjustRightInd w:val="0"/>
      <w:snapToGrid w:val="0"/>
      <w:jc w:val="center"/>
    </w:pPr>
    <w:rPr>
      <w:rFonts w:ascii="宋体" w:hAnsi="宋体" w:cs="宋体"/>
      <w:szCs w:val="21"/>
    </w:rPr>
  </w:style>
  <w:style w:type="paragraph" w:customStyle="1" w:styleId="2fffff8">
    <w:name w:val="正文首行缩进2字符"/>
    <w:basedOn w:val="a0"/>
    <w:semiHidden/>
    <w:pPr>
      <w:keepNext/>
      <w:adjustRightInd w:val="0"/>
      <w:snapToGrid w:val="0"/>
      <w:spacing w:line="360" w:lineRule="auto"/>
      <w:ind w:firstLineChars="200" w:firstLine="560"/>
      <w:jc w:val="left"/>
    </w:pPr>
    <w:rPr>
      <w:rFonts w:ascii="宋体" w:hAnsi="宋体" w:cs="宋体"/>
      <w:sz w:val="28"/>
      <w:szCs w:val="20"/>
    </w:rPr>
  </w:style>
  <w:style w:type="paragraph" w:customStyle="1" w:styleId="afffffffffffffffffffffffffff1">
    <w:name w:val="大标题"/>
    <w:basedOn w:val="a0"/>
    <w:pPr>
      <w:spacing w:line="540" w:lineRule="exact"/>
      <w:jc w:val="center"/>
    </w:pPr>
    <w:rPr>
      <w:rFonts w:eastAsia="方正小标宋简体"/>
      <w:sz w:val="36"/>
    </w:rPr>
  </w:style>
  <w:style w:type="paragraph" w:customStyle="1" w:styleId="TimesNewRoman0505">
    <w:name w:val="样式 章标题 + (西文) Times New Roman (中文) 宋体 黑色 段前: 0.5 行 段后: 0.5 行"/>
    <w:basedOn w:val="a0"/>
    <w:pPr>
      <w:widowControl/>
      <w:tabs>
        <w:tab w:val="left" w:pos="840"/>
      </w:tabs>
      <w:spacing w:beforeLines="50" w:afterLines="50"/>
      <w:ind w:left="840" w:hanging="420"/>
      <w:jc w:val="left"/>
      <w:outlineLvl w:val="1"/>
    </w:pPr>
    <w:rPr>
      <w:rFonts w:eastAsia="黑体" w:hAnsi="宋体" w:cs="宋体"/>
      <w:b/>
      <w:color w:val="000000"/>
      <w:kern w:val="0"/>
      <w:sz w:val="24"/>
      <w:szCs w:val="20"/>
    </w:rPr>
  </w:style>
  <w:style w:type="character" w:customStyle="1" w:styleId="afffffffffffffffffffffffffff2">
    <w:name w:val="个人答复风格"/>
    <w:rPr>
      <w:rFonts w:ascii="Arial" w:eastAsia="宋体" w:hAnsi="Arial" w:cs="Arial"/>
      <w:color w:val="auto"/>
      <w:sz w:val="20"/>
    </w:rPr>
  </w:style>
  <w:style w:type="character" w:customStyle="1" w:styleId="afffffffffffffffffffffffffff3">
    <w:name w:val="个人撰写风格"/>
    <w:rPr>
      <w:rFonts w:ascii="Arial" w:eastAsia="宋体" w:hAnsi="Arial" w:cs="Arial"/>
      <w:color w:val="auto"/>
      <w:sz w:val="20"/>
    </w:rPr>
  </w:style>
  <w:style w:type="character" w:customStyle="1" w:styleId="Pres-VyLge">
    <w:name w:val="Pres-VyLge"/>
    <w:rPr>
      <w:rFonts w:ascii="Arial" w:hAnsi="Arial" w:cs="Arial"/>
      <w:b/>
      <w:bCs/>
      <w:sz w:val="72"/>
      <w:szCs w:val="72"/>
      <w:lang w:val="en-US"/>
    </w:rPr>
  </w:style>
  <w:style w:type="character" w:customStyle="1" w:styleId="HTMLb">
    <w:name w:val="HTML 编码"/>
    <w:rPr>
      <w:rFonts w:ascii="Courier New" w:hAnsi="Courier New"/>
      <w:sz w:val="20"/>
      <w:szCs w:val="20"/>
    </w:rPr>
  </w:style>
  <w:style w:type="character" w:customStyle="1" w:styleId="HTMLc">
    <w:name w:val="HTML 站点"/>
    <w:rPr>
      <w:i/>
      <w:iCs/>
    </w:rPr>
  </w:style>
  <w:style w:type="paragraph" w:customStyle="1" w:styleId="TimesNewRoman05050">
    <w:name w:val="样式 样式 章标题 + (西文) Times New Roman (中文) 宋体 黑色 段前: 0.5 行 段后: 0.5 行 ..."/>
    <w:basedOn w:val="TimesNewRoman0505"/>
    <w:pPr>
      <w:tabs>
        <w:tab w:val="clear" w:pos="840"/>
      </w:tabs>
      <w:spacing w:before="166" w:after="166"/>
      <w:ind w:left="0" w:firstLine="0"/>
    </w:pPr>
    <w:rPr>
      <w:bCs/>
    </w:rPr>
  </w:style>
  <w:style w:type="paragraph" w:customStyle="1" w:styleId="300">
    <w:name w:val="样式 标题 3条 + 五号 段前: 0 磅 段后: 0 磅 行距: 单倍行距"/>
    <w:basedOn w:val="3"/>
    <w:pPr>
      <w:numPr>
        <w:ilvl w:val="2"/>
      </w:numPr>
      <w:tabs>
        <w:tab w:val="left" w:pos="360"/>
      </w:tabs>
      <w:spacing w:line="240" w:lineRule="auto"/>
      <w:jc w:val="both"/>
    </w:pPr>
    <w:rPr>
      <w:rFonts w:eastAsia="宋体" w:hAnsi="宋体" w:cs="宋体"/>
      <w:sz w:val="21"/>
      <w:szCs w:val="20"/>
    </w:rPr>
  </w:style>
  <w:style w:type="paragraph" w:customStyle="1" w:styleId="104">
    <w:name w:val="样式10"/>
    <w:basedOn w:val="77"/>
    <w:pPr>
      <w:keepLines/>
      <w:widowControl/>
      <w:tabs>
        <w:tab w:val="left" w:pos="360"/>
        <w:tab w:val="left" w:pos="416"/>
      </w:tabs>
      <w:spacing w:before="120" w:after="120" w:line="240" w:lineRule="auto"/>
      <w:ind w:left="680" w:hanging="626"/>
      <w:jc w:val="left"/>
      <w:outlineLvl w:val="1"/>
    </w:pPr>
    <w:rPr>
      <w:rFonts w:eastAsia="宋体"/>
      <w:bCs w:val="0"/>
      <w:sz w:val="21"/>
      <w:szCs w:val="20"/>
    </w:rPr>
  </w:style>
  <w:style w:type="paragraph" w:customStyle="1" w:styleId="1ffffff6">
    <w:name w:val="样式 标题 1章 + 五号 加粗"/>
    <w:basedOn w:val="1"/>
    <w:pPr>
      <w:tabs>
        <w:tab w:val="left" w:pos="284"/>
        <w:tab w:val="left" w:pos="360"/>
      </w:tabs>
      <w:spacing w:beforeLines="0" w:before="0" w:afterLines="0" w:after="0" w:line="240" w:lineRule="auto"/>
      <w:jc w:val="left"/>
    </w:pPr>
    <w:rPr>
      <w:rFonts w:ascii="Times New Roman" w:eastAsia="宋体" w:hAnsi="Times New Roman"/>
      <w:bCs/>
      <w:sz w:val="21"/>
      <w:szCs w:val="20"/>
    </w:rPr>
  </w:style>
  <w:style w:type="paragraph" w:customStyle="1" w:styleId="913">
    <w:name w:val="样式 样式9 +1"/>
    <w:basedOn w:val="94"/>
    <w:pPr>
      <w:tabs>
        <w:tab w:val="clear" w:pos="720"/>
        <w:tab w:val="left" w:pos="284"/>
        <w:tab w:val="left" w:pos="360"/>
        <w:tab w:val="left" w:pos="567"/>
      </w:tabs>
      <w:jc w:val="left"/>
    </w:pPr>
    <w:rPr>
      <w:bCs/>
      <w:lang w:val="zh-CN"/>
    </w:rPr>
  </w:style>
  <w:style w:type="paragraph" w:customStyle="1" w:styleId="afffffffffffffffffffffffffff4">
    <w:name w:val=".."/>
    <w:basedOn w:val="a0"/>
    <w:next w:val="a0"/>
    <w:pPr>
      <w:autoSpaceDE w:val="0"/>
      <w:autoSpaceDN w:val="0"/>
      <w:adjustRightInd w:val="0"/>
      <w:jc w:val="left"/>
    </w:pPr>
    <w:rPr>
      <w:rFonts w:ascii=".." w:eastAsia=".."/>
      <w:kern w:val="0"/>
      <w:sz w:val="24"/>
    </w:rPr>
  </w:style>
  <w:style w:type="paragraph" w:customStyle="1" w:styleId="afffffffffffffffffffffffffff5">
    <w:name w:val="偶数页脚注"/>
    <w:basedOn w:val="afa"/>
    <w:pPr>
      <w:numPr>
        <w:ilvl w:val="6"/>
      </w:numPr>
      <w:tabs>
        <w:tab w:val="clear" w:pos="4153"/>
        <w:tab w:val="clear" w:pos="8306"/>
        <w:tab w:val="right" w:pos="0"/>
        <w:tab w:val="left" w:pos="360"/>
        <w:tab w:val="center" w:pos="4320"/>
        <w:tab w:val="right" w:pos="8640"/>
      </w:tabs>
      <w:adjustRightInd w:val="0"/>
      <w:snapToGrid/>
      <w:spacing w:line="240" w:lineRule="atLeast"/>
      <w:jc w:val="right"/>
      <w:textAlignment w:val="baseline"/>
    </w:pPr>
    <w:rPr>
      <w:rFonts w:eastAsia="宋体"/>
      <w:snapToGrid/>
      <w:kern w:val="2"/>
      <w:szCs w:val="20"/>
    </w:rPr>
  </w:style>
  <w:style w:type="paragraph" w:customStyle="1" w:styleId="afffffffffffffffffffffffffff6">
    <w:name w:val="项目符号结尾"/>
    <w:basedOn w:val="ab"/>
    <w:next w:val="a0"/>
    <w:pPr>
      <w:tabs>
        <w:tab w:val="left" w:pos="360"/>
      </w:tabs>
      <w:spacing w:after="240" w:line="320" w:lineRule="atLeast"/>
      <w:ind w:left="720" w:hanging="285"/>
      <w:jc w:val="both"/>
    </w:pPr>
    <w:rPr>
      <w:kern w:val="0"/>
      <w:sz w:val="24"/>
    </w:rPr>
  </w:style>
  <w:style w:type="paragraph" w:customStyle="1" w:styleId="CommentText">
    <w:name w:val="Comment Text"/>
    <w:basedOn w:val="a0"/>
    <w:next w:val="a0"/>
    <w:pPr>
      <w:autoSpaceDE w:val="0"/>
      <w:autoSpaceDN w:val="0"/>
      <w:adjustRightInd w:val="0"/>
      <w:jc w:val="left"/>
    </w:pPr>
    <w:rPr>
      <w:rFonts w:ascii="Arial" w:hAnsi="Arial"/>
      <w:kern w:val="0"/>
      <w:sz w:val="24"/>
    </w:rPr>
  </w:style>
  <w:style w:type="paragraph" w:customStyle="1" w:styleId="323">
    <w:name w:val="标题 32"/>
    <w:basedOn w:val="Default"/>
    <w:next w:val="Default"/>
    <w:pPr>
      <w:spacing w:before="240" w:after="60" w:line="240" w:lineRule="auto"/>
      <w:ind w:firstLineChars="0" w:firstLine="0"/>
      <w:jc w:val="left"/>
    </w:pPr>
    <w:rPr>
      <w:rFonts w:ascii="Arial" w:eastAsia="宋体" w:hAnsi="Arial"/>
      <w:kern w:val="0"/>
      <w:sz w:val="24"/>
    </w:rPr>
  </w:style>
  <w:style w:type="paragraph" w:customStyle="1" w:styleId="130">
    <w:name w:val="样式13"/>
    <w:basedOn w:val="a0"/>
    <w:pPr>
      <w:tabs>
        <w:tab w:val="left" w:pos="360"/>
      </w:tabs>
    </w:pPr>
    <w:rPr>
      <w:rFonts w:ascii="宋体" w:hAnsi="宋体"/>
      <w:snapToGrid w:val="0"/>
      <w:kern w:val="0"/>
    </w:rPr>
  </w:style>
  <w:style w:type="paragraph" w:customStyle="1" w:styleId="140">
    <w:name w:val="样式14"/>
    <w:basedOn w:val="affffffffffffffb"/>
    <w:next w:val="130"/>
    <w:pPr>
      <w:tabs>
        <w:tab w:val="left" w:pos="360"/>
      </w:tabs>
      <w:spacing w:before="120" w:after="120"/>
      <w:jc w:val="both"/>
    </w:pPr>
    <w:rPr>
      <w:rFonts w:ascii="黑体"/>
    </w:rPr>
  </w:style>
  <w:style w:type="paragraph" w:customStyle="1" w:styleId="2Heading2TimesNewRoman6">
    <w:name w:val="样式 标题 2一级条_Heading 2 + Times New Roman 加粗 两端对齐 段前: 6 磅 段后:..."/>
    <w:basedOn w:val="2"/>
    <w:pPr>
      <w:keepNext w:val="0"/>
      <w:widowControl/>
      <w:numPr>
        <w:ilvl w:val="1"/>
      </w:numPr>
      <w:tabs>
        <w:tab w:val="left" w:pos="360"/>
      </w:tabs>
      <w:spacing w:after="120" w:line="240" w:lineRule="auto"/>
      <w:jc w:val="both"/>
    </w:pPr>
    <w:rPr>
      <w:rFonts w:ascii="Times New Roman" w:eastAsia="宋体" w:hAnsi="Times New Roman" w:cs="宋体"/>
      <w:bCs w:val="0"/>
      <w:sz w:val="28"/>
      <w:szCs w:val="28"/>
    </w:rPr>
  </w:style>
  <w:style w:type="paragraph" w:customStyle="1" w:styleId="4TimesNewRoman60">
    <w:name w:val="样式 标题 4段 + (西文) Times New Roman (中文) 宋体 五号 非加粗 段前: 6 磅 段后:..."/>
    <w:basedOn w:val="3"/>
    <w:pPr>
      <w:keepLines w:val="0"/>
      <w:widowControl/>
      <w:numPr>
        <w:ilvl w:val="2"/>
      </w:numPr>
      <w:spacing w:before="60" w:after="60" w:line="240" w:lineRule="auto"/>
      <w:jc w:val="both"/>
    </w:pPr>
    <w:rPr>
      <w:rFonts w:ascii="Times New Roman" w:eastAsia="宋体" w:cs="宋体"/>
      <w:b w:val="0"/>
      <w:kern w:val="21"/>
      <w:sz w:val="21"/>
      <w:szCs w:val="21"/>
    </w:rPr>
  </w:style>
  <w:style w:type="paragraph" w:customStyle="1" w:styleId="1ffffff7">
    <w:name w:val="样式 标题 1章 + 居中"/>
    <w:basedOn w:val="1"/>
    <w:pPr>
      <w:keepLines/>
      <w:tabs>
        <w:tab w:val="left" w:pos="360"/>
      </w:tabs>
      <w:spacing w:beforeLines="0" w:before="0" w:afterLines="0" w:after="0" w:line="240" w:lineRule="auto"/>
    </w:pPr>
    <w:rPr>
      <w:rFonts w:ascii="宋体" w:eastAsia="宋体" w:cs="宋体"/>
      <w:bCs/>
      <w:kern w:val="44"/>
      <w:sz w:val="28"/>
      <w:szCs w:val="28"/>
    </w:rPr>
  </w:style>
  <w:style w:type="paragraph" w:customStyle="1" w:styleId="466">
    <w:name w:val="样式 标题 4段 + 宋体 五号 非加粗 段前: 6 磅 段后: 6 磅 行距: 单倍行距"/>
    <w:basedOn w:val="4"/>
    <w:pPr>
      <w:numPr>
        <w:ilvl w:val="3"/>
      </w:numPr>
      <w:tabs>
        <w:tab w:val="left" w:pos="720"/>
      </w:tabs>
      <w:spacing w:before="120" w:after="120"/>
      <w:ind w:left="720"/>
      <w:jc w:val="both"/>
    </w:pPr>
    <w:rPr>
      <w:rFonts w:ascii="宋体" w:eastAsia="宋体" w:hAnsi="宋体" w:cs="宋体"/>
      <w:b w:val="0"/>
      <w:bCs w:val="0"/>
      <w:kern w:val="21"/>
      <w:sz w:val="21"/>
      <w:szCs w:val="20"/>
    </w:rPr>
  </w:style>
  <w:style w:type="paragraph" w:customStyle="1" w:styleId="166TimesNewRoman">
    <w:name w:val="样式 样式 标题 1章 + 四号 段前: 6 磅 段后: 6 磅 行距: 单倍行距 + Times New Roman"/>
    <w:basedOn w:val="166"/>
    <w:pPr>
      <w:tabs>
        <w:tab w:val="clear" w:pos="0"/>
        <w:tab w:val="left" w:pos="360"/>
        <w:tab w:val="left" w:pos="420"/>
      </w:tabs>
      <w:spacing w:line="360" w:lineRule="auto"/>
      <w:ind w:left="420" w:hanging="420"/>
    </w:pPr>
    <w:rPr>
      <w:rFonts w:ascii="Times New Roman" w:hAnsi="Times New Roman" w:cs="Times New Roman"/>
      <w:szCs w:val="21"/>
    </w:rPr>
  </w:style>
  <w:style w:type="paragraph" w:customStyle="1" w:styleId="3ff8">
    <w:name w:val="样式 标题 3 + 五号"/>
    <w:basedOn w:val="3"/>
    <w:pPr>
      <w:numPr>
        <w:ilvl w:val="2"/>
      </w:numPr>
      <w:spacing w:before="260" w:after="260" w:line="416" w:lineRule="auto"/>
      <w:jc w:val="both"/>
    </w:pPr>
    <w:rPr>
      <w:rFonts w:ascii="Times New Roman" w:eastAsia="宋体"/>
      <w:sz w:val="21"/>
    </w:rPr>
  </w:style>
  <w:style w:type="paragraph" w:customStyle="1" w:styleId="158">
    <w:name w:val="样式15"/>
    <w:basedOn w:val="a0"/>
    <w:pPr>
      <w:spacing w:line="312" w:lineRule="auto"/>
      <w:ind w:leftChars="63" w:left="132" w:firstLineChars="63" w:firstLine="132"/>
    </w:pPr>
    <w:rPr>
      <w:szCs w:val="21"/>
    </w:rPr>
  </w:style>
  <w:style w:type="paragraph" w:customStyle="1" w:styleId="160">
    <w:name w:val="样式16"/>
    <w:basedOn w:val="2"/>
    <w:pPr>
      <w:keepLines/>
      <w:numPr>
        <w:ilvl w:val="1"/>
      </w:numPr>
      <w:tabs>
        <w:tab w:val="left" w:pos="360"/>
        <w:tab w:val="left" w:pos="840"/>
      </w:tabs>
      <w:spacing w:after="120" w:line="240" w:lineRule="auto"/>
      <w:ind w:left="840" w:hanging="420"/>
      <w:jc w:val="both"/>
    </w:pPr>
    <w:rPr>
      <w:rFonts w:ascii="Times New Roman" w:eastAsia="宋体" w:hAnsi="Times New Roman"/>
      <w:bCs w:val="0"/>
      <w:snapToGrid w:val="0"/>
      <w:kern w:val="21"/>
      <w:sz w:val="21"/>
    </w:rPr>
  </w:style>
  <w:style w:type="paragraph" w:customStyle="1" w:styleId="173">
    <w:name w:val="样式17"/>
    <w:basedOn w:val="3"/>
    <w:pPr>
      <w:numPr>
        <w:ilvl w:val="2"/>
      </w:numPr>
      <w:tabs>
        <w:tab w:val="left" w:pos="360"/>
      </w:tabs>
      <w:spacing w:before="60" w:after="60" w:line="240" w:lineRule="auto"/>
      <w:jc w:val="both"/>
    </w:pPr>
    <w:rPr>
      <w:rFonts w:ascii="Times New Roman" w:eastAsia="宋体"/>
      <w:b w:val="0"/>
      <w:sz w:val="21"/>
    </w:rPr>
  </w:style>
  <w:style w:type="paragraph" w:customStyle="1" w:styleId="afffffffffffffffffffffffffff7">
    <w:name w:val="三级条目"/>
    <w:basedOn w:val="a0"/>
    <w:pPr>
      <w:tabs>
        <w:tab w:val="left" w:pos="0"/>
      </w:tabs>
      <w:spacing w:line="360" w:lineRule="auto"/>
      <w:outlineLvl w:val="4"/>
    </w:pPr>
  </w:style>
  <w:style w:type="paragraph" w:customStyle="1" w:styleId="afffffffffffffffffffffffffff8">
    <w:name w:val="一级条目"/>
    <w:basedOn w:val="a0"/>
    <w:pPr>
      <w:tabs>
        <w:tab w:val="left" w:pos="0"/>
      </w:tabs>
      <w:outlineLvl w:val="2"/>
    </w:pPr>
    <w:rPr>
      <w:rFonts w:ascii="黑体" w:eastAsia="黑体" w:hAnsi="宋体"/>
      <w:b/>
      <w:sz w:val="24"/>
    </w:rPr>
  </w:style>
  <w:style w:type="paragraph" w:customStyle="1" w:styleId="afffffffffffffffffffffffffff9">
    <w:name w:val="图"/>
    <w:basedOn w:val="a0"/>
    <w:pPr>
      <w:keepNext/>
      <w:widowControl/>
      <w:spacing w:before="240" w:after="120" w:line="360" w:lineRule="auto"/>
      <w:jc w:val="center"/>
    </w:pPr>
    <w:rPr>
      <w:spacing w:val="20"/>
      <w:kern w:val="0"/>
      <w:sz w:val="24"/>
      <w:szCs w:val="20"/>
    </w:rPr>
  </w:style>
  <w:style w:type="character" w:customStyle="1" w:styleId="txt41">
    <w:name w:val="txt41"/>
    <w:rPr>
      <w:rFonts w:ascii="Verdana" w:hAnsi="Verdana" w:hint="default"/>
      <w:strike w:val="0"/>
      <w:dstrike w:val="0"/>
      <w:color w:val="FFFFFF"/>
      <w:sz w:val="14"/>
      <w:szCs w:val="14"/>
      <w:u w:val="none"/>
    </w:rPr>
  </w:style>
  <w:style w:type="character" w:customStyle="1" w:styleId="CharChar25">
    <w:name w:val="Char Char25"/>
    <w:rPr>
      <w:rFonts w:ascii="Times New Roman" w:eastAsia="楷体_GB2312" w:hAnsi="Times New Roman"/>
      <w:caps/>
      <w:sz w:val="18"/>
    </w:rPr>
  </w:style>
  <w:style w:type="paragraph" w:customStyle="1" w:styleId="5f8">
    <w:name w:val="表格5"/>
    <w:basedOn w:val="a0"/>
    <w:pPr>
      <w:adjustRightInd w:val="0"/>
      <w:snapToGrid w:val="0"/>
      <w:spacing w:before="100" w:beforeAutospacing="1" w:after="100" w:afterAutospacing="1" w:line="360" w:lineRule="exact"/>
      <w:jc w:val="center"/>
    </w:pPr>
    <w:rPr>
      <w:rFonts w:ascii="宋体" w:cs="宋体"/>
      <w:szCs w:val="21"/>
    </w:rPr>
  </w:style>
  <w:style w:type="paragraph" w:customStyle="1" w:styleId="indent1">
    <w:name w:val="indent 1"/>
    <w:basedOn w:val="a0"/>
    <w:next w:val="a0"/>
    <w:pPr>
      <w:widowControl/>
      <w:tabs>
        <w:tab w:val="left" w:pos="1305"/>
      </w:tabs>
      <w:ind w:left="1305" w:right="20" w:hanging="585"/>
    </w:pPr>
    <w:rPr>
      <w:rFonts w:ascii="Times" w:hAnsi="Times"/>
      <w:kern w:val="0"/>
      <w:sz w:val="24"/>
      <w:szCs w:val="20"/>
      <w:lang w:eastAsia="en-US"/>
    </w:rPr>
  </w:style>
  <w:style w:type="paragraph" w:customStyle="1" w:styleId="indenta">
    <w:name w:val="indent (a)"/>
    <w:pPr>
      <w:tabs>
        <w:tab w:val="left" w:pos="2160"/>
      </w:tabs>
      <w:ind w:left="2160" w:hanging="720"/>
      <w:jc w:val="both"/>
    </w:pPr>
    <w:rPr>
      <w:rFonts w:ascii="Times" w:hAnsi="Times"/>
      <w:sz w:val="24"/>
      <w:lang w:eastAsia="en-US"/>
    </w:rPr>
  </w:style>
  <w:style w:type="character" w:customStyle="1" w:styleId="CharChar31">
    <w:name w:val="Char Char31"/>
    <w:rPr>
      <w:rFonts w:ascii="Times New Roman" w:hAnsi="Times New Roman"/>
      <w:b/>
      <w:bCs/>
      <w:kern w:val="2"/>
      <w:sz w:val="28"/>
      <w:szCs w:val="28"/>
    </w:rPr>
  </w:style>
  <w:style w:type="character" w:customStyle="1" w:styleId="CharChar300">
    <w:name w:val="Char Char30"/>
    <w:rPr>
      <w:rFonts w:ascii="Cambria" w:eastAsia="宋体" w:hAnsi="Cambria" w:cs="Times New Roman"/>
      <w:b/>
      <w:bCs/>
      <w:kern w:val="2"/>
      <w:sz w:val="24"/>
      <w:szCs w:val="24"/>
    </w:rPr>
  </w:style>
  <w:style w:type="paragraph" w:customStyle="1" w:styleId="4ff">
    <w:name w:val="表格4"/>
    <w:basedOn w:val="a0"/>
    <w:pPr>
      <w:adjustRightInd w:val="0"/>
      <w:snapToGrid w:val="0"/>
      <w:spacing w:line="360" w:lineRule="exact"/>
      <w:jc w:val="center"/>
    </w:pPr>
    <w:rPr>
      <w:rFonts w:ascii="宋体" w:cs="宋体"/>
      <w:szCs w:val="21"/>
    </w:rPr>
  </w:style>
  <w:style w:type="character" w:customStyle="1" w:styleId="CharCharfffd">
    <w:name w:val="章标题 Char Char"/>
    <w:rPr>
      <w:rFonts w:ascii="黑体" w:eastAsia="黑体"/>
      <w:sz w:val="21"/>
      <w:szCs w:val="24"/>
    </w:rPr>
  </w:style>
  <w:style w:type="character" w:customStyle="1" w:styleId="CharCharfffe">
    <w:name w:val="一级条标题 Char Char"/>
  </w:style>
  <w:style w:type="character" w:customStyle="1" w:styleId="CharCharffff">
    <w:name w:val="样式 一级条标题 + 宋体 Char Char"/>
    <w:link w:val="Charfffffb"/>
    <w:rPr>
      <w:rFonts w:ascii="宋体" w:eastAsia="黑体" w:hAnsi="宋体"/>
      <w:sz w:val="21"/>
      <w:szCs w:val="24"/>
    </w:rPr>
  </w:style>
  <w:style w:type="paragraph" w:customStyle="1" w:styleId="Charfffffb">
    <w:name w:val="样式 一级条标题 + 宋体 Char"/>
    <w:basedOn w:val="a0"/>
    <w:link w:val="CharCharffff"/>
    <w:pPr>
      <w:widowControl/>
      <w:tabs>
        <w:tab w:val="left" w:pos="360"/>
      </w:tabs>
      <w:ind w:leftChars="100" w:left="100" w:rightChars="100" w:right="100"/>
      <w:outlineLvl w:val="2"/>
    </w:pPr>
    <w:rPr>
      <w:rFonts w:ascii="宋体" w:eastAsia="黑体" w:hAnsi="宋体"/>
      <w:kern w:val="0"/>
      <w:lang w:val="x-none" w:eastAsia="x-none"/>
    </w:rPr>
  </w:style>
  <w:style w:type="paragraph" w:customStyle="1" w:styleId="2224">
    <w:name w:val="样式 样式 标题 2 + 首行缩进:  2 字符 + 首行缩进:  2 字符"/>
    <w:basedOn w:val="a0"/>
    <w:pPr>
      <w:keepNext/>
      <w:keepLines/>
      <w:spacing w:before="100" w:after="100"/>
      <w:ind w:firstLineChars="200" w:firstLine="200"/>
      <w:outlineLvl w:val="1"/>
    </w:pPr>
    <w:rPr>
      <w:rFonts w:ascii="Arial" w:eastAsia="黑体" w:hAnsi="Arial" w:cs="宋体"/>
      <w:b/>
      <w:bCs/>
      <w:sz w:val="32"/>
      <w:szCs w:val="20"/>
    </w:rPr>
  </w:style>
  <w:style w:type="paragraph" w:customStyle="1" w:styleId="Table">
    <w:name w:val="Table"/>
    <w:basedOn w:val="a0"/>
    <w:pPr>
      <w:keepNext/>
      <w:keepLines/>
      <w:spacing w:before="60"/>
      <w:jc w:val="left"/>
    </w:pPr>
    <w:rPr>
      <w:kern w:val="0"/>
      <w:sz w:val="20"/>
      <w:szCs w:val="20"/>
      <w:lang w:eastAsia="en-US"/>
    </w:rPr>
  </w:style>
  <w:style w:type="paragraph" w:customStyle="1" w:styleId="afffffffffffffffffffffffffffa">
    <w:name w:val="样式 一级条标题 + 宋体"/>
    <w:basedOn w:val="afffffffff7"/>
    <w:pPr>
      <w:tabs>
        <w:tab w:val="left" w:pos="360"/>
      </w:tabs>
      <w:ind w:leftChars="100" w:left="100" w:rightChars="100" w:right="100"/>
      <w:jc w:val="both"/>
    </w:pPr>
    <w:rPr>
      <w:rFonts w:ascii="宋体" w:eastAsia="宋体" w:hAnsi="宋体"/>
      <w:kern w:val="2"/>
      <w:szCs w:val="24"/>
    </w:rPr>
  </w:style>
  <w:style w:type="character" w:customStyle="1" w:styleId="bigtxt1">
    <w:name w:val="bigtxt1"/>
    <w:rPr>
      <w:sz w:val="21"/>
      <w:szCs w:val="21"/>
    </w:rPr>
  </w:style>
  <w:style w:type="paragraph" w:customStyle="1" w:styleId="1ffffff8">
    <w:name w:val="样式 标题 1章 + 宋体"/>
    <w:basedOn w:val="1"/>
    <w:pPr>
      <w:keepLines/>
      <w:adjustRightInd w:val="0"/>
      <w:snapToGrid w:val="0"/>
      <w:spacing w:beforeLines="0" w:before="100" w:beforeAutospacing="1" w:afterLines="0" w:after="100" w:afterAutospacing="1" w:line="300" w:lineRule="auto"/>
      <w:jc w:val="both"/>
    </w:pPr>
    <w:rPr>
      <w:rFonts w:ascii="宋体" w:eastAsia="宋体" w:cs="Arial"/>
      <w:b w:val="0"/>
      <w:kern w:val="44"/>
      <w:sz w:val="24"/>
      <w:szCs w:val="44"/>
    </w:rPr>
  </w:style>
  <w:style w:type="character" w:customStyle="1" w:styleId="oblogtext">
    <w:name w:val="oblog_text"/>
  </w:style>
  <w:style w:type="character" w:customStyle="1" w:styleId="unnamed1">
    <w:name w:val="unnamed1"/>
  </w:style>
  <w:style w:type="paragraph" w:customStyle="1" w:styleId="TableContent">
    <w:name w:val="TableContent"/>
    <w:basedOn w:val="a0"/>
    <w:pPr>
      <w:widowControl/>
      <w:tabs>
        <w:tab w:val="left" w:pos="720"/>
        <w:tab w:val="left" w:pos="1440"/>
      </w:tabs>
      <w:overflowPunct w:val="0"/>
      <w:autoSpaceDE w:val="0"/>
      <w:autoSpaceDN w:val="0"/>
      <w:adjustRightInd w:val="0"/>
      <w:spacing w:before="60"/>
      <w:jc w:val="left"/>
      <w:textAlignment w:val="baseline"/>
    </w:pPr>
    <w:rPr>
      <w:rFonts w:ascii="Futura Medium" w:hAnsi="Futura Medium"/>
      <w:kern w:val="0"/>
      <w:sz w:val="18"/>
      <w:szCs w:val="20"/>
      <w:lang w:val="en-GB" w:eastAsia="en-US"/>
    </w:rPr>
  </w:style>
  <w:style w:type="paragraph" w:customStyle="1" w:styleId="TableContent1stRow">
    <w:name w:val="TableContent1stRow"/>
    <w:basedOn w:val="TableContent"/>
    <w:next w:val="TableContent"/>
    <w:pPr>
      <w:jc w:val="center"/>
    </w:pPr>
    <w:rPr>
      <w:b/>
      <w:lang w:val="fr-FR"/>
    </w:rPr>
  </w:style>
  <w:style w:type="paragraph" w:customStyle="1" w:styleId="Items">
    <w:name w:val="Items"/>
    <w:basedOn w:val="a0"/>
    <w:pPr>
      <w:spacing w:line="360" w:lineRule="auto"/>
      <w:ind w:firstLine="567"/>
    </w:pPr>
    <w:rPr>
      <w:rFonts w:ascii="宋体" w:hAnsi="宋体"/>
      <w:color w:val="000000"/>
      <w:sz w:val="28"/>
      <w:szCs w:val="20"/>
    </w:rPr>
  </w:style>
  <w:style w:type="paragraph" w:customStyle="1" w:styleId="afffffffffffffffffffffffffffb">
    <w:name w:val="小题头"/>
    <w:basedOn w:val="a0"/>
    <w:pPr>
      <w:tabs>
        <w:tab w:val="left" w:pos="360"/>
      </w:tabs>
      <w:adjustRightInd w:val="0"/>
      <w:spacing w:line="312" w:lineRule="atLeast"/>
    </w:pPr>
    <w:rPr>
      <w:kern w:val="0"/>
      <w:szCs w:val="20"/>
    </w:rPr>
  </w:style>
  <w:style w:type="character" w:customStyle="1" w:styleId="title31">
    <w:name w:val="title31"/>
    <w:rPr>
      <w:rFonts w:ascii="宋体" w:eastAsia="宋体" w:hAnsi="宋体" w:hint="eastAsia"/>
      <w:i w:val="0"/>
      <w:iCs w:val="0"/>
      <w:color w:val="000000"/>
      <w:sz w:val="23"/>
      <w:szCs w:val="23"/>
    </w:rPr>
  </w:style>
  <w:style w:type="paragraph" w:customStyle="1" w:styleId="std-0">
    <w:name w:val="std-0"/>
    <w:basedOn w:val="a0"/>
    <w:pPr>
      <w:widowControl/>
      <w:tabs>
        <w:tab w:val="left" w:pos="0"/>
        <w:tab w:val="left" w:pos="284"/>
      </w:tabs>
      <w:spacing w:line="360" w:lineRule="atLeast"/>
      <w:jc w:val="left"/>
    </w:pPr>
    <w:rPr>
      <w:rFonts w:ascii="Arial" w:hAnsi="Arial"/>
      <w:kern w:val="0"/>
      <w:szCs w:val="20"/>
      <w:lang w:val="en-GB"/>
    </w:rPr>
  </w:style>
  <w:style w:type="paragraph" w:customStyle="1" w:styleId="3ff9">
    <w:name w:val="?(??)3"/>
    <w:basedOn w:val="2"/>
    <w:next w:val="a0"/>
    <w:pPr>
      <w:keepLines/>
      <w:numPr>
        <w:ilvl w:val="1"/>
      </w:numPr>
      <w:autoSpaceDE w:val="0"/>
      <w:autoSpaceDN w:val="0"/>
      <w:adjustRightInd w:val="0"/>
      <w:spacing w:line="460" w:lineRule="exact"/>
      <w:outlineLvl w:val="9"/>
    </w:pPr>
    <w:rPr>
      <w:rFonts w:ascii="Times New Roman" w:eastAsia="宋体" w:hAnsi="Times New Roman"/>
      <w:spacing w:val="3"/>
      <w:kern w:val="24"/>
      <w:szCs w:val="20"/>
    </w:rPr>
  </w:style>
  <w:style w:type="character" w:customStyle="1" w:styleId="Job">
    <w:name w:val="Job"/>
  </w:style>
  <w:style w:type="paragraph" w:customStyle="1" w:styleId="kk">
    <w:name w:val="kk"/>
    <w:basedOn w:val="af2"/>
    <w:pPr>
      <w:autoSpaceDE w:val="0"/>
      <w:autoSpaceDN w:val="0"/>
      <w:adjustRightInd w:val="0"/>
      <w:spacing w:line="360" w:lineRule="auto"/>
      <w:jc w:val="both"/>
      <w:textAlignment w:val="baseline"/>
    </w:pPr>
    <w:rPr>
      <w:spacing w:val="10"/>
      <w:kern w:val="0"/>
      <w:sz w:val="24"/>
      <w:szCs w:val="20"/>
    </w:rPr>
  </w:style>
  <w:style w:type="paragraph" w:customStyle="1" w:styleId="dl3">
    <w:name w:val="dl3"/>
    <w:basedOn w:val="a0"/>
    <w:pPr>
      <w:adjustRightInd w:val="0"/>
      <w:spacing w:line="312" w:lineRule="atLeast"/>
      <w:ind w:left="360"/>
      <w:textAlignment w:val="baseline"/>
    </w:pPr>
    <w:rPr>
      <w:kern w:val="0"/>
      <w:sz w:val="24"/>
      <w:szCs w:val="20"/>
    </w:rPr>
  </w:style>
  <w:style w:type="paragraph" w:customStyle="1" w:styleId="2fffff9">
    <w:name w:val="?(??)2"/>
    <w:basedOn w:val="3ff9"/>
    <w:next w:val="1ffffff9"/>
    <w:rPr>
      <w:b w:val="0"/>
    </w:rPr>
  </w:style>
  <w:style w:type="paragraph" w:customStyle="1" w:styleId="1ffffff9">
    <w:name w:val="?(??)1"/>
    <w:basedOn w:val="2fffff9"/>
    <w:next w:val="afffffffffffffffffffffffffffc"/>
  </w:style>
  <w:style w:type="paragraph" w:customStyle="1" w:styleId="afffffffffffffffffffffffffffc">
    <w:name w:val="?"/>
    <w:basedOn w:val="a0"/>
    <w:pPr>
      <w:autoSpaceDE w:val="0"/>
      <w:autoSpaceDN w:val="0"/>
      <w:adjustRightInd w:val="0"/>
      <w:spacing w:line="460" w:lineRule="exact"/>
      <w:ind w:firstLine="482"/>
    </w:pPr>
    <w:rPr>
      <w:spacing w:val="3"/>
      <w:kern w:val="24"/>
      <w:sz w:val="24"/>
      <w:szCs w:val="20"/>
    </w:rPr>
  </w:style>
  <w:style w:type="paragraph" w:customStyle="1" w:styleId="02">
    <w:name w:val="一级标题0"/>
    <w:basedOn w:val="aff5"/>
    <w:pPr>
      <w:autoSpaceDE w:val="0"/>
      <w:autoSpaceDN w:val="0"/>
      <w:adjustRightInd w:val="0"/>
      <w:snapToGrid w:val="0"/>
      <w:spacing w:beforeLines="100" w:afterLines="100"/>
    </w:pPr>
    <w:rPr>
      <w:rFonts w:ascii="黑体" w:eastAsia="黑体" w:hAnsi="华文细黑" w:cs="Arial"/>
      <w:bCs w:val="0"/>
      <w:color w:val="000000"/>
      <w:lang w:val="en-US" w:eastAsia="zh-CN"/>
    </w:rPr>
  </w:style>
  <w:style w:type="paragraph" w:customStyle="1" w:styleId="03">
    <w:name w:val="二级标题0"/>
    <w:basedOn w:val="2"/>
    <w:pPr>
      <w:keepLines/>
      <w:widowControl/>
      <w:numPr>
        <w:ilvl w:val="1"/>
      </w:numPr>
      <w:tabs>
        <w:tab w:val="left" w:pos="840"/>
      </w:tabs>
      <w:spacing w:line="220" w:lineRule="atLeast"/>
      <w:ind w:left="840" w:right="-360" w:hanging="420"/>
    </w:pPr>
    <w:rPr>
      <w:rFonts w:ascii="宋体" w:eastAsia="宋体"/>
      <w:spacing w:val="-4"/>
      <w:kern w:val="0"/>
      <w:sz w:val="28"/>
      <w:szCs w:val="28"/>
      <w:lang w:val="en-US" w:eastAsia="zh-CN"/>
    </w:rPr>
  </w:style>
  <w:style w:type="paragraph" w:customStyle="1" w:styleId="1ffffffa">
    <w:name w:val="样式 标题 1 + 华文细黑 三号 居中"/>
    <w:basedOn w:val="1"/>
    <w:pPr>
      <w:keepLines/>
      <w:spacing w:beforeLines="0" w:before="0" w:afterLines="0" w:after="0" w:line="578" w:lineRule="auto"/>
    </w:pPr>
    <w:rPr>
      <w:rFonts w:ascii="华文细黑" w:eastAsia="华文细黑" w:hAnsi="华文细黑"/>
      <w:bCs/>
      <w:kern w:val="44"/>
      <w:szCs w:val="20"/>
    </w:rPr>
  </w:style>
  <w:style w:type="paragraph" w:customStyle="1" w:styleId="2fffffa">
    <w:name w:val="样式 标题 2 + 华文细黑 小三"/>
    <w:basedOn w:val="2"/>
    <w:pPr>
      <w:keepLines/>
      <w:numPr>
        <w:ilvl w:val="1"/>
      </w:numPr>
      <w:spacing w:after="260" w:line="416" w:lineRule="auto"/>
      <w:jc w:val="both"/>
    </w:pPr>
    <w:rPr>
      <w:rFonts w:ascii="华文细黑" w:eastAsia="华文细黑" w:hAnsi="华文细黑"/>
      <w:bCs w:val="0"/>
      <w:sz w:val="30"/>
    </w:rPr>
  </w:style>
  <w:style w:type="paragraph" w:customStyle="1" w:styleId="40742">
    <w:name w:val="样式 标题 4 + 左侧:  0.74 厘米 首行缩进:  2 字符"/>
    <w:basedOn w:val="4"/>
    <w:pPr>
      <w:keepNext w:val="0"/>
      <w:keepLines w:val="0"/>
      <w:numPr>
        <w:ilvl w:val="3"/>
      </w:numPr>
      <w:adjustRightInd w:val="0"/>
      <w:snapToGrid w:val="0"/>
      <w:spacing w:before="100" w:beforeAutospacing="1" w:after="100" w:afterAutospacing="1" w:line="360" w:lineRule="auto"/>
      <w:ind w:firstLineChars="200" w:firstLine="200"/>
    </w:pPr>
    <w:rPr>
      <w:rFonts w:ascii="Times New Roman" w:eastAsia="宋体" w:hAnsi="Times New Roman"/>
      <w:b w:val="0"/>
      <w:bCs w:val="0"/>
      <w:sz w:val="28"/>
      <w:szCs w:val="20"/>
    </w:rPr>
  </w:style>
  <w:style w:type="paragraph" w:customStyle="1" w:styleId="afffffffffffffffffffffffffffd">
    <w:name w:val="表格文本"/>
    <w:basedOn w:val="a0"/>
    <w:pPr>
      <w:widowControl/>
      <w:jc w:val="left"/>
    </w:pPr>
    <w:rPr>
      <w:rFonts w:ascii="宋体" w:hAnsi="Arial"/>
      <w:kern w:val="0"/>
      <w:szCs w:val="20"/>
    </w:rPr>
  </w:style>
  <w:style w:type="paragraph" w:customStyle="1" w:styleId="afffffffffffffffffffffffffffe">
    <w:name w:val="正文项目"/>
    <w:basedOn w:val="a0"/>
    <w:pPr>
      <w:tabs>
        <w:tab w:val="left" w:pos="900"/>
      </w:tabs>
      <w:ind w:left="900" w:hanging="420"/>
    </w:pPr>
  </w:style>
  <w:style w:type="paragraph" w:customStyle="1" w:styleId="102870">
    <w:name w:val="样式 正文1 + 左  0 字符 首行缩进:  2.87 字符 右  0 字符"/>
    <w:basedOn w:val="a0"/>
    <w:pPr>
      <w:adjustRightInd w:val="0"/>
      <w:spacing w:before="120" w:after="120" w:line="360" w:lineRule="atLeast"/>
      <w:ind w:firstLineChars="287" w:firstLine="689"/>
      <w:jc w:val="left"/>
      <w:textAlignment w:val="baseline"/>
    </w:pPr>
    <w:rPr>
      <w:rFonts w:ascii="宋体" w:cs="宋体"/>
      <w:kern w:val="0"/>
      <w:sz w:val="24"/>
      <w:szCs w:val="20"/>
    </w:rPr>
  </w:style>
  <w:style w:type="paragraph" w:customStyle="1" w:styleId="point">
    <w:name w:val="_point"/>
    <w:pPr>
      <w:ind w:left="1418" w:hanging="284"/>
      <w:jc w:val="both"/>
    </w:pPr>
    <w:rPr>
      <w:sz w:val="24"/>
      <w:lang w:val="fr-FR"/>
    </w:rPr>
  </w:style>
  <w:style w:type="paragraph" w:customStyle="1" w:styleId="177">
    <w:name w:val="样式 首行缩进:  1.77 字符"/>
    <w:basedOn w:val="a0"/>
    <w:pPr>
      <w:adjustRightInd w:val="0"/>
      <w:spacing w:line="360" w:lineRule="auto"/>
      <w:ind w:firstLineChars="177" w:firstLine="177"/>
      <w:jc w:val="left"/>
      <w:textAlignment w:val="baseline"/>
    </w:pPr>
    <w:rPr>
      <w:rFonts w:ascii="宋体" w:cs="宋体"/>
      <w:kern w:val="0"/>
      <w:sz w:val="24"/>
      <w:szCs w:val="20"/>
    </w:rPr>
  </w:style>
  <w:style w:type="paragraph" w:customStyle="1" w:styleId="RefertoDwg">
    <w:name w:val="Refer to Dwg"/>
    <w:basedOn w:val="a0"/>
    <w:pPr>
      <w:spacing w:after="60"/>
      <w:jc w:val="center"/>
    </w:pPr>
    <w:rPr>
      <w:kern w:val="0"/>
      <w:sz w:val="22"/>
      <w:szCs w:val="20"/>
    </w:rPr>
  </w:style>
  <w:style w:type="paragraph" w:customStyle="1" w:styleId="3--">
    <w:name w:val="3级-小四-黑体"/>
    <w:basedOn w:val="a0"/>
    <w:pPr>
      <w:tabs>
        <w:tab w:val="left" w:pos="4200"/>
      </w:tabs>
      <w:spacing w:beforeLines="50" w:afterLines="50" w:line="440" w:lineRule="exact"/>
      <w:outlineLvl w:val="2"/>
    </w:pPr>
    <w:rPr>
      <w:rFonts w:eastAsia="黑体"/>
      <w:kern w:val="0"/>
      <w:sz w:val="24"/>
    </w:rPr>
  </w:style>
  <w:style w:type="paragraph" w:customStyle="1" w:styleId="229">
    <w:name w:val="样式 行距: 固定值 22 磅"/>
    <w:basedOn w:val="a0"/>
    <w:pPr>
      <w:spacing w:line="360" w:lineRule="auto"/>
      <w:ind w:firstLineChars="200" w:firstLine="200"/>
    </w:pPr>
    <w:rPr>
      <w:rFonts w:cs="宋体"/>
      <w:szCs w:val="20"/>
    </w:rPr>
  </w:style>
  <w:style w:type="paragraph" w:customStyle="1" w:styleId="affffffffffffffffffffffffffff">
    <w:name w:val="图中"/>
    <w:basedOn w:val="a0"/>
    <w:pPr>
      <w:autoSpaceDE w:val="0"/>
      <w:autoSpaceDN w:val="0"/>
      <w:adjustRightInd w:val="0"/>
      <w:spacing w:beforeLines="50" w:line="360" w:lineRule="auto"/>
      <w:jc w:val="center"/>
      <w:textAlignment w:val="baseline"/>
    </w:pPr>
    <w:rPr>
      <w:rFonts w:ascii="宋体" w:hAnsi="宋体"/>
      <w:b/>
      <w:kern w:val="0"/>
      <w:szCs w:val="21"/>
    </w:rPr>
  </w:style>
  <w:style w:type="character" w:customStyle="1" w:styleId="CharChar23">
    <w:name w:val="Char Char23"/>
    <w:rPr>
      <w:rFonts w:eastAsia="宋体"/>
      <w:kern w:val="2"/>
      <w:sz w:val="21"/>
      <w:szCs w:val="24"/>
      <w:lang w:val="en-US" w:eastAsia="zh-CN" w:bidi="ar-SA"/>
    </w:rPr>
  </w:style>
  <w:style w:type="paragraph" w:customStyle="1" w:styleId="P3rdLevel">
    <w:name w:val="P3rd Level"/>
    <w:basedOn w:val="a0"/>
    <w:pPr>
      <w:jc w:val="center"/>
    </w:pPr>
    <w:rPr>
      <w:b/>
      <w:kern w:val="0"/>
      <w:sz w:val="26"/>
      <w:szCs w:val="20"/>
    </w:rPr>
  </w:style>
  <w:style w:type="paragraph" w:customStyle="1" w:styleId="P3rdLvl-SS">
    <w:name w:val="P3rd Lvl-SS"/>
    <w:basedOn w:val="a0"/>
    <w:pPr>
      <w:spacing w:line="226" w:lineRule="auto"/>
      <w:jc w:val="center"/>
    </w:pPr>
    <w:rPr>
      <w:b/>
      <w:kern w:val="0"/>
      <w:sz w:val="26"/>
      <w:szCs w:val="20"/>
    </w:rPr>
  </w:style>
  <w:style w:type="character" w:customStyle="1" w:styleId="Char29">
    <w:name w:val="一级条 Char2"/>
    <w:aliases w:val="Major Char2,_Heading 2 Char2,_Heading 2 Char Char Char Char Char3,_Heading 2 Char Char Char Char Char Char2,_Heading 2 Char Char Char Char Char Char Char Char Char2"/>
    <w:rPr>
      <w:rFonts w:ascii="Arial" w:eastAsia="黑体" w:hAnsi="Arial"/>
      <w:b/>
      <w:bCs/>
      <w:kern w:val="2"/>
      <w:sz w:val="32"/>
      <w:szCs w:val="32"/>
      <w:lang w:val="en-US" w:eastAsia="zh-CN" w:bidi="ar-SA"/>
    </w:rPr>
  </w:style>
  <w:style w:type="character" w:customStyle="1" w:styleId="CharChar15">
    <w:name w:val="文字缩进 Char Char1"/>
    <w:rPr>
      <w:rFonts w:ascii="宋体" w:eastAsia="宋体" w:hAnsi="Courier New"/>
      <w:kern w:val="2"/>
      <w:sz w:val="21"/>
      <w:lang w:val="en-US" w:eastAsia="zh-CN" w:bidi="ar-SA"/>
    </w:rPr>
  </w:style>
  <w:style w:type="paragraph" w:customStyle="1" w:styleId="2fffffb">
    <w:name w:val="标题 2+二级标题 小四"/>
    <w:basedOn w:val="a0"/>
    <w:pPr>
      <w:keepNext/>
      <w:keepLines/>
      <w:spacing w:line="360" w:lineRule="auto"/>
      <w:outlineLvl w:val="1"/>
    </w:pPr>
    <w:rPr>
      <w:rFonts w:ascii="宋体" w:hAnsi="宋体"/>
      <w:b/>
      <w:bCs/>
      <w:szCs w:val="21"/>
    </w:rPr>
  </w:style>
  <w:style w:type="character" w:customStyle="1" w:styleId="title21">
    <w:name w:val="title21"/>
    <w:rPr>
      <w:rFonts w:ascii="黑体" w:eastAsia="黑体" w:hint="eastAsia"/>
      <w:b/>
      <w:bCs/>
      <w:i w:val="0"/>
      <w:iCs w:val="0"/>
      <w:sz w:val="27"/>
      <w:szCs w:val="27"/>
    </w:rPr>
  </w:style>
  <w:style w:type="character" w:customStyle="1" w:styleId="3CharCharCharCharCharCharCharCharCharChar1">
    <w:name w:val="标题 3 Char Char Char Char Char Char Char Char Char Char1"/>
    <w:rPr>
      <w:b/>
      <w:bCs/>
      <w:kern w:val="2"/>
      <w:sz w:val="28"/>
      <w:szCs w:val="32"/>
    </w:rPr>
  </w:style>
  <w:style w:type="character" w:customStyle="1" w:styleId="CharChar26">
    <w:name w:val="Char Char26"/>
    <w:rPr>
      <w:rFonts w:eastAsia="宋体"/>
      <w:kern w:val="2"/>
      <w:sz w:val="18"/>
      <w:szCs w:val="18"/>
      <w:lang w:val="en-US" w:eastAsia="zh-CN" w:bidi="ar-SA"/>
    </w:rPr>
  </w:style>
  <w:style w:type="paragraph" w:customStyle="1" w:styleId="2--">
    <w:name w:val="2级-四号-黑体"/>
    <w:basedOn w:val="a0"/>
    <w:pPr>
      <w:spacing w:line="440" w:lineRule="exact"/>
      <w:ind w:firstLineChars="200" w:firstLine="420"/>
      <w:jc w:val="center"/>
    </w:pPr>
    <w:rPr>
      <w:rFonts w:eastAsia="黑体"/>
      <w:sz w:val="28"/>
    </w:rPr>
  </w:style>
  <w:style w:type="paragraph" w:customStyle="1" w:styleId="ok">
    <w:name w:val="三级ok"/>
    <w:basedOn w:val="a0"/>
    <w:pPr>
      <w:spacing w:before="120" w:after="120" w:line="440" w:lineRule="exact"/>
    </w:pPr>
    <w:rPr>
      <w:rFonts w:ascii="黑体" w:eastAsia="黑体" w:hAnsi="黑体" w:cs="宋体"/>
      <w:kern w:val="0"/>
      <w:sz w:val="24"/>
      <w:szCs w:val="20"/>
    </w:rPr>
  </w:style>
  <w:style w:type="paragraph" w:customStyle="1" w:styleId="CharCharCharCharCharCharCharChar10">
    <w:name w:val="样式 正文首行缩进正文首行缩进 Char Char Char Char Char Char正文首行缩进 Char Char ...1"/>
    <w:basedOn w:val="aff7"/>
    <w:link w:val="CharCharCharCharCharCharCharChar1Char"/>
    <w:pPr>
      <w:spacing w:after="0" w:line="360" w:lineRule="auto"/>
      <w:ind w:firstLineChars="200" w:firstLine="600"/>
    </w:pPr>
    <w:rPr>
      <w:spacing w:val="10"/>
      <w:kern w:val="28"/>
      <w:sz w:val="28"/>
      <w:szCs w:val="20"/>
    </w:rPr>
  </w:style>
  <w:style w:type="character" w:customStyle="1" w:styleId="CharCharCharCharCharCharCharChar1Char">
    <w:name w:val="样式 正文首行缩进正文首行缩进 Char Char Char Char Char Char正文首行缩进 Char Char ...1 Char"/>
    <w:link w:val="CharCharCharCharCharCharCharChar10"/>
    <w:rPr>
      <w:spacing w:val="10"/>
      <w:kern w:val="28"/>
      <w:sz w:val="28"/>
    </w:rPr>
  </w:style>
  <w:style w:type="paragraph" w:customStyle="1" w:styleId="2fffffc">
    <w:name w:val="正文文字缩进2"/>
    <w:basedOn w:val="1ff4"/>
    <w:next w:val="aff7"/>
    <w:pPr>
      <w:autoSpaceDE/>
      <w:autoSpaceDN/>
      <w:adjustRightInd/>
      <w:snapToGrid w:val="0"/>
      <w:spacing w:line="400" w:lineRule="exact"/>
      <w:ind w:left="1446" w:firstLine="397"/>
      <w:textAlignment w:val="auto"/>
    </w:pPr>
    <w:rPr>
      <w:spacing w:val="8"/>
      <w:kern w:val="24"/>
    </w:rPr>
  </w:style>
  <w:style w:type="paragraph" w:customStyle="1" w:styleId="YY">
    <w:name w:val="YY"/>
    <w:basedOn w:val="a0"/>
    <w:pPr>
      <w:adjustRightInd w:val="0"/>
      <w:snapToGrid w:val="0"/>
      <w:spacing w:line="320" w:lineRule="exact"/>
      <w:ind w:firstLineChars="1200" w:firstLine="2160"/>
      <w:jc w:val="left"/>
      <w:textAlignment w:val="center"/>
    </w:pPr>
    <w:rPr>
      <w:snapToGrid w:val="0"/>
      <w:color w:val="000000"/>
      <w:kern w:val="0"/>
      <w:sz w:val="18"/>
    </w:rPr>
  </w:style>
  <w:style w:type="paragraph" w:customStyle="1" w:styleId="5f9">
    <w:name w:val="表格5'号字"/>
    <w:basedOn w:val="1"/>
    <w:pPr>
      <w:keepLines/>
      <w:adjustRightInd w:val="0"/>
      <w:snapToGrid w:val="0"/>
      <w:spacing w:beforeLines="0" w:before="0" w:afterLines="0" w:after="0" w:line="280" w:lineRule="exact"/>
      <w:outlineLvl w:val="9"/>
    </w:pPr>
    <w:rPr>
      <w:rFonts w:ascii="Times New Roman" w:eastAsia="宋体" w:hAnsi="Times New Roman"/>
      <w:b w:val="0"/>
      <w:bCs/>
      <w:snapToGrid w:val="0"/>
      <w:color w:val="000000"/>
      <w:kern w:val="44"/>
      <w:sz w:val="18"/>
      <w:szCs w:val="20"/>
    </w:rPr>
  </w:style>
  <w:style w:type="character" w:customStyle="1" w:styleId="EmailStyle173">
    <w:name w:val="EmailStyle173"/>
    <w:rPr>
      <w:rFonts w:ascii="Arial" w:eastAsia="宋体" w:hAnsi="Arial" w:cs="Arial"/>
      <w:color w:val="auto"/>
      <w:sz w:val="20"/>
    </w:rPr>
  </w:style>
  <w:style w:type="character" w:customStyle="1" w:styleId="EmailStyle174">
    <w:name w:val="EmailStyle174"/>
    <w:rPr>
      <w:rFonts w:ascii="Arial" w:eastAsia="宋体" w:hAnsi="Arial" w:cs="Arial"/>
      <w:color w:val="auto"/>
      <w:sz w:val="20"/>
    </w:rPr>
  </w:style>
  <w:style w:type="paragraph" w:customStyle="1" w:styleId="21f0">
    <w:name w:val="日期21"/>
    <w:basedOn w:val="a0"/>
    <w:next w:val="a0"/>
    <w:pPr>
      <w:adjustRightInd w:val="0"/>
      <w:spacing w:before="60" w:after="60" w:line="360" w:lineRule="atLeast"/>
      <w:ind w:left="100" w:firstLine="425"/>
      <w:textAlignment w:val="baseline"/>
    </w:pPr>
    <w:rPr>
      <w:rFonts w:ascii="宋体"/>
      <w:kern w:val="0"/>
      <w:sz w:val="24"/>
      <w:szCs w:val="20"/>
    </w:rPr>
  </w:style>
  <w:style w:type="paragraph" w:customStyle="1" w:styleId="1118">
    <w:name w:val="标题 111"/>
    <w:basedOn w:val="a0"/>
    <w:next w:val="a0"/>
    <w:pPr>
      <w:autoSpaceDE w:val="0"/>
      <w:autoSpaceDN w:val="0"/>
      <w:adjustRightInd w:val="0"/>
      <w:spacing w:before="240" w:after="60"/>
      <w:jc w:val="left"/>
    </w:pPr>
    <w:rPr>
      <w:rFonts w:ascii="Arial" w:hAnsi="Arial"/>
      <w:kern w:val="0"/>
      <w:sz w:val="24"/>
    </w:rPr>
  </w:style>
  <w:style w:type="paragraph" w:customStyle="1" w:styleId="1522">
    <w:name w:val="样式 样式 样式 样式 四号 行距: 1.5 倍行距 + 首行缩进:  2 字符 + 首行缩进:  2 字符 + 首行缩进:  ..."/>
    <w:basedOn w:val="a0"/>
    <w:link w:val="1522Char"/>
    <w:pPr>
      <w:spacing w:line="360" w:lineRule="auto"/>
      <w:ind w:firstLineChars="200" w:firstLine="200"/>
    </w:pPr>
    <w:rPr>
      <w:spacing w:val="8"/>
      <w:sz w:val="28"/>
      <w:szCs w:val="28"/>
      <w:lang w:val="x-none" w:eastAsia="x-none"/>
    </w:rPr>
  </w:style>
  <w:style w:type="character" w:customStyle="1" w:styleId="1522Char">
    <w:name w:val="样式 样式 样式 样式 四号 行距: 1.5 倍行距 + 首行缩进:  2 字符 + 首行缩进:  2 字符 + 首行缩进:  ... Char"/>
    <w:link w:val="1522"/>
    <w:rPr>
      <w:spacing w:val="8"/>
      <w:kern w:val="2"/>
      <w:sz w:val="28"/>
      <w:szCs w:val="28"/>
    </w:rPr>
  </w:style>
  <w:style w:type="paragraph" w:customStyle="1" w:styleId="31113CharChar3CharHeadin">
    <w:name w:val="样式 样式 样式 样式 标题 31.1.1条标题 3 Char Char标题 3 Char三级标题，黑粗，四号，序号Headin..."/>
    <w:basedOn w:val="a0"/>
    <w:pPr>
      <w:keepNext/>
      <w:keepLines/>
      <w:spacing w:before="120" w:line="360" w:lineRule="auto"/>
      <w:ind w:firstLineChars="200" w:firstLine="200"/>
      <w:jc w:val="left"/>
      <w:outlineLvl w:val="2"/>
    </w:pPr>
    <w:rPr>
      <w:rFonts w:eastAsia="黑体" w:cs="宋体"/>
      <w:b/>
      <w:bCs/>
      <w:sz w:val="30"/>
      <w:szCs w:val="30"/>
    </w:rPr>
  </w:style>
  <w:style w:type="table" w:customStyle="1" w:styleId="1ffffffb">
    <w:name w:val="专业型1"/>
    <w:basedOn w:val="a2"/>
    <w:pPr>
      <w:widowControl w:val="0"/>
      <w:adjustRightInd w:val="0"/>
      <w:spacing w:line="360" w:lineRule="atLeast"/>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paragraph" w:customStyle="1" w:styleId="affffffffffffffffffffffffffff0">
    <w:name w:val="图表文字 格式"/>
    <w:basedOn w:val="a0"/>
    <w:link w:val="CharCharffff0"/>
    <w:pPr>
      <w:tabs>
        <w:tab w:val="left" w:pos="0"/>
      </w:tabs>
      <w:jc w:val="center"/>
      <w:outlineLvl w:val="0"/>
    </w:pPr>
    <w:rPr>
      <w:kern w:val="0"/>
      <w:szCs w:val="21"/>
      <w:lang w:val="x-none" w:eastAsia="x-none"/>
    </w:rPr>
  </w:style>
  <w:style w:type="character" w:customStyle="1" w:styleId="CharCharffff0">
    <w:name w:val="图表文字 格式 Char Char"/>
    <w:link w:val="affffffffffffffffffffffffffff0"/>
    <w:rPr>
      <w:sz w:val="21"/>
      <w:szCs w:val="21"/>
    </w:rPr>
  </w:style>
  <w:style w:type="character" w:customStyle="1" w:styleId="hps">
    <w:name w:val="hps"/>
  </w:style>
  <w:style w:type="paragraph" w:customStyle="1" w:styleId="21f1">
    <w:name w:val="正文文本 (2)1"/>
    <w:basedOn w:val="a0"/>
    <w:next w:val="af2"/>
    <w:link w:val="21f2"/>
    <w:uiPriority w:val="99"/>
    <w:pPr>
      <w:shd w:val="clear" w:color="auto" w:fill="FFFFFF"/>
      <w:spacing w:line="360" w:lineRule="auto"/>
      <w:ind w:firstLineChars="200" w:firstLine="200"/>
      <w:jc w:val="distribute"/>
    </w:pPr>
    <w:rPr>
      <w:rFonts w:ascii="MingLiU" w:eastAsia="Times New Roman"/>
      <w:snapToGrid w:val="0"/>
      <w:kern w:val="0"/>
      <w:sz w:val="28"/>
      <w:szCs w:val="26"/>
      <w:lang w:val="x-none" w:eastAsia="x-none"/>
    </w:rPr>
  </w:style>
  <w:style w:type="character" w:customStyle="1" w:styleId="21f2">
    <w:name w:val="正文文本 (2)1 字符"/>
    <w:link w:val="21f1"/>
    <w:uiPriority w:val="99"/>
    <w:locked/>
    <w:rPr>
      <w:rFonts w:ascii="MingLiU" w:eastAsia="Times New Roman"/>
      <w:snapToGrid w:val="0"/>
      <w:sz w:val="28"/>
      <w:szCs w:val="26"/>
      <w:shd w:val="clear" w:color="auto" w:fill="FFFFFF"/>
    </w:rPr>
  </w:style>
  <w:style w:type="paragraph" w:customStyle="1" w:styleId="affffffffffffffffffffffffffff1">
    <w:name w:val="可研报告正文"/>
    <w:basedOn w:val="a0"/>
    <w:link w:val="Charfffffc"/>
    <w:pPr>
      <w:tabs>
        <w:tab w:val="left" w:pos="5880"/>
      </w:tabs>
      <w:spacing w:beforeLines="50" w:line="440" w:lineRule="exact"/>
      <w:ind w:left="425" w:firstLineChars="200" w:firstLine="482"/>
      <w:jc w:val="left"/>
    </w:pPr>
    <w:rPr>
      <w:snapToGrid w:val="0"/>
      <w:kern w:val="0"/>
      <w:sz w:val="24"/>
      <w:lang w:val="x-none" w:eastAsia="x-none"/>
    </w:rPr>
  </w:style>
  <w:style w:type="character" w:customStyle="1" w:styleId="Charfffffc">
    <w:name w:val="可研报告正文 Char"/>
    <w:link w:val="affffffffffffffffffffffffffff1"/>
    <w:rPr>
      <w:snapToGrid w:val="0"/>
      <w:sz w:val="24"/>
      <w:szCs w:val="24"/>
    </w:rPr>
  </w:style>
  <w:style w:type="paragraph" w:customStyle="1" w:styleId="1119">
    <w:name w:val="样式 宋体 四号 首行缩进:  1.11 厘米"/>
    <w:basedOn w:val="a0"/>
    <w:pPr>
      <w:spacing w:line="460" w:lineRule="exact"/>
      <w:ind w:firstLineChars="200" w:firstLine="560"/>
      <w:jc w:val="left"/>
    </w:pPr>
    <w:rPr>
      <w:rFonts w:ascii="宋体" w:hAnsi="宋体"/>
      <w:snapToGrid w:val="0"/>
      <w:kern w:val="0"/>
      <w:sz w:val="28"/>
      <w:szCs w:val="28"/>
    </w:rPr>
  </w:style>
  <w:style w:type="paragraph" w:customStyle="1" w:styleId="tdlineheightstyle6">
    <w:name w:val="td_line_height style6"/>
    <w:basedOn w:val="a0"/>
    <w:pPr>
      <w:widowControl/>
      <w:spacing w:before="100" w:beforeAutospacing="1" w:after="100" w:afterAutospacing="1" w:line="360" w:lineRule="auto"/>
      <w:ind w:firstLineChars="200" w:firstLine="200"/>
      <w:jc w:val="left"/>
    </w:pPr>
    <w:rPr>
      <w:rFonts w:ascii="宋体" w:hAnsi="宋体" w:cs="宋体"/>
      <w:snapToGrid w:val="0"/>
      <w:kern w:val="0"/>
      <w:sz w:val="24"/>
    </w:rPr>
  </w:style>
  <w:style w:type="paragraph" w:customStyle="1" w:styleId="affffffffffffffffffffffffffff2">
    <w:name w:val="正文 + 小五正文 + 小五"/>
    <w:basedOn w:val="a0"/>
    <w:pPr>
      <w:spacing w:line="240" w:lineRule="exact"/>
      <w:ind w:firstLineChars="200" w:firstLine="200"/>
      <w:jc w:val="left"/>
    </w:pPr>
    <w:rPr>
      <w:snapToGrid w:val="0"/>
      <w:kern w:val="0"/>
      <w:sz w:val="28"/>
    </w:rPr>
  </w:style>
  <w:style w:type="character" w:customStyle="1" w:styleId="Charfffffd">
    <w:name w:val="正文 + 小五正文 + 小五 Char"/>
    <w:rPr>
      <w:rFonts w:eastAsia="宋体"/>
      <w:kern w:val="2"/>
      <w:sz w:val="21"/>
      <w:szCs w:val="24"/>
      <w:lang w:val="en-US" w:eastAsia="zh-CN" w:bidi="ar-SA"/>
    </w:rPr>
  </w:style>
  <w:style w:type="paragraph" w:customStyle="1" w:styleId="affffffffffffffffffffffffffff3">
    <w:name w:val="正文 + 小五"/>
    <w:basedOn w:val="a0"/>
    <w:pPr>
      <w:spacing w:line="240" w:lineRule="exact"/>
      <w:ind w:firstLineChars="200" w:firstLine="200"/>
      <w:jc w:val="left"/>
    </w:pPr>
    <w:rPr>
      <w:rFonts w:ascii="宋体" w:hAnsi="宋体"/>
      <w:snapToGrid w:val="0"/>
      <w:color w:val="000000"/>
      <w:w w:val="90"/>
      <w:kern w:val="0"/>
      <w:sz w:val="18"/>
    </w:rPr>
  </w:style>
  <w:style w:type="character" w:customStyle="1" w:styleId="Charfffffe">
    <w:name w:val="正文 + 小五 Char"/>
    <w:rPr>
      <w:rFonts w:ascii="宋体" w:eastAsia="宋体" w:hAnsi="宋体"/>
      <w:color w:val="000000"/>
      <w:w w:val="90"/>
      <w:kern w:val="2"/>
      <w:sz w:val="18"/>
      <w:szCs w:val="24"/>
      <w:lang w:val="en-US" w:eastAsia="zh-CN" w:bidi="ar-SA"/>
    </w:rPr>
  </w:style>
  <w:style w:type="paragraph" w:customStyle="1" w:styleId="affffffffffffffffffffffffffff4">
    <w:name w:val="条款"/>
    <w:basedOn w:val="a0"/>
    <w:pPr>
      <w:spacing w:line="360" w:lineRule="auto"/>
      <w:ind w:firstLineChars="200" w:firstLine="200"/>
      <w:jc w:val="left"/>
    </w:pPr>
    <w:rPr>
      <w:snapToGrid w:val="0"/>
      <w:kern w:val="0"/>
      <w:sz w:val="28"/>
      <w:szCs w:val="20"/>
    </w:rPr>
  </w:style>
  <w:style w:type="character" w:customStyle="1" w:styleId="zi1">
    <w:name w:val="zi1"/>
    <w:rPr>
      <w:strike w:val="0"/>
      <w:dstrike w:val="0"/>
      <w:color w:val="000000"/>
      <w:spacing w:val="15"/>
      <w:sz w:val="18"/>
      <w:szCs w:val="18"/>
      <w:u w:val="none"/>
    </w:rPr>
  </w:style>
  <w:style w:type="paragraph" w:customStyle="1" w:styleId="affffffffffffffffffffffffffff5">
    <w:name w:val="表内式样"/>
    <w:pPr>
      <w:widowControl w:val="0"/>
      <w:spacing w:line="240" w:lineRule="exact"/>
      <w:jc w:val="center"/>
    </w:pPr>
    <w:rPr>
      <w:rFonts w:ascii="宋体" w:hAnsi="宋体"/>
      <w:kern w:val="2"/>
      <w:sz w:val="21"/>
    </w:rPr>
  </w:style>
  <w:style w:type="paragraph" w:customStyle="1" w:styleId="505">
    <w:name w:val="样式 标题 5 + 段前: 0.5 行"/>
    <w:basedOn w:val="5"/>
    <w:pPr>
      <w:keepNext w:val="0"/>
      <w:keepLines w:val="0"/>
      <w:numPr>
        <w:ilvl w:val="4"/>
      </w:numPr>
      <w:tabs>
        <w:tab w:val="left" w:pos="907"/>
        <w:tab w:val="left" w:pos="1420"/>
      </w:tabs>
      <w:spacing w:beforeLines="50" w:before="280" w:line="440" w:lineRule="exact"/>
      <w:ind w:left="425" w:firstLineChars="200" w:hanging="85"/>
      <w:jc w:val="left"/>
    </w:pPr>
    <w:rPr>
      <w:rFonts w:cs="宋体"/>
      <w:b w:val="0"/>
      <w:bCs w:val="0"/>
      <w:snapToGrid w:val="0"/>
      <w:sz w:val="24"/>
      <w:szCs w:val="20"/>
    </w:rPr>
  </w:style>
  <w:style w:type="paragraph" w:customStyle="1" w:styleId="affffffffffffffffffffffffffff6">
    <w:name w:val="正文(首行缩进)"/>
    <w:basedOn w:val="a0"/>
    <w:pPr>
      <w:spacing w:line="336" w:lineRule="auto"/>
      <w:ind w:firstLineChars="225" w:firstLine="540"/>
      <w:jc w:val="left"/>
    </w:pPr>
    <w:rPr>
      <w:snapToGrid w:val="0"/>
      <w:kern w:val="0"/>
      <w:sz w:val="24"/>
    </w:rPr>
  </w:style>
  <w:style w:type="character" w:customStyle="1" w:styleId="nota">
    <w:name w:val="nota"/>
    <w:rPr>
      <w:i/>
      <w:iCs/>
      <w:sz w:val="20"/>
    </w:rPr>
  </w:style>
  <w:style w:type="paragraph" w:customStyle="1" w:styleId="1ffffffc">
    <w:name w:val="样式1 + 四号 居中"/>
    <w:basedOn w:val="a0"/>
    <w:pPr>
      <w:spacing w:line="336" w:lineRule="auto"/>
      <w:ind w:firstLineChars="200" w:firstLine="200"/>
      <w:jc w:val="center"/>
    </w:pPr>
    <w:rPr>
      <w:snapToGrid w:val="0"/>
      <w:kern w:val="0"/>
      <w:sz w:val="28"/>
      <w:szCs w:val="20"/>
    </w:rPr>
  </w:style>
  <w:style w:type="paragraph" w:customStyle="1" w:styleId="GB2312093">
    <w:name w:val="样式 正文文字 + 楷体_GB2312 四号 首行缩进:  0.93 厘米"/>
    <w:basedOn w:val="af2"/>
    <w:link w:val="GB2312093Char"/>
    <w:pPr>
      <w:widowControl/>
      <w:spacing w:line="440" w:lineRule="exact"/>
      <w:ind w:firstLineChars="200" w:firstLine="464"/>
      <w:jc w:val="left"/>
    </w:pPr>
    <w:rPr>
      <w:rFonts w:eastAsia="仿宋_GB2312"/>
      <w:snapToGrid w:val="0"/>
      <w:spacing w:val="-4"/>
      <w:kern w:val="0"/>
      <w:sz w:val="24"/>
      <w:szCs w:val="28"/>
    </w:rPr>
  </w:style>
  <w:style w:type="character" w:customStyle="1" w:styleId="GB2312093Char">
    <w:name w:val="样式 正文文字 + 楷体_GB2312 四号 首行缩进:  0.93 厘米 Char"/>
    <w:link w:val="GB2312093"/>
    <w:rPr>
      <w:rFonts w:eastAsia="仿宋_GB2312"/>
      <w:snapToGrid w:val="0"/>
      <w:spacing w:val="-4"/>
      <w:sz w:val="24"/>
      <w:szCs w:val="28"/>
    </w:rPr>
  </w:style>
  <w:style w:type="paragraph" w:customStyle="1" w:styleId="affffffffffffffffffffffffffff7">
    <w:name w:val="表格尾注"/>
    <w:basedOn w:val="a0"/>
    <w:pPr>
      <w:adjustRightInd w:val="0"/>
      <w:snapToGrid w:val="0"/>
      <w:spacing w:line="360" w:lineRule="exact"/>
      <w:ind w:left="907" w:firstLineChars="200" w:firstLine="200"/>
      <w:jc w:val="left"/>
    </w:pPr>
    <w:rPr>
      <w:rFonts w:eastAsia="楷体_GB2312"/>
      <w:snapToGrid w:val="0"/>
      <w:kern w:val="0"/>
      <w:sz w:val="28"/>
      <w:szCs w:val="21"/>
    </w:rPr>
  </w:style>
  <w:style w:type="paragraph" w:customStyle="1" w:styleId="1500">
    <w:name w:val="样式 左侧:  1.5 厘米 首行缩进:  0 厘米"/>
    <w:basedOn w:val="a0"/>
    <w:pPr>
      <w:spacing w:after="120" w:line="440" w:lineRule="exact"/>
      <w:ind w:left="851" w:firstLineChars="200" w:firstLine="200"/>
      <w:jc w:val="left"/>
    </w:pPr>
    <w:rPr>
      <w:rFonts w:ascii="Arial" w:hAnsi="Arial" w:cs="宋体"/>
      <w:snapToGrid w:val="0"/>
      <w:kern w:val="0"/>
      <w:sz w:val="24"/>
      <w:szCs w:val="20"/>
    </w:rPr>
  </w:style>
  <w:style w:type="character" w:customStyle="1" w:styleId="505Char">
    <w:name w:val="样式 样式 标题 5 + 段前: 0.5 行 + 红色 Char"/>
    <w:rPr>
      <w:rFonts w:eastAsia="宋体" w:cs="宋体"/>
      <w:bCs/>
      <w:kern w:val="2"/>
      <w:sz w:val="24"/>
      <w:szCs w:val="24"/>
      <w:lang w:val="en-US" w:eastAsia="zh-CN" w:bidi="ar-SA"/>
    </w:rPr>
  </w:style>
  <w:style w:type="paragraph" w:customStyle="1" w:styleId="w4">
    <w:name w:val="w4"/>
    <w:basedOn w:val="a0"/>
    <w:pPr>
      <w:widowControl/>
      <w:spacing w:before="100" w:beforeAutospacing="1" w:after="100" w:afterAutospacing="1" w:line="336" w:lineRule="auto"/>
      <w:ind w:firstLineChars="200" w:firstLine="360"/>
      <w:jc w:val="left"/>
    </w:pPr>
    <w:rPr>
      <w:snapToGrid w:val="0"/>
      <w:color w:val="8A5E00"/>
      <w:kern w:val="0"/>
      <w:sz w:val="18"/>
      <w:szCs w:val="18"/>
    </w:rPr>
  </w:style>
  <w:style w:type="character" w:customStyle="1" w:styleId="td41">
    <w:name w:val="td41"/>
    <w:rPr>
      <w:color w:val="000000"/>
    </w:rPr>
  </w:style>
  <w:style w:type="paragraph" w:customStyle="1" w:styleId="style23">
    <w:name w:val="style23"/>
    <w:basedOn w:val="a0"/>
    <w:pPr>
      <w:widowControl/>
      <w:spacing w:before="100" w:beforeAutospacing="1" w:after="100" w:afterAutospacing="1" w:line="283" w:lineRule="atLeast"/>
      <w:ind w:firstLineChars="200" w:firstLine="200"/>
      <w:jc w:val="left"/>
    </w:pPr>
    <w:rPr>
      <w:rFonts w:ascii="Arial Unicode MS" w:eastAsia="Arial Unicode MS" w:hAnsi="Arial Unicode MS" w:cs="Arial Unicode MS"/>
      <w:b/>
      <w:bCs/>
      <w:snapToGrid w:val="0"/>
      <w:kern w:val="0"/>
      <w:sz w:val="22"/>
      <w:szCs w:val="22"/>
    </w:rPr>
  </w:style>
  <w:style w:type="paragraph" w:customStyle="1" w:styleId="style24">
    <w:name w:val="style24"/>
    <w:basedOn w:val="a0"/>
    <w:pPr>
      <w:widowControl/>
      <w:spacing w:before="100" w:beforeAutospacing="1" w:after="100" w:afterAutospacing="1" w:line="283" w:lineRule="atLeast"/>
      <w:ind w:firstLineChars="200" w:firstLine="200"/>
      <w:jc w:val="left"/>
    </w:pPr>
    <w:rPr>
      <w:rFonts w:ascii="Arial Unicode MS" w:eastAsia="Arial Unicode MS" w:hAnsi="Arial Unicode MS" w:cs="Arial Unicode MS"/>
      <w:b/>
      <w:bCs/>
      <w:snapToGrid w:val="0"/>
      <w:kern w:val="0"/>
      <w:sz w:val="22"/>
      <w:szCs w:val="22"/>
    </w:rPr>
  </w:style>
  <w:style w:type="paragraph" w:customStyle="1" w:styleId="style36">
    <w:name w:val="style36"/>
    <w:basedOn w:val="a0"/>
    <w:pPr>
      <w:widowControl/>
      <w:spacing w:before="100" w:beforeAutospacing="1" w:after="100" w:afterAutospacing="1" w:line="283" w:lineRule="atLeast"/>
      <w:ind w:firstLineChars="200" w:firstLine="200"/>
      <w:jc w:val="left"/>
    </w:pPr>
    <w:rPr>
      <w:rFonts w:ascii="Arial Unicode MS" w:eastAsia="Arial Unicode MS" w:hAnsi="Arial Unicode MS" w:cs="Arial Unicode MS"/>
      <w:b/>
      <w:bCs/>
      <w:snapToGrid w:val="0"/>
      <w:kern w:val="0"/>
      <w:sz w:val="22"/>
      <w:szCs w:val="22"/>
    </w:rPr>
  </w:style>
  <w:style w:type="character" w:customStyle="1" w:styleId="bigred1">
    <w:name w:val="bigred1"/>
    <w:rPr>
      <w:rFonts w:ascii="Arial" w:hAnsi="Arial" w:cs="Arial" w:hint="default"/>
      <w:b/>
      <w:bCs/>
      <w:i w:val="0"/>
      <w:iCs w:val="0"/>
      <w:smallCaps w:val="0"/>
      <w:strike w:val="0"/>
      <w:dstrike w:val="0"/>
      <w:color w:val="FF0000"/>
      <w:sz w:val="21"/>
      <w:szCs w:val="21"/>
      <w:u w:val="none"/>
    </w:rPr>
  </w:style>
  <w:style w:type="paragraph" w:customStyle="1" w:styleId="-21">
    <w:name w:val="宏福正文-2"/>
    <w:basedOn w:val="aff7"/>
    <w:pPr>
      <w:adjustRightInd w:val="0"/>
      <w:spacing w:before="240" w:after="0" w:line="400" w:lineRule="atLeast"/>
      <w:ind w:firstLineChars="0" w:firstLine="567"/>
      <w:jc w:val="left"/>
      <w:textAlignment w:val="baseline"/>
    </w:pPr>
    <w:rPr>
      <w:snapToGrid w:val="0"/>
      <w:sz w:val="28"/>
      <w:szCs w:val="20"/>
      <w:lang w:val="en-US" w:eastAsia="zh-CN"/>
    </w:rPr>
  </w:style>
  <w:style w:type="character" w:customStyle="1" w:styleId="tit2">
    <w:name w:val="tit2"/>
    <w:rPr>
      <w:rFonts w:hint="default"/>
      <w:b/>
      <w:bCs/>
      <w:sz w:val="48"/>
      <w:szCs w:val="48"/>
    </w:rPr>
  </w:style>
  <w:style w:type="paragraph" w:customStyle="1" w:styleId="affffffffffffffffffffffffffff8">
    <w:name w:val="流程文字"/>
    <w:basedOn w:val="a0"/>
    <w:pPr>
      <w:tabs>
        <w:tab w:val="left" w:pos="6480"/>
      </w:tabs>
      <w:topLinePunct/>
      <w:adjustRightInd w:val="0"/>
      <w:snapToGrid w:val="0"/>
      <w:spacing w:line="360" w:lineRule="auto"/>
      <w:ind w:firstLineChars="200" w:firstLine="200"/>
      <w:jc w:val="center"/>
    </w:pPr>
    <w:rPr>
      <w:rFonts w:eastAsia="仿宋_GB2312"/>
      <w:snapToGrid w:val="0"/>
      <w:kern w:val="0"/>
      <w:sz w:val="28"/>
      <w:szCs w:val="20"/>
    </w:rPr>
  </w:style>
  <w:style w:type="character" w:customStyle="1" w:styleId="Char1f9">
    <w:name w:val="表头 Char1"/>
    <w:rPr>
      <w:rFonts w:ascii="Times New Roman" w:eastAsia="宋体" w:hAnsi="Times New Roman" w:cs="Times New Roman"/>
      <w:snapToGrid w:val="0"/>
      <w:kern w:val="28"/>
      <w:sz w:val="32"/>
      <w:szCs w:val="20"/>
    </w:rPr>
  </w:style>
  <w:style w:type="paragraph" w:customStyle="1" w:styleId="142">
    <w:name w:val="样式 五号 黑色 行距: 多倍行距 1.4 字行"/>
    <w:basedOn w:val="a0"/>
    <w:pPr>
      <w:spacing w:line="336" w:lineRule="auto"/>
      <w:ind w:firstLineChars="200" w:firstLine="200"/>
      <w:jc w:val="left"/>
    </w:pPr>
    <w:rPr>
      <w:snapToGrid w:val="0"/>
      <w:kern w:val="0"/>
      <w:sz w:val="28"/>
      <w:szCs w:val="21"/>
    </w:rPr>
  </w:style>
  <w:style w:type="paragraph" w:customStyle="1" w:styleId="affffffffffffffffffffffffffff9">
    <w:name w:val="表第一列"/>
    <w:basedOn w:val="aff7"/>
    <w:pPr>
      <w:keepNext/>
      <w:keepLines/>
      <w:tabs>
        <w:tab w:val="left" w:pos="1727"/>
        <w:tab w:val="left" w:pos="1884"/>
        <w:tab w:val="left" w:pos="2940"/>
      </w:tabs>
      <w:adjustRightInd w:val="0"/>
      <w:snapToGrid w:val="0"/>
      <w:spacing w:after="0" w:line="0" w:lineRule="atLeast"/>
      <w:ind w:firstLineChars="0" w:firstLine="0"/>
      <w:jc w:val="center"/>
    </w:pPr>
    <w:rPr>
      <w:rFonts w:ascii="宋体" w:hAnsi="宋体"/>
      <w:snapToGrid w:val="0"/>
      <w:color w:val="000000"/>
      <w:spacing w:val="-4"/>
      <w:sz w:val="28"/>
      <w:szCs w:val="20"/>
      <w:lang w:val="en-US" w:eastAsia="zh-CN"/>
    </w:rPr>
  </w:style>
  <w:style w:type="character" w:customStyle="1" w:styleId="unnamed21">
    <w:name w:val="unnamed21"/>
    <w:rPr>
      <w:sz w:val="18"/>
      <w:szCs w:val="18"/>
    </w:rPr>
  </w:style>
  <w:style w:type="paragraph" w:customStyle="1" w:styleId="z">
    <w:name w:val="z"/>
    <w:basedOn w:val="a0"/>
    <w:pPr>
      <w:widowControl/>
      <w:spacing w:before="100" w:beforeAutospacing="1" w:after="100" w:afterAutospacing="1" w:line="360" w:lineRule="auto"/>
      <w:ind w:firstLineChars="200" w:firstLine="200"/>
      <w:jc w:val="left"/>
    </w:pPr>
    <w:rPr>
      <w:rFonts w:ascii="宋体" w:hAnsi="宋体"/>
      <w:snapToGrid w:val="0"/>
      <w:color w:val="000000"/>
      <w:kern w:val="0"/>
      <w:sz w:val="24"/>
    </w:rPr>
  </w:style>
  <w:style w:type="character" w:customStyle="1" w:styleId="text2">
    <w:name w:val="text2"/>
  </w:style>
  <w:style w:type="paragraph" w:customStyle="1" w:styleId="CM20">
    <w:name w:val="CM20"/>
    <w:basedOn w:val="Default"/>
    <w:next w:val="Default"/>
    <w:pPr>
      <w:spacing w:line="358" w:lineRule="atLeast"/>
      <w:ind w:firstLineChars="0" w:firstLine="0"/>
      <w:jc w:val="left"/>
    </w:pPr>
    <w:rPr>
      <w:rFonts w:ascii="Times New Roman" w:eastAsia="宋体"/>
      <w:kern w:val="0"/>
      <w:sz w:val="24"/>
    </w:rPr>
  </w:style>
  <w:style w:type="paragraph" w:customStyle="1" w:styleId="CM49">
    <w:name w:val="CM49"/>
    <w:basedOn w:val="Default"/>
    <w:next w:val="Default"/>
    <w:pPr>
      <w:spacing w:line="360" w:lineRule="atLeast"/>
      <w:ind w:firstLineChars="0" w:firstLine="0"/>
      <w:jc w:val="left"/>
    </w:pPr>
    <w:rPr>
      <w:rFonts w:ascii="Times New Roman" w:eastAsia="宋体"/>
      <w:kern w:val="0"/>
      <w:sz w:val="24"/>
    </w:rPr>
  </w:style>
  <w:style w:type="character" w:customStyle="1" w:styleId="bbc1">
    <w:name w:val="bbc1"/>
    <w:rPr>
      <w:b/>
      <w:bCs/>
      <w:strike w:val="0"/>
      <w:dstrike w:val="0"/>
      <w:color w:val="000000"/>
      <w:sz w:val="27"/>
      <w:szCs w:val="27"/>
      <w:u w:val="none"/>
    </w:rPr>
  </w:style>
  <w:style w:type="character" w:customStyle="1" w:styleId="CharCharffff1">
    <w:name w:val="高表单 Char Char"/>
    <w:rPr>
      <w:rFonts w:ascii="Arial" w:eastAsia="宋体" w:hAnsi="Arial"/>
      <w:kern w:val="2"/>
      <w:sz w:val="21"/>
      <w:lang w:val="en-US" w:eastAsia="zh-CN"/>
    </w:rPr>
  </w:style>
  <w:style w:type="paragraph" w:customStyle="1" w:styleId="CM71">
    <w:name w:val="CM71"/>
    <w:basedOn w:val="Default"/>
    <w:next w:val="Default"/>
    <w:pPr>
      <w:spacing w:after="220" w:line="240" w:lineRule="auto"/>
      <w:ind w:firstLineChars="0" w:firstLine="0"/>
      <w:jc w:val="left"/>
    </w:pPr>
    <w:rPr>
      <w:kern w:val="0"/>
      <w:sz w:val="24"/>
    </w:rPr>
  </w:style>
  <w:style w:type="paragraph" w:customStyle="1" w:styleId="CM76">
    <w:name w:val="CM76"/>
    <w:basedOn w:val="Default"/>
    <w:next w:val="Default"/>
    <w:pPr>
      <w:spacing w:after="430" w:line="240" w:lineRule="auto"/>
      <w:ind w:firstLineChars="0" w:firstLine="0"/>
      <w:jc w:val="left"/>
    </w:pPr>
    <w:rPr>
      <w:kern w:val="0"/>
      <w:sz w:val="24"/>
    </w:rPr>
  </w:style>
  <w:style w:type="paragraph" w:customStyle="1" w:styleId="CM79">
    <w:name w:val="CM79"/>
    <w:basedOn w:val="Default"/>
    <w:next w:val="Default"/>
    <w:pPr>
      <w:spacing w:after="118" w:line="240" w:lineRule="auto"/>
      <w:ind w:firstLineChars="0" w:firstLine="0"/>
      <w:jc w:val="left"/>
    </w:pPr>
    <w:rPr>
      <w:kern w:val="0"/>
      <w:sz w:val="24"/>
    </w:rPr>
  </w:style>
  <w:style w:type="paragraph" w:customStyle="1" w:styleId="CM11">
    <w:name w:val="CM11"/>
    <w:basedOn w:val="Default"/>
    <w:next w:val="Default"/>
    <w:pPr>
      <w:spacing w:line="546" w:lineRule="atLeast"/>
      <w:ind w:firstLineChars="0" w:firstLine="0"/>
      <w:jc w:val="left"/>
    </w:pPr>
    <w:rPr>
      <w:kern w:val="0"/>
      <w:sz w:val="24"/>
    </w:rPr>
  </w:style>
  <w:style w:type="paragraph" w:customStyle="1" w:styleId="CM84">
    <w:name w:val="CM84"/>
    <w:basedOn w:val="Default"/>
    <w:next w:val="Default"/>
    <w:pPr>
      <w:spacing w:after="560" w:line="240" w:lineRule="auto"/>
      <w:ind w:firstLineChars="0" w:firstLine="0"/>
      <w:jc w:val="left"/>
    </w:pPr>
    <w:rPr>
      <w:kern w:val="0"/>
      <w:sz w:val="24"/>
    </w:rPr>
  </w:style>
  <w:style w:type="character" w:customStyle="1" w:styleId="article1">
    <w:name w:val="article1"/>
    <w:rPr>
      <w:b/>
      <w:bCs/>
      <w:smallCaps/>
      <w:color w:val="FF0000"/>
      <w:sz w:val="43"/>
      <w:szCs w:val="43"/>
    </w:rPr>
  </w:style>
  <w:style w:type="paragraph" w:customStyle="1" w:styleId="style33">
    <w:name w:val="style33"/>
    <w:basedOn w:val="a0"/>
    <w:pPr>
      <w:widowControl/>
      <w:spacing w:before="100" w:beforeAutospacing="1" w:after="100" w:afterAutospacing="1" w:line="283" w:lineRule="atLeast"/>
      <w:ind w:firstLineChars="200" w:firstLine="200"/>
      <w:jc w:val="left"/>
    </w:pPr>
    <w:rPr>
      <w:rFonts w:ascii="Arial Unicode MS" w:eastAsia="Arial Unicode MS" w:hAnsi="Arial Unicode MS" w:cs="Arial Unicode MS"/>
      <w:b/>
      <w:bCs/>
      <w:snapToGrid w:val="0"/>
      <w:kern w:val="0"/>
      <w:sz w:val="22"/>
      <w:szCs w:val="22"/>
    </w:rPr>
  </w:style>
  <w:style w:type="paragraph" w:customStyle="1" w:styleId="style13">
    <w:name w:val="style13"/>
    <w:basedOn w:val="a0"/>
    <w:pPr>
      <w:widowControl/>
      <w:spacing w:before="100" w:beforeAutospacing="1" w:after="100" w:afterAutospacing="1" w:line="283" w:lineRule="atLeast"/>
      <w:ind w:firstLineChars="200" w:firstLine="200"/>
      <w:jc w:val="left"/>
    </w:pPr>
    <w:rPr>
      <w:rFonts w:ascii="Arial Unicode MS" w:eastAsia="Arial Unicode MS" w:hAnsi="Arial Unicode MS" w:cs="Arial Unicode MS"/>
      <w:b/>
      <w:bCs/>
      <w:snapToGrid w:val="0"/>
      <w:kern w:val="0"/>
      <w:sz w:val="22"/>
      <w:szCs w:val="22"/>
    </w:rPr>
  </w:style>
  <w:style w:type="paragraph" w:customStyle="1" w:styleId="style15">
    <w:name w:val="style15"/>
    <w:basedOn w:val="a0"/>
    <w:pPr>
      <w:widowControl/>
      <w:spacing w:before="100" w:beforeAutospacing="1" w:after="100" w:afterAutospacing="1" w:line="283" w:lineRule="atLeast"/>
      <w:ind w:firstLineChars="200" w:firstLine="200"/>
      <w:jc w:val="left"/>
    </w:pPr>
    <w:rPr>
      <w:rFonts w:ascii="Arial Unicode MS" w:eastAsia="Arial Unicode MS" w:hAnsi="Arial Unicode MS" w:cs="Arial Unicode MS"/>
      <w:b/>
      <w:bCs/>
      <w:snapToGrid w:val="0"/>
      <w:kern w:val="0"/>
      <w:sz w:val="22"/>
      <w:szCs w:val="22"/>
    </w:rPr>
  </w:style>
  <w:style w:type="paragraph" w:customStyle="1" w:styleId="style18">
    <w:name w:val="style18"/>
    <w:basedOn w:val="a0"/>
    <w:pPr>
      <w:widowControl/>
      <w:spacing w:before="100" w:beforeAutospacing="1" w:after="100" w:afterAutospacing="1" w:line="283" w:lineRule="atLeast"/>
      <w:ind w:firstLineChars="200" w:firstLine="200"/>
      <w:jc w:val="left"/>
    </w:pPr>
    <w:rPr>
      <w:rFonts w:ascii="Arial Unicode MS" w:eastAsia="Arial Unicode MS" w:hAnsi="Arial Unicode MS" w:cs="Arial Unicode MS"/>
      <w:b/>
      <w:bCs/>
      <w:snapToGrid w:val="0"/>
      <w:kern w:val="0"/>
      <w:sz w:val="22"/>
      <w:szCs w:val="22"/>
    </w:rPr>
  </w:style>
  <w:style w:type="paragraph" w:customStyle="1" w:styleId="520">
    <w:name w:val="样式 5 + 首行缩进:  2 字符"/>
    <w:basedOn w:val="a0"/>
    <w:link w:val="52Char"/>
    <w:pPr>
      <w:spacing w:line="460" w:lineRule="exact"/>
      <w:ind w:firstLineChars="200" w:firstLine="536"/>
      <w:jc w:val="left"/>
    </w:pPr>
    <w:rPr>
      <w:rFonts w:ascii="宋体" w:hAnsi="宋体"/>
      <w:snapToGrid w:val="0"/>
      <w:color w:val="FF00FF"/>
      <w:spacing w:val="-6"/>
      <w:kern w:val="0"/>
      <w:sz w:val="28"/>
      <w:szCs w:val="28"/>
      <w:lang w:val="x-none" w:eastAsia="x-none"/>
    </w:rPr>
  </w:style>
  <w:style w:type="character" w:customStyle="1" w:styleId="52Char">
    <w:name w:val="样式 5 + 首行缩进:  2 字符 Char"/>
    <w:link w:val="520"/>
    <w:rPr>
      <w:rFonts w:ascii="宋体" w:hAnsi="宋体"/>
      <w:snapToGrid w:val="0"/>
      <w:color w:val="FF00FF"/>
      <w:spacing w:val="-6"/>
      <w:sz w:val="28"/>
      <w:szCs w:val="28"/>
    </w:rPr>
  </w:style>
  <w:style w:type="paragraph" w:customStyle="1" w:styleId="4ff0">
    <w:name w:val="表内4号居中"/>
    <w:pPr>
      <w:widowControl w:val="0"/>
      <w:spacing w:line="200" w:lineRule="exact"/>
    </w:pPr>
    <w:rPr>
      <w:rFonts w:ascii="宋体" w:hAnsi="宋体"/>
      <w:color w:val="FF0000"/>
      <w:spacing w:val="-30"/>
      <w:w w:val="90"/>
      <w:kern w:val="2"/>
      <w:sz w:val="21"/>
      <w:szCs w:val="21"/>
    </w:rPr>
  </w:style>
  <w:style w:type="character" w:customStyle="1" w:styleId="p1">
    <w:name w:val="p1"/>
  </w:style>
  <w:style w:type="paragraph" w:customStyle="1" w:styleId="1ffffffd">
    <w:name w:val="次序1"/>
    <w:basedOn w:val="a0"/>
    <w:pPr>
      <w:tabs>
        <w:tab w:val="left" w:pos="482"/>
      </w:tabs>
      <w:spacing w:line="360" w:lineRule="auto"/>
      <w:ind w:firstLineChars="200" w:firstLine="200"/>
      <w:jc w:val="left"/>
    </w:pPr>
    <w:rPr>
      <w:snapToGrid w:val="0"/>
      <w:kern w:val="0"/>
      <w:sz w:val="24"/>
      <w:szCs w:val="20"/>
    </w:rPr>
  </w:style>
  <w:style w:type="paragraph" w:customStyle="1" w:styleId="affffffffffffffffffffffffffffa">
    <w:name w:val="小于节标题"/>
    <w:basedOn w:val="affffffffffffffff"/>
    <w:pPr>
      <w:ind w:firstLineChars="0" w:firstLine="0"/>
      <w:jc w:val="left"/>
    </w:pPr>
    <w:rPr>
      <w:snapToGrid w:val="0"/>
      <w:kern w:val="0"/>
    </w:rPr>
  </w:style>
  <w:style w:type="paragraph" w:customStyle="1" w:styleId="affffffffffffffffffffffffffffb">
    <w:name w:val="表格后正文"/>
    <w:basedOn w:val="affffffffffffffff"/>
    <w:pPr>
      <w:spacing w:before="200"/>
      <w:jc w:val="left"/>
    </w:pPr>
    <w:rPr>
      <w:snapToGrid w:val="0"/>
      <w:kern w:val="0"/>
    </w:rPr>
  </w:style>
  <w:style w:type="paragraph" w:customStyle="1" w:styleId="affffffffffffffffffffffffffffc">
    <w:name w:val="抚顺项目章节标题"/>
    <w:basedOn w:val="a0"/>
    <w:pPr>
      <w:tabs>
        <w:tab w:val="left" w:pos="567"/>
      </w:tabs>
      <w:spacing w:line="360" w:lineRule="auto"/>
      <w:ind w:firstLineChars="200" w:firstLine="200"/>
      <w:jc w:val="left"/>
    </w:pPr>
    <w:rPr>
      <w:rFonts w:ascii="黑体" w:eastAsia="黑体"/>
      <w:b/>
      <w:snapToGrid w:val="0"/>
      <w:spacing w:val="20"/>
      <w:kern w:val="0"/>
      <w:sz w:val="24"/>
      <w:szCs w:val="20"/>
    </w:rPr>
  </w:style>
  <w:style w:type="paragraph" w:customStyle="1" w:styleId="2fffffd">
    <w:name w:val="表格方案样式2"/>
    <w:basedOn w:val="a0"/>
    <w:pPr>
      <w:tabs>
        <w:tab w:val="left" w:pos="567"/>
      </w:tabs>
      <w:spacing w:line="360" w:lineRule="auto"/>
      <w:ind w:firstLineChars="200" w:firstLine="200"/>
      <w:jc w:val="center"/>
    </w:pPr>
    <w:rPr>
      <w:rFonts w:eastAsia="华文中宋"/>
      <w:snapToGrid w:val="0"/>
      <w:kern w:val="0"/>
      <w:sz w:val="24"/>
      <w:szCs w:val="20"/>
    </w:rPr>
  </w:style>
  <w:style w:type="paragraph" w:customStyle="1" w:styleId="affffffffffffffffffffffffffffd">
    <w:name w:val="表格文字样式"/>
    <w:basedOn w:val="affffffffffffffff"/>
    <w:pPr>
      <w:spacing w:line="240" w:lineRule="auto"/>
      <w:ind w:firstLineChars="0" w:firstLine="0"/>
      <w:jc w:val="center"/>
    </w:pPr>
    <w:rPr>
      <w:snapToGrid w:val="0"/>
      <w:kern w:val="0"/>
    </w:rPr>
  </w:style>
  <w:style w:type="character" w:customStyle="1" w:styleId="Charffffff">
    <w:name w:val="广石化正文 Char"/>
    <w:rPr>
      <w:rFonts w:ascii="宋体" w:hAnsi="宋体"/>
      <w:snapToGrid w:val="0"/>
      <w:sz w:val="28"/>
      <w:szCs w:val="28"/>
    </w:rPr>
  </w:style>
  <w:style w:type="character" w:customStyle="1" w:styleId="Charffffff0">
    <w:name w:val="广石化表题 Char"/>
    <w:rPr>
      <w:rFonts w:ascii="黑体" w:eastAsia="黑体"/>
      <w:b/>
      <w:snapToGrid w:val="0"/>
      <w:sz w:val="28"/>
      <w:szCs w:val="21"/>
    </w:rPr>
  </w:style>
  <w:style w:type="paragraph" w:customStyle="1" w:styleId="1ffffffe">
    <w:name w:val="（1）"/>
    <w:basedOn w:val="a0"/>
    <w:pPr>
      <w:spacing w:line="360" w:lineRule="auto"/>
      <w:ind w:firstLineChars="200" w:firstLine="200"/>
      <w:jc w:val="left"/>
    </w:pPr>
    <w:rPr>
      <w:rFonts w:cs="宋体"/>
      <w:snapToGrid w:val="0"/>
      <w:kern w:val="0"/>
      <w:sz w:val="24"/>
      <w:szCs w:val="20"/>
    </w:rPr>
  </w:style>
  <w:style w:type="paragraph" w:customStyle="1" w:styleId="CharChar3CharCharCharChar">
    <w:name w:val="Char Char3 Char Char Char Char"/>
    <w:basedOn w:val="a0"/>
    <w:pPr>
      <w:widowControl/>
      <w:spacing w:after="160" w:line="240" w:lineRule="exact"/>
      <w:ind w:firstLineChars="200" w:firstLine="200"/>
      <w:jc w:val="left"/>
    </w:pPr>
    <w:rPr>
      <w:rFonts w:ascii="Verdana" w:hAnsi="Verdana"/>
      <w:snapToGrid w:val="0"/>
      <w:kern w:val="0"/>
      <w:sz w:val="20"/>
      <w:szCs w:val="20"/>
      <w:lang w:eastAsia="en-US"/>
    </w:rPr>
  </w:style>
  <w:style w:type="paragraph" w:customStyle="1" w:styleId="affffffffffffffffffffffffffffe">
    <w:name w:val="正文编号四号"/>
    <w:basedOn w:val="a0"/>
    <w:pPr>
      <w:spacing w:line="360" w:lineRule="auto"/>
      <w:ind w:firstLineChars="200" w:firstLine="200"/>
      <w:jc w:val="left"/>
    </w:pPr>
    <w:rPr>
      <w:snapToGrid w:val="0"/>
      <w:kern w:val="0"/>
      <w:sz w:val="28"/>
      <w:szCs w:val="21"/>
    </w:rPr>
  </w:style>
  <w:style w:type="character" w:customStyle="1" w:styleId="word21">
    <w:name w:val="word21"/>
    <w:rPr>
      <w:b/>
      <w:color w:val="0040A6"/>
      <w:spacing w:val="315"/>
      <w:sz w:val="20"/>
    </w:rPr>
  </w:style>
  <w:style w:type="character" w:customStyle="1" w:styleId="sinostyle">
    <w:name w:val="sinostyle"/>
  </w:style>
  <w:style w:type="paragraph" w:customStyle="1" w:styleId="CharCharffff2">
    <w:name w:val="批注主题 Char Char"/>
    <w:basedOn w:val="af"/>
    <w:next w:val="af"/>
    <w:pPr>
      <w:spacing w:line="360" w:lineRule="auto"/>
      <w:ind w:firstLineChars="200" w:firstLine="200"/>
    </w:pPr>
    <w:rPr>
      <w:b/>
      <w:snapToGrid w:val="0"/>
      <w:kern w:val="0"/>
      <w:sz w:val="28"/>
      <w:szCs w:val="20"/>
    </w:rPr>
  </w:style>
  <w:style w:type="paragraph" w:customStyle="1" w:styleId="0992324">
    <w:name w:val="样式 样式 首行缩进:  0.99 厘米 行距: 最小值 23 磅 + 行距: 最小值 24 磅"/>
    <w:basedOn w:val="a0"/>
    <w:pPr>
      <w:snapToGrid w:val="0"/>
      <w:spacing w:line="520" w:lineRule="atLeast"/>
      <w:ind w:firstLineChars="200" w:firstLine="680"/>
      <w:jc w:val="left"/>
    </w:pPr>
    <w:rPr>
      <w:snapToGrid w:val="0"/>
      <w:spacing w:val="12"/>
      <w:kern w:val="24"/>
      <w:sz w:val="28"/>
      <w:szCs w:val="20"/>
    </w:rPr>
  </w:style>
  <w:style w:type="paragraph" w:customStyle="1" w:styleId="CharCharffff3">
    <w:name w:val="批注框文本 Char Char"/>
    <w:basedOn w:val="a0"/>
    <w:pPr>
      <w:spacing w:line="360" w:lineRule="auto"/>
      <w:ind w:firstLineChars="200" w:firstLine="200"/>
      <w:jc w:val="left"/>
    </w:pPr>
    <w:rPr>
      <w:snapToGrid w:val="0"/>
      <w:kern w:val="0"/>
      <w:sz w:val="18"/>
      <w:szCs w:val="20"/>
    </w:rPr>
  </w:style>
  <w:style w:type="paragraph" w:customStyle="1" w:styleId="3ReHead3WSAh33Char32311Re11Head3WSA1">
    <w:name w:val="样式 标题 3ReHead 3 WSAh3标题 3 Char标题 32标题 311Re11Head 3 WSA1..."/>
    <w:basedOn w:val="3"/>
    <w:pPr>
      <w:keepNext w:val="0"/>
      <w:keepLines w:val="0"/>
      <w:widowControl/>
      <w:numPr>
        <w:ilvl w:val="2"/>
      </w:numPr>
      <w:spacing w:beforeLines="50" w:after="60" w:line="480" w:lineRule="exact"/>
      <w:ind w:firstLineChars="200" w:firstLine="200"/>
    </w:pPr>
    <w:rPr>
      <w:rFonts w:ascii="宋体" w:eastAsia="宋体" w:hAnsi="宋体" w:cs="宋体"/>
      <w:snapToGrid w:val="0"/>
      <w:color w:val="000000"/>
      <w:kern w:val="0"/>
      <w:szCs w:val="20"/>
    </w:rPr>
  </w:style>
  <w:style w:type="paragraph" w:customStyle="1" w:styleId="biao7-5">
    <w:name w:val="biao7-5"/>
    <w:basedOn w:val="9"/>
    <w:pPr>
      <w:keepNext w:val="0"/>
      <w:keepLines w:val="0"/>
      <w:widowControl/>
      <w:tabs>
        <w:tab w:val="left" w:pos="600"/>
      </w:tabs>
      <w:autoSpaceDE w:val="0"/>
      <w:autoSpaceDN w:val="0"/>
      <w:snapToGrid w:val="0"/>
      <w:spacing w:before="60" w:after="0" w:line="312" w:lineRule="auto"/>
      <w:ind w:firstLineChars="200" w:firstLine="200"/>
      <w:jc w:val="center"/>
      <w:textAlignment w:val="bottom"/>
      <w:outlineLvl w:val="9"/>
    </w:pPr>
    <w:rPr>
      <w:rFonts w:ascii="Times New Roman" w:eastAsia="宋体" w:hAnsi="Times New Roman"/>
      <w:snapToGrid w:val="0"/>
      <w:kern w:val="0"/>
      <w:sz w:val="28"/>
      <w:szCs w:val="20"/>
    </w:rPr>
  </w:style>
  <w:style w:type="paragraph" w:customStyle="1" w:styleId="afffffffffffffffffffffffffffff">
    <w:name w:val="高表内"/>
    <w:basedOn w:val="af6"/>
    <w:pPr>
      <w:widowControl w:val="0"/>
      <w:autoSpaceDE w:val="0"/>
      <w:adjustRightInd w:val="0"/>
      <w:snapToGrid w:val="0"/>
      <w:spacing w:before="0" w:beforeAutospacing="0" w:after="0" w:afterAutospacing="0" w:line="360" w:lineRule="auto"/>
      <w:ind w:firstLineChars="200" w:firstLine="200"/>
      <w:jc w:val="center"/>
      <w:textAlignment w:val="baseline"/>
    </w:pPr>
    <w:rPr>
      <w:rFonts w:ascii="Arial" w:eastAsia="楷体_GB2312" w:hAnsi="Arial" w:cs="Courier New"/>
      <w:snapToGrid w:val="0"/>
      <w:kern w:val="2"/>
    </w:rPr>
  </w:style>
  <w:style w:type="paragraph" w:customStyle="1" w:styleId="128">
    <w:name w:val="样式 标题 1 + 黑色 首行缩进:  2 字符"/>
    <w:basedOn w:val="1"/>
    <w:pPr>
      <w:keepLines/>
      <w:pageBreakBefore/>
      <w:snapToGrid w:val="0"/>
      <w:spacing w:beforeLines="0" w:before="0" w:afterLines="0" w:after="0" w:line="540" w:lineRule="exact"/>
      <w:ind w:firstLine="580"/>
      <w:jc w:val="left"/>
    </w:pPr>
    <w:rPr>
      <w:rFonts w:ascii="Arial" w:hAnsi="Arial"/>
      <w:color w:val="000000"/>
      <w:spacing w:val="10"/>
      <w:w w:val="90"/>
      <w:kern w:val="30"/>
      <w:szCs w:val="32"/>
      <w:lang w:val="en-US" w:eastAsia="zh-CN"/>
    </w:rPr>
  </w:style>
  <w:style w:type="paragraph" w:customStyle="1" w:styleId="2298">
    <w:name w:val="样式 标题 2 + 首行缩进:  2 字符 字符缩放: 98%"/>
    <w:basedOn w:val="2"/>
    <w:pPr>
      <w:keepLines/>
      <w:numPr>
        <w:ilvl w:val="1"/>
      </w:numPr>
      <w:snapToGrid w:val="0"/>
      <w:spacing w:after="120" w:line="480" w:lineRule="exact"/>
      <w:ind w:firstLine="589"/>
      <w:jc w:val="center"/>
    </w:pPr>
    <w:rPr>
      <w:b w:val="0"/>
      <w:spacing w:val="10"/>
      <w:w w:val="98"/>
      <w:kern w:val="28"/>
      <w:sz w:val="30"/>
      <w:szCs w:val="30"/>
    </w:rPr>
  </w:style>
  <w:style w:type="paragraph" w:customStyle="1" w:styleId="11f1">
    <w:name w:val="正文11"/>
    <w:basedOn w:val="a0"/>
    <w:pPr>
      <w:adjustRightInd w:val="0"/>
      <w:spacing w:line="360" w:lineRule="auto"/>
      <w:ind w:firstLineChars="200" w:firstLine="567"/>
      <w:jc w:val="center"/>
      <w:textAlignment w:val="baseline"/>
    </w:pPr>
    <w:rPr>
      <w:snapToGrid w:val="0"/>
      <w:kern w:val="0"/>
      <w:sz w:val="28"/>
      <w:szCs w:val="20"/>
    </w:rPr>
  </w:style>
  <w:style w:type="character" w:customStyle="1" w:styleId="content">
    <w:name w:val="content"/>
  </w:style>
  <w:style w:type="character" w:customStyle="1" w:styleId="319">
    <w:name w:val="31"/>
    <w:rPr>
      <w:sz w:val="19"/>
      <w:szCs w:val="19"/>
    </w:rPr>
  </w:style>
  <w:style w:type="character" w:customStyle="1" w:styleId="c10">
    <w:name w:val="c1"/>
    <w:rPr>
      <w:sz w:val="20"/>
      <w:szCs w:val="20"/>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pPr>
      <w:spacing w:line="360" w:lineRule="auto"/>
      <w:ind w:firstLineChars="200" w:firstLine="200"/>
      <w:jc w:val="left"/>
    </w:pPr>
    <w:rPr>
      <w:snapToGrid w:val="0"/>
      <w:kern w:val="0"/>
      <w:sz w:val="28"/>
    </w:rPr>
  </w:style>
  <w:style w:type="paragraph" w:customStyle="1" w:styleId="423">
    <w:name w:val="正文文字4号缩进2"/>
    <w:basedOn w:val="23"/>
    <w:pPr>
      <w:keepNext w:val="0"/>
      <w:tabs>
        <w:tab w:val="clear" w:pos="6165"/>
      </w:tabs>
      <w:snapToGrid w:val="0"/>
      <w:spacing w:line="460" w:lineRule="atLeast"/>
      <w:ind w:left="0" w:firstLineChars="192" w:firstLine="601"/>
      <w:jc w:val="left"/>
    </w:pPr>
    <w:rPr>
      <w:rFonts w:ascii="Arial" w:hAnsi="Arial"/>
      <w:snapToGrid w:val="0"/>
      <w:sz w:val="28"/>
      <w:szCs w:val="20"/>
      <w:lang w:val="en-US" w:eastAsia="zh-CN"/>
    </w:rPr>
  </w:style>
  <w:style w:type="character" w:customStyle="1" w:styleId="CharChar32">
    <w:name w:val="Char Char32"/>
    <w:rPr>
      <w:rFonts w:ascii="宋体" w:eastAsia="宋体" w:hAnsi="Courier New" w:cs="Courier New"/>
      <w:kern w:val="2"/>
      <w:sz w:val="28"/>
      <w:szCs w:val="21"/>
      <w:lang w:val="en-US" w:eastAsia="zh-CN" w:bidi="ar-SA"/>
    </w:rPr>
  </w:style>
  <w:style w:type="paragraph" w:customStyle="1" w:styleId="afffffffffffffffffffffffffffff0">
    <w:name w:val="a"/>
    <w:basedOn w:val="a0"/>
    <w:pPr>
      <w:widowControl/>
      <w:spacing w:before="100" w:beforeAutospacing="1" w:after="100" w:afterAutospacing="1" w:line="360" w:lineRule="auto"/>
      <w:ind w:firstLineChars="200" w:firstLine="200"/>
      <w:jc w:val="left"/>
    </w:pPr>
    <w:rPr>
      <w:rFonts w:ascii="宋体" w:hAnsi="宋体" w:cs="宋体"/>
      <w:snapToGrid w:val="0"/>
      <w:kern w:val="0"/>
      <w:sz w:val="24"/>
    </w:rPr>
  </w:style>
  <w:style w:type="paragraph" w:customStyle="1" w:styleId="y">
    <w:name w:val="?y??"/>
    <w:pPr>
      <w:widowControl w:val="0"/>
      <w:overflowPunct w:val="0"/>
      <w:autoSpaceDE w:val="0"/>
      <w:autoSpaceDN w:val="0"/>
      <w:adjustRightInd w:val="0"/>
      <w:spacing w:line="357" w:lineRule="atLeast"/>
      <w:jc w:val="both"/>
      <w:textAlignment w:val="baseline"/>
    </w:pPr>
    <w:rPr>
      <w:color w:val="000000"/>
      <w:sz w:val="21"/>
    </w:rPr>
  </w:style>
  <w:style w:type="paragraph" w:customStyle="1" w:styleId="WPSPlain">
    <w:name w:val="WPS Plain"/>
  </w:style>
  <w:style w:type="paragraph" w:customStyle="1" w:styleId="afffffffffffffffffffffffffffff1">
    <w:name w:val="文章附标题"/>
    <w:basedOn w:val="a0"/>
    <w:next w:val="a0"/>
    <w:pPr>
      <w:widowControl/>
      <w:spacing w:before="187" w:after="175" w:line="374" w:lineRule="atLeast"/>
      <w:ind w:firstLineChars="200" w:firstLine="200"/>
      <w:jc w:val="center"/>
      <w:textAlignment w:val="baseline"/>
    </w:pPr>
    <w:rPr>
      <w:snapToGrid w:val="0"/>
      <w:color w:val="000000"/>
      <w:kern w:val="0"/>
      <w:sz w:val="36"/>
      <w:szCs w:val="20"/>
      <w:u w:color="000000"/>
    </w:rPr>
  </w:style>
  <w:style w:type="paragraph" w:customStyle="1" w:styleId="style17">
    <w:name w:val="style17"/>
    <w:basedOn w:val="a0"/>
    <w:pPr>
      <w:widowControl/>
      <w:spacing w:before="100" w:beforeAutospacing="1" w:after="100" w:afterAutospacing="1" w:line="283" w:lineRule="atLeast"/>
      <w:ind w:firstLineChars="200" w:firstLine="200"/>
      <w:jc w:val="left"/>
    </w:pPr>
    <w:rPr>
      <w:rFonts w:ascii="Arial Unicode MS" w:eastAsia="Arial Unicode MS" w:hAnsi="Arial Unicode MS"/>
      <w:b/>
      <w:bCs/>
      <w:snapToGrid w:val="0"/>
      <w:kern w:val="0"/>
      <w:sz w:val="22"/>
      <w:szCs w:val="22"/>
    </w:rPr>
  </w:style>
  <w:style w:type="paragraph" w:customStyle="1" w:styleId="afffffffffffffffffffffffffffff2">
    <w:name w:val="评价表格"/>
    <w:basedOn w:val="a0"/>
    <w:pPr>
      <w:snapToGrid w:val="0"/>
      <w:spacing w:line="400" w:lineRule="exact"/>
      <w:ind w:firstLineChars="200" w:firstLine="200"/>
      <w:jc w:val="left"/>
    </w:pPr>
    <w:rPr>
      <w:rFonts w:ascii="宋体" w:hAnsi="宋体"/>
      <w:snapToGrid w:val="0"/>
      <w:color w:val="000000"/>
      <w:kern w:val="0"/>
      <w:sz w:val="28"/>
    </w:rPr>
  </w:style>
  <w:style w:type="character" w:customStyle="1" w:styleId="bt1">
    <w:name w:val="bt1"/>
    <w:rPr>
      <w:color w:val="000000"/>
    </w:rPr>
  </w:style>
  <w:style w:type="paragraph" w:customStyle="1" w:styleId="afffffffffffffffffffffffffffff3">
    <w:name w:val="表中文字居中"/>
    <w:basedOn w:val="a0"/>
    <w:pPr>
      <w:adjustRightInd w:val="0"/>
      <w:snapToGrid w:val="0"/>
      <w:spacing w:beforeLines="50" w:line="360" w:lineRule="auto"/>
      <w:ind w:firstLineChars="200" w:firstLine="200"/>
      <w:jc w:val="center"/>
    </w:pPr>
    <w:rPr>
      <w:rFonts w:eastAsia="黑体"/>
      <w:snapToGrid w:val="0"/>
      <w:kern w:val="0"/>
      <w:sz w:val="28"/>
    </w:rPr>
  </w:style>
  <w:style w:type="paragraph" w:customStyle="1" w:styleId="2fffffe">
    <w:name w:val="条2"/>
    <w:basedOn w:val="a0"/>
    <w:next w:val="afffffffffffffffffffff1"/>
    <w:pPr>
      <w:spacing w:line="360" w:lineRule="auto"/>
      <w:ind w:firstLineChars="200" w:firstLine="200"/>
      <w:jc w:val="left"/>
      <w:outlineLvl w:val="1"/>
    </w:pPr>
    <w:rPr>
      <w:rFonts w:ascii="黑体" w:eastAsia="黑体"/>
      <w:snapToGrid w:val="0"/>
      <w:kern w:val="21"/>
      <w:sz w:val="28"/>
      <w:szCs w:val="20"/>
    </w:rPr>
  </w:style>
  <w:style w:type="paragraph" w:customStyle="1" w:styleId="3ffa">
    <w:name w:val="条3"/>
    <w:basedOn w:val="a0"/>
    <w:next w:val="afffffffffffffffffffff1"/>
    <w:pPr>
      <w:spacing w:line="360" w:lineRule="auto"/>
      <w:ind w:firstLineChars="200" w:firstLine="200"/>
      <w:jc w:val="left"/>
      <w:outlineLvl w:val="1"/>
    </w:pPr>
    <w:rPr>
      <w:rFonts w:ascii="黑体" w:eastAsia="黑体"/>
      <w:snapToGrid w:val="0"/>
      <w:kern w:val="21"/>
      <w:sz w:val="28"/>
      <w:szCs w:val="20"/>
    </w:rPr>
  </w:style>
  <w:style w:type="paragraph" w:customStyle="1" w:styleId="4ff1">
    <w:name w:val="条4"/>
    <w:basedOn w:val="a0"/>
    <w:next w:val="afffffffffffffffffffff1"/>
    <w:pPr>
      <w:spacing w:line="360" w:lineRule="auto"/>
      <w:ind w:firstLineChars="200" w:firstLine="200"/>
      <w:jc w:val="left"/>
      <w:outlineLvl w:val="1"/>
    </w:pPr>
    <w:rPr>
      <w:rFonts w:ascii="黑体" w:eastAsia="黑体"/>
      <w:snapToGrid w:val="0"/>
      <w:kern w:val="21"/>
      <w:sz w:val="28"/>
      <w:szCs w:val="20"/>
    </w:rPr>
  </w:style>
  <w:style w:type="paragraph" w:customStyle="1" w:styleId="5fa">
    <w:name w:val="条5"/>
    <w:basedOn w:val="a0"/>
    <w:next w:val="afffffffffffffffffffff1"/>
    <w:pPr>
      <w:spacing w:line="360" w:lineRule="auto"/>
      <w:ind w:firstLineChars="200" w:firstLine="200"/>
      <w:jc w:val="left"/>
      <w:outlineLvl w:val="1"/>
    </w:pPr>
    <w:rPr>
      <w:rFonts w:ascii="黑体" w:eastAsia="黑体"/>
      <w:snapToGrid w:val="0"/>
      <w:kern w:val="21"/>
      <w:sz w:val="28"/>
      <w:szCs w:val="20"/>
    </w:rPr>
  </w:style>
  <w:style w:type="paragraph" w:customStyle="1" w:styleId="afffffffffffffffffffffffffffff4">
    <w:name w:val="可研表格文字"/>
    <w:basedOn w:val="a0"/>
    <w:pPr>
      <w:keepNext/>
      <w:keepLines/>
      <w:snapToGrid w:val="0"/>
      <w:spacing w:line="240" w:lineRule="atLeast"/>
      <w:ind w:rightChars="-20" w:right="-42" w:firstLineChars="200" w:firstLine="200"/>
      <w:jc w:val="left"/>
    </w:pPr>
    <w:rPr>
      <w:rFonts w:eastAsia="楷体_GB2312"/>
      <w:snapToGrid w:val="0"/>
      <w:color w:val="FF0000"/>
      <w:kern w:val="0"/>
      <w:sz w:val="28"/>
      <w:szCs w:val="21"/>
    </w:rPr>
  </w:style>
  <w:style w:type="paragraph" w:customStyle="1" w:styleId="afffffffffffffffffffffffffffff5">
    <w:name w:val="规定正文"/>
    <w:link w:val="Charffffff1"/>
    <w:pPr>
      <w:spacing w:before="160" w:line="440" w:lineRule="atLeast"/>
      <w:ind w:left="425" w:firstLine="425"/>
      <w:contextualSpacing/>
      <w:jc w:val="both"/>
    </w:pPr>
    <w:rPr>
      <w:kern w:val="2"/>
      <w:sz w:val="24"/>
    </w:rPr>
  </w:style>
  <w:style w:type="character" w:customStyle="1" w:styleId="Charffffff1">
    <w:name w:val="规定正文 Char"/>
    <w:link w:val="afffffffffffffffffffffffffffff5"/>
    <w:rPr>
      <w:kern w:val="2"/>
      <w:sz w:val="24"/>
      <w:lang w:bidi="ar-SA"/>
    </w:rPr>
  </w:style>
  <w:style w:type="paragraph" w:customStyle="1" w:styleId="CharCharChar1CharCharCharCharCharCharChar">
    <w:name w:val="Char Char Char1 Char Char Char Char Char Char Char"/>
    <w:basedOn w:val="a0"/>
    <w:pPr>
      <w:tabs>
        <w:tab w:val="left" w:pos="2220"/>
      </w:tabs>
      <w:adjustRightInd w:val="0"/>
      <w:spacing w:line="312" w:lineRule="auto"/>
      <w:ind w:firstLineChars="200" w:firstLine="200"/>
      <w:jc w:val="left"/>
      <w:textAlignment w:val="baseline"/>
    </w:pPr>
    <w:rPr>
      <w:rFonts w:ascii="Tahoma" w:hAnsi="Tahoma"/>
      <w:snapToGrid w:val="0"/>
      <w:kern w:val="0"/>
      <w:sz w:val="24"/>
      <w:szCs w:val="20"/>
    </w:rPr>
  </w:style>
  <w:style w:type="paragraph" w:customStyle="1" w:styleId="311105051">
    <w:name w:val="样式 样式 样式 样式 样式 样式 样式 标题 3条标题1.1.1 + 段后: 0.5 行 + 段后: 0.5 行 + 段后: ...1"/>
    <w:basedOn w:val="a0"/>
    <w:pPr>
      <w:keepNext/>
      <w:keepLines/>
      <w:tabs>
        <w:tab w:val="left" w:pos="3420"/>
      </w:tabs>
      <w:adjustRightInd w:val="0"/>
      <w:snapToGrid w:val="0"/>
      <w:spacing w:line="360" w:lineRule="auto"/>
      <w:ind w:left="3420" w:firstLineChars="200" w:hanging="1980"/>
      <w:jc w:val="left"/>
      <w:outlineLvl w:val="2"/>
    </w:pPr>
    <w:rPr>
      <w:rFonts w:ascii="宋体" w:cs="宋体"/>
      <w:snapToGrid w:val="0"/>
      <w:kern w:val="0"/>
      <w:sz w:val="28"/>
      <w:szCs w:val="20"/>
    </w:rPr>
  </w:style>
  <w:style w:type="paragraph" w:customStyle="1" w:styleId="afffffffffffffffffffffffffffff6">
    <w:name w:val="表体"/>
    <w:basedOn w:val="a0"/>
    <w:semiHidden/>
    <w:pPr>
      <w:overflowPunct w:val="0"/>
      <w:adjustRightInd w:val="0"/>
      <w:spacing w:line="300" w:lineRule="atLeast"/>
      <w:ind w:firstLineChars="200" w:firstLine="200"/>
      <w:jc w:val="center"/>
      <w:textAlignment w:val="baseline"/>
    </w:pPr>
    <w:rPr>
      <w:snapToGrid w:val="0"/>
      <w:color w:val="000000"/>
      <w:kern w:val="24"/>
      <w:sz w:val="18"/>
      <w:szCs w:val="20"/>
    </w:rPr>
  </w:style>
  <w:style w:type="paragraph" w:customStyle="1" w:styleId="afffffffffffffffffffffffffffff7">
    <w:name w:val="表居中（中文）"/>
    <w:basedOn w:val="a0"/>
    <w:pPr>
      <w:spacing w:line="360" w:lineRule="auto"/>
      <w:ind w:firstLineChars="200" w:firstLine="200"/>
      <w:jc w:val="center"/>
    </w:pPr>
    <w:rPr>
      <w:b/>
      <w:bCs/>
      <w:snapToGrid w:val="0"/>
      <w:kern w:val="0"/>
      <w:sz w:val="28"/>
    </w:rPr>
  </w:style>
  <w:style w:type="paragraph" w:customStyle="1" w:styleId="afffffffffffffffffffffffffffff8">
    <w:name w:val="表项"/>
    <w:basedOn w:val="a0"/>
    <w:pPr>
      <w:adjustRightInd w:val="0"/>
      <w:spacing w:before="60" w:after="60" w:line="288" w:lineRule="auto"/>
      <w:ind w:firstLineChars="200" w:firstLine="200"/>
      <w:jc w:val="center"/>
      <w:textAlignment w:val="baseline"/>
    </w:pPr>
    <w:rPr>
      <w:rFonts w:eastAsia="楷体"/>
      <w:snapToGrid w:val="0"/>
      <w:kern w:val="44"/>
      <w:sz w:val="18"/>
      <w:szCs w:val="20"/>
      <w:lang w:val="en-GB"/>
    </w:rPr>
  </w:style>
  <w:style w:type="paragraph" w:customStyle="1" w:styleId="4ff2">
    <w:name w:val="目录4"/>
    <w:basedOn w:val="a0"/>
    <w:next w:val="a0"/>
    <w:pPr>
      <w:widowControl/>
      <w:tabs>
        <w:tab w:val="left" w:leader="dot" w:pos="8503"/>
      </w:tabs>
      <w:spacing w:line="317" w:lineRule="atLeast"/>
      <w:ind w:firstLineChars="200" w:firstLine="629"/>
      <w:jc w:val="left"/>
      <w:textAlignment w:val="baseline"/>
    </w:pPr>
    <w:rPr>
      <w:snapToGrid w:val="0"/>
      <w:color w:val="000000"/>
      <w:kern w:val="0"/>
      <w:sz w:val="28"/>
      <w:szCs w:val="20"/>
      <w:u w:color="000000"/>
    </w:rPr>
  </w:style>
  <w:style w:type="paragraph" w:customStyle="1" w:styleId="afffffffffffffffffffffffffffff9">
    <w:name w:val="表里"/>
    <w:basedOn w:val="a0"/>
    <w:pPr>
      <w:spacing w:line="360" w:lineRule="auto"/>
      <w:ind w:firstLineChars="200" w:firstLine="200"/>
      <w:jc w:val="center"/>
      <w:outlineLvl w:val="8"/>
    </w:pPr>
    <w:rPr>
      <w:snapToGrid w:val="0"/>
      <w:kern w:val="0"/>
      <w:sz w:val="24"/>
    </w:rPr>
  </w:style>
  <w:style w:type="paragraph" w:customStyle="1" w:styleId="newsdate1">
    <w:name w:val="newsdate1"/>
    <w:basedOn w:val="a0"/>
    <w:pPr>
      <w:widowControl/>
      <w:spacing w:before="150" w:after="100" w:afterAutospacing="1" w:line="360" w:lineRule="auto"/>
      <w:ind w:firstLineChars="200" w:firstLine="200"/>
      <w:jc w:val="center"/>
    </w:pPr>
    <w:rPr>
      <w:rFonts w:ascii="宋体" w:hAnsi="宋体" w:cs="宋体"/>
      <w:snapToGrid w:val="0"/>
      <w:color w:val="999999"/>
      <w:kern w:val="0"/>
      <w:sz w:val="24"/>
    </w:rPr>
  </w:style>
  <w:style w:type="paragraph" w:customStyle="1" w:styleId="afffffffffffffffffffffffffffffa">
    <w:name w:val="流程"/>
    <w:basedOn w:val="a0"/>
    <w:pPr>
      <w:topLinePunct/>
      <w:adjustRightInd w:val="0"/>
      <w:snapToGrid w:val="0"/>
      <w:spacing w:line="360" w:lineRule="auto"/>
      <w:ind w:firstLineChars="200" w:firstLine="200"/>
      <w:jc w:val="center"/>
    </w:pPr>
    <w:rPr>
      <w:snapToGrid w:val="0"/>
      <w:kern w:val="0"/>
      <w:sz w:val="18"/>
      <w:szCs w:val="20"/>
    </w:rPr>
  </w:style>
  <w:style w:type="character" w:customStyle="1" w:styleId="breakword1">
    <w:name w:val="break_word1"/>
  </w:style>
  <w:style w:type="paragraph" w:customStyle="1" w:styleId="1fffffff">
    <w:name w:val="表格填充1"/>
    <w:basedOn w:val="a0"/>
    <w:pPr>
      <w:adjustRightInd w:val="0"/>
      <w:snapToGrid w:val="0"/>
      <w:spacing w:line="400" w:lineRule="exact"/>
      <w:ind w:firstLineChars="200" w:firstLine="200"/>
      <w:jc w:val="center"/>
    </w:pPr>
    <w:rPr>
      <w:kern w:val="0"/>
      <w:sz w:val="28"/>
      <w:szCs w:val="18"/>
    </w:rPr>
  </w:style>
  <w:style w:type="character" w:customStyle="1" w:styleId="CharChar51">
    <w:name w:val="Char Char51"/>
    <w:rPr>
      <w:rFonts w:ascii="宋体" w:eastAsia="黑体" w:hAnsi="宋体"/>
      <w:kern w:val="2"/>
      <w:sz w:val="18"/>
      <w:szCs w:val="18"/>
      <w:lang w:val="en-US" w:eastAsia="zh-CN" w:bidi="ar-SA"/>
    </w:rPr>
  </w:style>
  <w:style w:type="character" w:customStyle="1" w:styleId="exlove1">
    <w:name w:val="exlove1"/>
    <w:rPr>
      <w:vanish/>
    </w:rPr>
  </w:style>
  <w:style w:type="character" w:customStyle="1" w:styleId="Charffffff2">
    <w:name w:val="文本正文 Char"/>
    <w:semiHidden/>
    <w:rPr>
      <w:sz w:val="24"/>
      <w:szCs w:val="24"/>
    </w:rPr>
  </w:style>
  <w:style w:type="paragraph" w:customStyle="1" w:styleId="1fffffff0">
    <w:name w:val="表头1"/>
    <w:basedOn w:val="a0"/>
    <w:next w:val="a0"/>
    <w:link w:val="1Charb"/>
    <w:pPr>
      <w:tabs>
        <w:tab w:val="left" w:pos="605"/>
      </w:tabs>
      <w:adjustRightInd w:val="0"/>
      <w:snapToGrid w:val="0"/>
      <w:spacing w:line="360" w:lineRule="auto"/>
      <w:ind w:firstLineChars="200" w:firstLine="200"/>
      <w:jc w:val="center"/>
    </w:pPr>
    <w:rPr>
      <w:rFonts w:eastAsia="黑体"/>
      <w:snapToGrid w:val="0"/>
      <w:kern w:val="0"/>
      <w:sz w:val="28"/>
      <w:szCs w:val="21"/>
      <w:lang w:val="en-US" w:eastAsia="zh-CN"/>
    </w:rPr>
  </w:style>
  <w:style w:type="character" w:customStyle="1" w:styleId="1Charb">
    <w:name w:val="表头1 Char"/>
    <w:link w:val="1fffffff0"/>
    <w:rPr>
      <w:rFonts w:eastAsia="黑体"/>
      <w:snapToGrid w:val="0"/>
      <w:sz w:val="28"/>
      <w:szCs w:val="21"/>
      <w:lang w:val="en-US" w:eastAsia="zh-CN"/>
    </w:rPr>
  </w:style>
  <w:style w:type="paragraph" w:customStyle="1" w:styleId="1fffffff1">
    <w:name w:val="表图1"/>
    <w:basedOn w:val="a0"/>
    <w:pPr>
      <w:spacing w:line="0" w:lineRule="atLeast"/>
      <w:ind w:firstLineChars="200" w:firstLine="200"/>
      <w:jc w:val="left"/>
    </w:pPr>
    <w:rPr>
      <w:snapToGrid w:val="0"/>
      <w:kern w:val="0"/>
      <w:sz w:val="28"/>
    </w:rPr>
  </w:style>
  <w:style w:type="paragraph" w:customStyle="1" w:styleId="1fffffff2">
    <w:name w:val="样式1.....表格"/>
    <w:basedOn w:val="a0"/>
    <w:next w:val="a0"/>
    <w:pPr>
      <w:spacing w:line="360" w:lineRule="auto"/>
      <w:ind w:firstLineChars="200" w:firstLine="200"/>
      <w:jc w:val="center"/>
    </w:pPr>
    <w:rPr>
      <w:snapToGrid w:val="0"/>
      <w:kern w:val="0"/>
      <w:sz w:val="24"/>
    </w:rPr>
  </w:style>
  <w:style w:type="paragraph" w:customStyle="1" w:styleId="afffffffffffffffffffffffffffffb">
    <w:name w:val="表、图名"/>
    <w:basedOn w:val="a0"/>
    <w:link w:val="Charffffff3"/>
    <w:semiHidden/>
    <w:pPr>
      <w:adjustRightInd w:val="0"/>
      <w:snapToGrid w:val="0"/>
      <w:spacing w:line="312" w:lineRule="atLeast"/>
      <w:ind w:firstLineChars="200" w:firstLine="200"/>
      <w:jc w:val="center"/>
    </w:pPr>
    <w:rPr>
      <w:rFonts w:eastAsia="黑体"/>
      <w:snapToGrid w:val="0"/>
      <w:kern w:val="0"/>
      <w:sz w:val="28"/>
      <w:lang w:val="en-US" w:eastAsia="zh-CN"/>
    </w:rPr>
  </w:style>
  <w:style w:type="character" w:customStyle="1" w:styleId="Charffffff3">
    <w:name w:val="表、图名 Char"/>
    <w:link w:val="afffffffffffffffffffffffffffffb"/>
    <w:semiHidden/>
    <w:rPr>
      <w:rFonts w:eastAsia="黑体"/>
      <w:snapToGrid w:val="0"/>
      <w:sz w:val="28"/>
      <w:szCs w:val="24"/>
      <w:lang w:val="en-US" w:eastAsia="zh-CN"/>
    </w:rPr>
  </w:style>
  <w:style w:type="character" w:customStyle="1" w:styleId="searchcontent1">
    <w:name w:val="search_content1"/>
    <w:rPr>
      <w:sz w:val="20"/>
      <w:szCs w:val="20"/>
    </w:rPr>
  </w:style>
  <w:style w:type="paragraph" w:customStyle="1" w:styleId="2ffffff">
    <w:name w:val="正文缩进2字符"/>
    <w:basedOn w:val="a0"/>
    <w:link w:val="2Charf3"/>
    <w:pPr>
      <w:adjustRightInd w:val="0"/>
      <w:snapToGrid w:val="0"/>
      <w:spacing w:line="300" w:lineRule="auto"/>
      <w:ind w:firstLineChars="200" w:firstLine="480"/>
      <w:jc w:val="left"/>
    </w:pPr>
    <w:rPr>
      <w:kern w:val="0"/>
      <w:sz w:val="24"/>
      <w:lang w:val="x-none" w:eastAsia="x-none"/>
    </w:rPr>
  </w:style>
  <w:style w:type="character" w:customStyle="1" w:styleId="2Charf3">
    <w:name w:val="正文缩进2字符 Char"/>
    <w:link w:val="2ffffff"/>
    <w:rPr>
      <w:sz w:val="24"/>
      <w:szCs w:val="24"/>
    </w:rPr>
  </w:style>
  <w:style w:type="character" w:customStyle="1" w:styleId="t1">
    <w:name w:val="t1"/>
    <w:rPr>
      <w:b w:val="0"/>
      <w:bCs w:val="0"/>
      <w:color w:val="000000"/>
      <w:sz w:val="18"/>
      <w:szCs w:val="18"/>
    </w:rPr>
  </w:style>
  <w:style w:type="paragraph" w:customStyle="1" w:styleId="2ffffff0">
    <w:name w:val="目录2"/>
    <w:basedOn w:val="a0"/>
    <w:next w:val="a0"/>
    <w:pPr>
      <w:widowControl/>
      <w:tabs>
        <w:tab w:val="left" w:leader="dot" w:pos="8503"/>
      </w:tabs>
      <w:spacing w:line="317" w:lineRule="atLeast"/>
      <w:ind w:firstLineChars="200" w:firstLine="209"/>
      <w:jc w:val="left"/>
      <w:textAlignment w:val="baseline"/>
    </w:pPr>
    <w:rPr>
      <w:snapToGrid w:val="0"/>
      <w:color w:val="000000"/>
      <w:kern w:val="0"/>
      <w:sz w:val="28"/>
      <w:szCs w:val="20"/>
      <w:u w:color="000000"/>
    </w:rPr>
  </w:style>
  <w:style w:type="paragraph" w:customStyle="1" w:styleId="afffffffffffffffffffffffffffffc">
    <w:name w:val="表格文字两端对齐"/>
    <w:basedOn w:val="a0"/>
    <w:pPr>
      <w:spacing w:line="360" w:lineRule="auto"/>
      <w:ind w:firstLineChars="200" w:firstLine="200"/>
      <w:jc w:val="left"/>
    </w:pPr>
    <w:rPr>
      <w:rFonts w:ascii="宋体" w:hAnsi="宋体" w:cs="Arial"/>
      <w:snapToGrid w:val="0"/>
      <w:color w:val="000000"/>
      <w:kern w:val="0"/>
      <w:sz w:val="28"/>
      <w:szCs w:val="21"/>
    </w:rPr>
  </w:style>
  <w:style w:type="paragraph" w:customStyle="1" w:styleId="afffffffffffffffffffffffffffffd">
    <w:name w:val="表格文字缩进"/>
    <w:basedOn w:val="a0"/>
    <w:next w:val="a0"/>
    <w:pPr>
      <w:spacing w:line="300" w:lineRule="auto"/>
      <w:ind w:firstLineChars="200" w:firstLine="420"/>
      <w:jc w:val="center"/>
    </w:pPr>
    <w:rPr>
      <w:snapToGrid w:val="0"/>
      <w:kern w:val="0"/>
      <w:sz w:val="28"/>
    </w:rPr>
  </w:style>
  <w:style w:type="paragraph" w:customStyle="1" w:styleId="09915">
    <w:name w:val="样式 黑体 四号 黑色 首行缩进:  0.99 厘米 行距: 1.5 倍行距"/>
    <w:basedOn w:val="3"/>
    <w:pPr>
      <w:numPr>
        <w:ilvl w:val="2"/>
      </w:numPr>
      <w:spacing w:before="260" w:after="260"/>
      <w:ind w:firstLineChars="200" w:firstLine="560"/>
    </w:pPr>
    <w:rPr>
      <w:rFonts w:cs="宋体"/>
      <w:b w:val="0"/>
      <w:snapToGrid w:val="0"/>
      <w:color w:val="000000"/>
      <w:kern w:val="0"/>
      <w:sz w:val="28"/>
      <w:szCs w:val="20"/>
    </w:rPr>
  </w:style>
  <w:style w:type="paragraph" w:customStyle="1" w:styleId="afffffffffffffffffffffffffffffe">
    <w:name w:val="图表说明居中"/>
    <w:basedOn w:val="a0"/>
    <w:next w:val="a0"/>
    <w:pPr>
      <w:adjustRightInd w:val="0"/>
      <w:snapToGrid w:val="0"/>
      <w:spacing w:line="360" w:lineRule="auto"/>
      <w:ind w:firstLineChars="200" w:firstLine="200"/>
      <w:jc w:val="center"/>
    </w:pPr>
    <w:rPr>
      <w:rFonts w:ascii="宋体" w:hAnsi="宋体"/>
      <w:snapToGrid w:val="0"/>
      <w:kern w:val="0"/>
      <w:sz w:val="28"/>
    </w:rPr>
  </w:style>
  <w:style w:type="character" w:customStyle="1" w:styleId="Char2a">
    <w:name w:val="节 Char2"/>
    <w:aliases w:val="2 Char2,1.1标题 2 Char2,1.1 Char2,标题2 Char2,1 Char3,二级标题，黑粗，小三，序号 Char2,HD2 Char2,Heading 2 Hidden Char2,Heading 2 CCBS Char2,sect 1.2 Char2,H2 Char2,Reset numbering Char2,H21 Char2,R2 Char2,heading 2 Char2,h2 Char2,sub-sect Char2"/>
    <w:rPr>
      <w:rFonts w:ascii="仿宋_GB2312" w:eastAsia="仿宋_GB2312" w:hAnsi="宋体"/>
      <w:b/>
      <w:kern w:val="2"/>
      <w:sz w:val="32"/>
      <w:szCs w:val="32"/>
    </w:rPr>
  </w:style>
  <w:style w:type="character" w:customStyle="1" w:styleId="lyqChar">
    <w:name w:val="正文lyq Char"/>
    <w:rPr>
      <w:rFonts w:cs="宋体"/>
      <w:sz w:val="28"/>
    </w:rPr>
  </w:style>
  <w:style w:type="character" w:customStyle="1" w:styleId="lyqChar0">
    <w:name w:val="表格lyq Char"/>
    <w:rPr>
      <w:snapToGrid w:val="0"/>
      <w:sz w:val="21"/>
      <w:szCs w:val="21"/>
    </w:rPr>
  </w:style>
  <w:style w:type="character" w:customStyle="1" w:styleId="lyqChar1">
    <w:name w:val="二级标题lyq Char"/>
    <w:rPr>
      <w:b/>
      <w:snapToGrid w:val="0"/>
      <w:position w:val="2"/>
      <w:sz w:val="28"/>
      <w:szCs w:val="28"/>
    </w:rPr>
  </w:style>
  <w:style w:type="character" w:customStyle="1" w:styleId="lyqChar2">
    <w:name w:val="三级标题lyq Char"/>
    <w:rPr>
      <w:rFonts w:cs="宋体"/>
      <w:bCs/>
      <w:snapToGrid w:val="0"/>
      <w:sz w:val="28"/>
    </w:rPr>
  </w:style>
  <w:style w:type="character" w:customStyle="1" w:styleId="lyqChar3">
    <w:name w:val="表格标题lyq Char"/>
    <w:rPr>
      <w:rFonts w:cs="宋体"/>
      <w:b/>
      <w:bCs/>
      <w:snapToGrid w:val="0"/>
      <w:sz w:val="24"/>
    </w:rPr>
  </w:style>
  <w:style w:type="character" w:customStyle="1" w:styleId="lyqChar4">
    <w:name w:val="一级标题lyq Char"/>
    <w:rPr>
      <w:rFonts w:eastAsia="黑体" w:cs="宋体"/>
      <w:b/>
      <w:bCs/>
      <w:snapToGrid w:val="0"/>
      <w:position w:val="2"/>
      <w:sz w:val="28"/>
    </w:rPr>
  </w:style>
  <w:style w:type="character" w:customStyle="1" w:styleId="CharChar41">
    <w:name w:val="Char Char41"/>
    <w:rPr>
      <w:rFonts w:eastAsia="宋体"/>
      <w:kern w:val="2"/>
      <w:sz w:val="18"/>
      <w:lang w:val="en-US" w:eastAsia="zh-CN" w:bidi="ar-SA"/>
    </w:rPr>
  </w:style>
  <w:style w:type="character" w:customStyle="1" w:styleId="1Charc">
    <w:name w:val="表格1 Char"/>
    <w:rPr>
      <w:rFonts w:ascii="宋体"/>
      <w:sz w:val="24"/>
    </w:rPr>
  </w:style>
  <w:style w:type="character" w:customStyle="1" w:styleId="newsitemtext1">
    <w:name w:val="newsitemtext1"/>
    <w:semiHidden/>
    <w:rPr>
      <w:color w:val="000000"/>
      <w:sz w:val="28"/>
      <w:szCs w:val="28"/>
    </w:rPr>
  </w:style>
  <w:style w:type="character" w:customStyle="1" w:styleId="Charffffff4">
    <w:name w:val="正文一级标题 Char"/>
    <w:semiHidden/>
    <w:rPr>
      <w:rFonts w:ascii="黑体" w:eastAsia="黑体"/>
      <w:b/>
      <w:bCs/>
      <w:snapToGrid w:val="0"/>
      <w:position w:val="2"/>
      <w:sz w:val="28"/>
      <w:szCs w:val="28"/>
    </w:rPr>
  </w:style>
  <w:style w:type="character" w:customStyle="1" w:styleId="Charffffff5">
    <w:name w:val="正文二级标题 Char"/>
    <w:semiHidden/>
    <w:rPr>
      <w:rFonts w:ascii="黑体" w:eastAsia="黑体" w:hAnsi="Arial"/>
      <w:bCs/>
      <w:snapToGrid w:val="0"/>
      <w:position w:val="2"/>
      <w:sz w:val="28"/>
      <w:szCs w:val="28"/>
    </w:rPr>
  </w:style>
  <w:style w:type="character" w:customStyle="1" w:styleId="affffffffffffffffffffffffffffff">
    <w:name w:val="表格右"/>
    <w:semiHidden/>
    <w:rPr>
      <w:rFonts w:ascii="宋体" w:eastAsia="宋体" w:hAnsi="宋体"/>
      <w:color w:val="000080"/>
      <w:kern w:val="2"/>
      <w:sz w:val="18"/>
      <w:szCs w:val="24"/>
      <w:lang w:val="en-US" w:eastAsia="zh-CN"/>
    </w:rPr>
  </w:style>
  <w:style w:type="character" w:customStyle="1" w:styleId="05Char">
    <w:name w:val="样式 表格标题 + 段前: 0.5 行 Char"/>
    <w:semiHidden/>
    <w:rPr>
      <w:rFonts w:ascii="宋体" w:cs="宋体"/>
      <w:b/>
      <w:bCs/>
      <w:snapToGrid w:val="0"/>
      <w:sz w:val="24"/>
    </w:rPr>
  </w:style>
  <w:style w:type="paragraph" w:customStyle="1" w:styleId="affffffffffffffffffffffffffffff0">
    <w:name w:val="样式 正文三级标题"/>
    <w:basedOn w:val="a0"/>
    <w:semiHidden/>
    <w:pPr>
      <w:spacing w:line="336" w:lineRule="auto"/>
      <w:ind w:firstLineChars="200" w:firstLine="200"/>
      <w:jc w:val="left"/>
    </w:pPr>
    <w:rPr>
      <w:rFonts w:cs="宋体"/>
      <w:bCs/>
      <w:snapToGrid w:val="0"/>
      <w:kern w:val="0"/>
      <w:sz w:val="28"/>
      <w:szCs w:val="20"/>
    </w:rPr>
  </w:style>
  <w:style w:type="character" w:customStyle="1" w:styleId="Charffffff6">
    <w:name w:val="炼油正文 Char"/>
    <w:semiHidden/>
    <w:rPr>
      <w:rFonts w:ascii="宋体" w:hAnsi="宋体"/>
      <w:snapToGrid w:val="0"/>
      <w:sz w:val="28"/>
      <w:szCs w:val="28"/>
    </w:rPr>
  </w:style>
  <w:style w:type="character" w:customStyle="1" w:styleId="Charffffff7">
    <w:name w:val="附 Char"/>
    <w:semiHidden/>
    <w:rPr>
      <w:rFonts w:ascii="宋体" w:hAnsi="宋体"/>
      <w:snapToGrid w:val="0"/>
      <w:color w:val="000000"/>
      <w:position w:val="2"/>
      <w:sz w:val="28"/>
      <w:szCs w:val="28"/>
    </w:rPr>
  </w:style>
  <w:style w:type="character" w:customStyle="1" w:styleId="Charffffff8">
    <w:name w:val="甲 Char"/>
    <w:semiHidden/>
    <w:rPr>
      <w:rFonts w:ascii="宋体" w:hAnsi="宋体"/>
      <w:snapToGrid w:val="0"/>
      <w:position w:val="2"/>
      <w:sz w:val="28"/>
      <w:szCs w:val="28"/>
    </w:rPr>
  </w:style>
  <w:style w:type="character" w:customStyle="1" w:styleId="Charffffff9">
    <w:name w:val="复 Char"/>
    <w:semiHidden/>
    <w:rPr>
      <w:snapToGrid w:val="0"/>
      <w:color w:val="000000"/>
      <w:sz w:val="28"/>
    </w:rPr>
  </w:style>
  <w:style w:type="character" w:customStyle="1" w:styleId="Charffffffa">
    <w:name w:val="济 Char"/>
    <w:semiHidden/>
    <w:rPr>
      <w:rFonts w:ascii="宋体" w:hAnsi="宋体"/>
      <w:snapToGrid w:val="0"/>
      <w:sz w:val="28"/>
      <w:szCs w:val="28"/>
    </w:rPr>
  </w:style>
  <w:style w:type="character" w:customStyle="1" w:styleId="lyq1Char">
    <w:name w:val="表格标题lyq1 Char"/>
    <w:semiHidden/>
    <w:rPr>
      <w:rFonts w:cs="宋体"/>
      <w:b/>
      <w:bCs/>
      <w:snapToGrid w:val="0"/>
      <w:sz w:val="24"/>
    </w:rPr>
  </w:style>
  <w:style w:type="paragraph" w:customStyle="1" w:styleId="affffffffffffffffffffffffffffff1">
    <w:name w:val="光亮油正文"/>
    <w:basedOn w:val="a0"/>
    <w:link w:val="Charffffffb"/>
    <w:pPr>
      <w:spacing w:line="520" w:lineRule="exact"/>
      <w:ind w:firstLineChars="200" w:firstLine="200"/>
      <w:jc w:val="left"/>
    </w:pPr>
    <w:rPr>
      <w:rFonts w:ascii="宋体" w:hAnsi="宋体"/>
      <w:snapToGrid w:val="0"/>
      <w:kern w:val="0"/>
      <w:sz w:val="28"/>
      <w:szCs w:val="28"/>
      <w:lang w:val="x-none" w:eastAsia="x-none"/>
    </w:rPr>
  </w:style>
  <w:style w:type="character" w:customStyle="1" w:styleId="Charffffffb">
    <w:name w:val="光亮油正文 Char"/>
    <w:link w:val="affffffffffffffffffffffffffffff1"/>
    <w:rPr>
      <w:rFonts w:ascii="宋体" w:hAnsi="宋体"/>
      <w:snapToGrid w:val="0"/>
      <w:sz w:val="28"/>
      <w:szCs w:val="28"/>
    </w:rPr>
  </w:style>
  <w:style w:type="character" w:customStyle="1" w:styleId="Char32">
    <w:name w:val="文字缩进 Char3"/>
    <w:aliases w:val="普通文字 Char Char3,纯文本 Char Char3,表格文字 Char4,标题2 Char3,Plain Text Char1 Char3,Plain Text Char Char Char2,Plain Text Char Char4,Plain Text Char2 Char4,Plain Text Char2 Char Char3,Plain Text Char1 Char Char Char3,普通文字 Char4,孙普文字 Char3,纯文本1 Char3"/>
    <w:rPr>
      <w:rFonts w:ascii="宋体" w:eastAsia="宋体" w:hAnsi="Courier New" w:cs="Courier New"/>
      <w:kern w:val="2"/>
      <w:sz w:val="28"/>
      <w:szCs w:val="21"/>
      <w:lang w:val="en-US" w:eastAsia="zh-CN" w:bidi="ar-SA"/>
    </w:rPr>
  </w:style>
  <w:style w:type="paragraph" w:customStyle="1" w:styleId="30015">
    <w:name w:val="样式 标题 3 + (中文) 黑体 小四 非加粗 黑色 段前: 0 磅 段后: 0 磅 行距: 1.5 倍行距"/>
    <w:basedOn w:val="3"/>
    <w:pPr>
      <w:numPr>
        <w:ilvl w:val="2"/>
      </w:numPr>
      <w:spacing w:before="60" w:after="60"/>
      <w:ind w:firstLineChars="200" w:firstLine="560"/>
    </w:pPr>
    <w:rPr>
      <w:rFonts w:ascii="Times New Roman" w:cs="宋体"/>
      <w:b w:val="0"/>
      <w:bCs w:val="0"/>
      <w:snapToGrid w:val="0"/>
      <w:color w:val="000000"/>
      <w:kern w:val="0"/>
      <w:sz w:val="28"/>
      <w:szCs w:val="20"/>
    </w:rPr>
  </w:style>
  <w:style w:type="paragraph" w:customStyle="1" w:styleId="26615">
    <w:name w:val="样式 标题 2节 + 黑体 小三 非加粗 段前: 6 磅 段后: 6 磅 行距: 1.5 倍行距"/>
    <w:basedOn w:val="2"/>
    <w:pPr>
      <w:keepLines/>
      <w:numPr>
        <w:ilvl w:val="1"/>
      </w:numPr>
      <w:spacing w:beforeLines="150" w:after="120"/>
      <w:jc w:val="center"/>
    </w:pPr>
    <w:rPr>
      <w:rFonts w:eastAsia="楷体_GB2312" w:cs="宋体"/>
      <w:snapToGrid w:val="0"/>
      <w:kern w:val="0"/>
    </w:rPr>
  </w:style>
  <w:style w:type="character" w:customStyle="1" w:styleId="1CharChar4">
    <w:name w:val="注释标题1 Char Char"/>
    <w:rPr>
      <w:rFonts w:ascii="宋体" w:eastAsia="宋体"/>
      <w:kern w:val="2"/>
      <w:sz w:val="21"/>
      <w:lang w:val="en-US" w:eastAsia="zh-CN" w:bidi="ar-SA"/>
    </w:rPr>
  </w:style>
  <w:style w:type="character" w:customStyle="1" w:styleId="WebChar">
    <w:name w:val="普通(Web) Char"/>
    <w:aliases w:val="普通(网站)1 Char Char"/>
    <w:rPr>
      <w:rFonts w:ascii="宋体" w:eastAsia="宋体" w:hAnsi="宋体"/>
      <w:sz w:val="18"/>
      <w:lang w:val="en-US" w:eastAsia="zh-CN" w:bidi="ar-SA"/>
    </w:rPr>
  </w:style>
  <w:style w:type="character" w:customStyle="1" w:styleId="Charffffffc">
    <w:name w:val="表 Char"/>
    <w:locked/>
    <w:rPr>
      <w:spacing w:val="-4"/>
      <w:kern w:val="2"/>
      <w:sz w:val="21"/>
      <w:szCs w:val="24"/>
    </w:rPr>
  </w:style>
  <w:style w:type="paragraph" w:customStyle="1" w:styleId="3ffb">
    <w:name w:val="纯文本3"/>
    <w:basedOn w:val="a0"/>
    <w:pPr>
      <w:adjustRightInd w:val="0"/>
      <w:textAlignment w:val="baseline"/>
    </w:pPr>
    <w:rPr>
      <w:rFonts w:ascii="宋体" w:hAnsi="Courier New"/>
      <w:szCs w:val="20"/>
    </w:rPr>
  </w:style>
  <w:style w:type="character" w:customStyle="1" w:styleId="ak1">
    <w:name w:val="ak1"/>
    <w:rPr>
      <w:sz w:val="18"/>
      <w:szCs w:val="18"/>
    </w:rPr>
  </w:style>
  <w:style w:type="character" w:customStyle="1" w:styleId="Charffffffd">
    <w:name w:val="标题一章格式 Char"/>
    <w:link w:val="affffffffffffffffffffffffffffff2"/>
    <w:rPr>
      <w:rFonts w:ascii="Arial" w:hAnsi="Arial"/>
      <w:b/>
      <w:kern w:val="28"/>
      <w:sz w:val="32"/>
    </w:rPr>
  </w:style>
  <w:style w:type="paragraph" w:customStyle="1" w:styleId="affffffffffffffffffffffffffffff2">
    <w:name w:val="标题一章格式"/>
    <w:basedOn w:val="1"/>
    <w:next w:val="a0"/>
    <w:link w:val="Charffffffd"/>
    <w:qFormat/>
    <w:pPr>
      <w:pageBreakBefore/>
      <w:widowControl/>
      <w:tabs>
        <w:tab w:val="left" w:pos="720"/>
      </w:tabs>
      <w:spacing w:beforeLines="50" w:before="0" w:afterLines="50" w:after="156" w:line="240" w:lineRule="auto"/>
      <w:ind w:firstLineChars="200" w:firstLine="422"/>
    </w:pPr>
    <w:rPr>
      <w:rFonts w:ascii="Arial" w:eastAsia="宋体" w:hAnsi="Arial"/>
      <w:kern w:val="28"/>
      <w:szCs w:val="20"/>
      <w:lang w:val="x-none" w:eastAsia="x-none"/>
    </w:rPr>
  </w:style>
  <w:style w:type="character" w:customStyle="1" w:styleId="3Char9">
    <w:name w:val="样式 标题 3 + 非加粗 自动设置 Char"/>
    <w:link w:val="3ffc"/>
    <w:rPr>
      <w:rFonts w:ascii="宋体" w:hAnsi="宋体"/>
      <w:bCs/>
      <w:color w:val="000000"/>
      <w:spacing w:val="10"/>
      <w:szCs w:val="21"/>
    </w:rPr>
  </w:style>
  <w:style w:type="paragraph" w:customStyle="1" w:styleId="3ffc">
    <w:name w:val="样式 标题 3 + 非加粗 自动设置"/>
    <w:basedOn w:val="3"/>
    <w:link w:val="3Char9"/>
    <w:pPr>
      <w:keepNext w:val="0"/>
      <w:keepLines w:val="0"/>
      <w:numPr>
        <w:ilvl w:val="2"/>
      </w:numPr>
      <w:adjustRightInd w:val="0"/>
      <w:snapToGrid w:val="0"/>
      <w:jc w:val="center"/>
    </w:pPr>
    <w:rPr>
      <w:rFonts w:ascii="宋体" w:eastAsia="宋体" w:hAnsi="宋体"/>
      <w:b w:val="0"/>
      <w:color w:val="000000"/>
      <w:spacing w:val="10"/>
      <w:kern w:val="0"/>
      <w:sz w:val="20"/>
      <w:szCs w:val="21"/>
      <w:lang w:val="x-none" w:eastAsia="x-none"/>
    </w:rPr>
  </w:style>
  <w:style w:type="paragraph" w:customStyle="1" w:styleId="NormalText">
    <w:name w:val="Normal Text"/>
    <w:basedOn w:val="a0"/>
    <w:pPr>
      <w:keepLines/>
    </w:pPr>
  </w:style>
  <w:style w:type="paragraph" w:customStyle="1" w:styleId="xmj">
    <w:name w:val="表中居中文字 xmj"/>
    <w:basedOn w:val="a0"/>
    <w:pPr>
      <w:jc w:val="center"/>
    </w:pPr>
    <w:rPr>
      <w:rFonts w:ascii="宋体" w:hAnsi="宋体"/>
      <w:sz w:val="24"/>
    </w:rPr>
  </w:style>
  <w:style w:type="character" w:customStyle="1" w:styleId="CharCharCharCharCharCharChar10">
    <w:name w:val=" Char Char Char Char Char Char Char1"/>
    <w:rPr>
      <w:rFonts w:ascii="宋体" w:eastAsia="宋体" w:hAnsi="Courier New" w:cs="Courier New"/>
      <w:kern w:val="2"/>
      <w:sz w:val="21"/>
      <w:szCs w:val="21"/>
      <w:lang w:val="en-US" w:eastAsia="zh-CN" w:bidi="ar-SA"/>
    </w:rPr>
  </w:style>
  <w:style w:type="character" w:customStyle="1" w:styleId="CharChar130">
    <w:name w:val="Char Char13"/>
    <w:rPr>
      <w:rFonts w:eastAsia="宋体" w:cs="宋体"/>
      <w:b/>
      <w:sz w:val="24"/>
      <w:szCs w:val="30"/>
      <w:lang w:val="zh-CN" w:eastAsia="zh-CN" w:bidi="ar-SA"/>
    </w:rPr>
  </w:style>
  <w:style w:type="paragraph" w:customStyle="1" w:styleId="3ffd">
    <w:name w:val="表格文字3"/>
    <w:basedOn w:val="a0"/>
    <w:pPr>
      <w:adjustRightInd w:val="0"/>
      <w:spacing w:line="340" w:lineRule="exact"/>
      <w:jc w:val="center"/>
    </w:pPr>
    <w:rPr>
      <w:rFonts w:cs="宋体"/>
      <w:kern w:val="24"/>
      <w:szCs w:val="20"/>
    </w:rPr>
  </w:style>
  <w:style w:type="paragraph" w:customStyle="1" w:styleId="22a">
    <w:name w:val="样式 标题 2 + 两端对齐 首行缩进:  2 字符"/>
    <w:basedOn w:val="2"/>
    <w:pPr>
      <w:keepLines/>
      <w:numPr>
        <w:ilvl w:val="1"/>
      </w:numPr>
      <w:snapToGrid w:val="0"/>
      <w:spacing w:after="120" w:line="480" w:lineRule="exact"/>
      <w:ind w:firstLine="569"/>
    </w:pPr>
    <w:rPr>
      <w:rFonts w:cs="宋体"/>
      <w:b w:val="0"/>
      <w:snapToGrid w:val="0"/>
      <w:spacing w:val="10"/>
      <w:w w:val="95"/>
      <w:kern w:val="28"/>
      <w:sz w:val="28"/>
      <w:szCs w:val="20"/>
    </w:rPr>
  </w:style>
  <w:style w:type="paragraph" w:customStyle="1" w:styleId="zxl2Char">
    <w:name w:val="zxl正文首行缩进  2 字符 行距: Char"/>
    <w:basedOn w:val="a0"/>
    <w:pPr>
      <w:keepNext/>
      <w:widowControl/>
      <w:tabs>
        <w:tab w:val="left" w:pos="-1843"/>
        <w:tab w:val="left" w:pos="1727"/>
        <w:tab w:val="left" w:pos="1884"/>
      </w:tabs>
      <w:spacing w:line="336" w:lineRule="auto"/>
      <w:ind w:firstLineChars="200" w:firstLine="560"/>
      <w:jc w:val="left"/>
      <w:outlineLvl w:val="0"/>
    </w:pPr>
    <w:rPr>
      <w:color w:val="000000"/>
      <w:sz w:val="28"/>
      <w:szCs w:val="28"/>
    </w:rPr>
  </w:style>
  <w:style w:type="paragraph" w:customStyle="1" w:styleId="129">
    <w:name w:val="列表项目符号1.缩2"/>
    <w:basedOn w:val="a0"/>
    <w:pPr>
      <w:keepNext/>
      <w:tabs>
        <w:tab w:val="left" w:pos="397"/>
        <w:tab w:val="left" w:pos="945"/>
      </w:tabs>
      <w:adjustRightInd w:val="0"/>
      <w:ind w:firstLine="425"/>
      <w:jc w:val="left"/>
    </w:pPr>
    <w:rPr>
      <w:kern w:val="0"/>
      <w:sz w:val="24"/>
      <w:szCs w:val="20"/>
    </w:rPr>
  </w:style>
  <w:style w:type="paragraph" w:customStyle="1" w:styleId="1fffffff3">
    <w:name w:val="列表项目符号1."/>
    <w:basedOn w:val="a0"/>
    <w:pPr>
      <w:keepNext/>
      <w:adjustRightInd w:val="0"/>
      <w:spacing w:line="312" w:lineRule="atLeast"/>
      <w:ind w:left="425" w:hanging="425"/>
      <w:jc w:val="left"/>
    </w:pPr>
    <w:rPr>
      <w:kern w:val="0"/>
      <w:szCs w:val="20"/>
    </w:rPr>
  </w:style>
  <w:style w:type="paragraph" w:customStyle="1" w:styleId="affffffffffffffffffffffffffffff3">
    <w:name w:val="注意"/>
    <w:basedOn w:val="a0"/>
    <w:pPr>
      <w:keepNext/>
      <w:spacing w:line="360" w:lineRule="auto"/>
      <w:ind w:left="630"/>
      <w:jc w:val="left"/>
    </w:pPr>
    <w:rPr>
      <w:rFonts w:eastAsia="楷体_GB2312"/>
      <w:color w:val="000000"/>
      <w:szCs w:val="28"/>
    </w:rPr>
  </w:style>
  <w:style w:type="paragraph" w:customStyle="1" w:styleId="17878">
    <w:name w:val="样式 标题 1 + 黑体 四号 自动设置 两端对齐 段前: 7.8 磅 段后: 7.8 磅"/>
    <w:basedOn w:val="1"/>
    <w:pPr>
      <w:tabs>
        <w:tab w:val="left" w:pos="360"/>
      </w:tabs>
      <w:spacing w:beforeLines="0" w:before="0" w:afterLines="0" w:after="0" w:line="240" w:lineRule="auto"/>
      <w:ind w:left="720" w:hanging="360"/>
      <w:jc w:val="left"/>
    </w:pPr>
    <w:rPr>
      <w:rFonts w:hAnsi="Times New Roman" w:cs="Arial"/>
      <w:b w:val="0"/>
      <w:bCs/>
      <w:sz w:val="24"/>
      <w:szCs w:val="20"/>
    </w:rPr>
  </w:style>
  <w:style w:type="character" w:customStyle="1" w:styleId="515Char1CharChar5Char">
    <w:name w:val="样式 标题 51)项标题 5 Char1) Char项 Char标5 + 左 Char"/>
    <w:link w:val="515Char1CharChar5"/>
    <w:locked/>
    <w:rPr>
      <w:rFonts w:ascii="宋体" w:hAnsi="Arial" w:cs="宋体"/>
      <w:color w:val="000000"/>
      <w:kern w:val="24"/>
    </w:rPr>
  </w:style>
  <w:style w:type="paragraph" w:customStyle="1" w:styleId="515Char1CharChar5">
    <w:name w:val="样式 标题 51)项标题 5 Char1) Char项 Char标5 + 左"/>
    <w:basedOn w:val="5"/>
    <w:next w:val="aff7"/>
    <w:link w:val="515Char1CharChar5Char"/>
    <w:pPr>
      <w:keepNext w:val="0"/>
      <w:keepLines w:val="0"/>
      <w:tabs>
        <w:tab w:val="left" w:pos="360"/>
      </w:tabs>
      <w:spacing w:line="360" w:lineRule="auto"/>
      <w:ind w:left="360" w:hanging="360"/>
      <w:jc w:val="left"/>
    </w:pPr>
    <w:rPr>
      <w:rFonts w:ascii="宋体" w:hAnsi="Arial"/>
      <w:b w:val="0"/>
      <w:bCs w:val="0"/>
      <w:color w:val="000000"/>
      <w:kern w:val="24"/>
      <w:sz w:val="20"/>
      <w:szCs w:val="20"/>
    </w:rPr>
  </w:style>
  <w:style w:type="paragraph" w:customStyle="1" w:styleId="2ffffff1">
    <w:name w:val="样式 题注 + 首行缩进:  2 字符"/>
    <w:basedOn w:val="aa"/>
    <w:pPr>
      <w:keepNext/>
      <w:widowControl/>
      <w:ind w:left="630" w:firstLine="400"/>
      <w:jc w:val="center"/>
    </w:pPr>
    <w:rPr>
      <w:rFonts w:ascii="黑体" w:hAnsi="宋体" w:cs="宋体" w:hint="eastAsia"/>
      <w:sz w:val="24"/>
      <w:szCs w:val="28"/>
    </w:rPr>
  </w:style>
  <w:style w:type="paragraph" w:customStyle="1" w:styleId="affffffffffffffffffffffffffffff4">
    <w:name w:val="样式 题注"/>
    <w:basedOn w:val="aa"/>
    <w:pPr>
      <w:keepNext/>
      <w:adjustRightInd w:val="0"/>
      <w:snapToGrid w:val="0"/>
      <w:ind w:firstLineChars="200" w:firstLine="617"/>
      <w:jc w:val="center"/>
    </w:pPr>
    <w:rPr>
      <w:rFonts w:ascii="黑体" w:hAnsi="Times New Roman" w:cs="黑体" w:hint="eastAsia"/>
      <w:sz w:val="24"/>
      <w:szCs w:val="24"/>
    </w:rPr>
  </w:style>
  <w:style w:type="paragraph" w:customStyle="1" w:styleId="515Char1CharChar51">
    <w:name w:val="样式 标题 51)项标题 5 Char1) Char项 Char标5 + 左1"/>
    <w:basedOn w:val="5"/>
    <w:next w:val="a0"/>
    <w:pPr>
      <w:keepNext w:val="0"/>
      <w:keepLines w:val="0"/>
      <w:tabs>
        <w:tab w:val="left" w:pos="360"/>
      </w:tabs>
      <w:spacing w:line="360" w:lineRule="auto"/>
      <w:ind w:left="360" w:hanging="360"/>
      <w:jc w:val="left"/>
    </w:pPr>
    <w:rPr>
      <w:rFonts w:ascii="宋体" w:eastAsia="黑体" w:hAnsi="Arial" w:cs="宋体"/>
      <w:b w:val="0"/>
      <w:bCs w:val="0"/>
      <w:snapToGrid w:val="0"/>
      <w:color w:val="000000"/>
      <w:kern w:val="24"/>
      <w:sz w:val="32"/>
      <w:szCs w:val="20"/>
    </w:rPr>
  </w:style>
  <w:style w:type="paragraph" w:customStyle="1" w:styleId="affffffffffffffffffffffffffffff5">
    <w:name w:val="备注"/>
    <w:basedOn w:val="aff7"/>
    <w:pPr>
      <w:keepNext/>
      <w:tabs>
        <w:tab w:val="left" w:pos="628"/>
        <w:tab w:val="left" w:pos="1727"/>
        <w:tab w:val="left" w:pos="1884"/>
        <w:tab w:val="left" w:pos="4325"/>
        <w:tab w:val="left" w:pos="4900"/>
      </w:tabs>
      <w:adjustRightInd w:val="0"/>
      <w:snapToGrid w:val="0"/>
      <w:spacing w:after="0" w:line="360" w:lineRule="auto"/>
      <w:ind w:firstLineChars="200" w:firstLine="480"/>
    </w:pPr>
    <w:rPr>
      <w:rFonts w:eastAsia="楷体_GB2312"/>
      <w:sz w:val="24"/>
      <w:szCs w:val="28"/>
      <w:lang w:val="en-US" w:eastAsia="zh-CN"/>
    </w:rPr>
  </w:style>
  <w:style w:type="paragraph" w:customStyle="1" w:styleId="12a">
    <w:name w:val="样式 目录 1目录 + 首行缩进:  2 字符"/>
    <w:basedOn w:val="10"/>
    <w:pPr>
      <w:keepNext/>
      <w:spacing w:line="360" w:lineRule="auto"/>
      <w:jc w:val="both"/>
    </w:pPr>
    <w:rPr>
      <w:rFonts w:cs="宋体"/>
      <w:color w:val="000000"/>
    </w:rPr>
  </w:style>
  <w:style w:type="paragraph" w:customStyle="1" w:styleId="11Char10505">
    <w:name w:val="样式 标题 1标题 1 Char标1第一章 + 两端对齐 段前: 0.5 行 段后: 0.5 行"/>
    <w:basedOn w:val="1"/>
    <w:pPr>
      <w:spacing w:beforeLines="0" w:before="0" w:afterLines="0" w:after="0" w:line="240" w:lineRule="auto"/>
      <w:jc w:val="both"/>
    </w:pPr>
    <w:rPr>
      <w:rFonts w:hAnsi="Times New Roman" w:cs="宋体"/>
      <w:b w:val="0"/>
      <w:sz w:val="28"/>
      <w:szCs w:val="20"/>
    </w:rPr>
  </w:style>
  <w:style w:type="paragraph" w:customStyle="1" w:styleId="31113CharChar3Char3">
    <w:name w:val="样式 标题 31.1.1条标题 3 Char Char标题 3 Char标3 +"/>
    <w:basedOn w:val="3"/>
    <w:pPr>
      <w:keepNext w:val="0"/>
      <w:keepLines w:val="0"/>
      <w:numPr>
        <w:ilvl w:val="2"/>
      </w:numPr>
      <w:tabs>
        <w:tab w:val="left" w:pos="628"/>
        <w:tab w:val="left" w:pos="1727"/>
        <w:tab w:val="left" w:pos="1884"/>
        <w:tab w:val="left" w:pos="4900"/>
      </w:tabs>
      <w:autoSpaceDE w:val="0"/>
      <w:autoSpaceDN w:val="0"/>
      <w:adjustRightInd w:val="0"/>
      <w:snapToGrid w:val="0"/>
    </w:pPr>
    <w:rPr>
      <w:rFonts w:ascii="宋体" w:eastAsia="宋体" w:hAnsi="Arial"/>
      <w:b w:val="0"/>
      <w:bCs w:val="0"/>
      <w:color w:val="000000"/>
      <w:spacing w:val="3"/>
      <w:kern w:val="0"/>
      <w:sz w:val="28"/>
      <w:szCs w:val="20"/>
    </w:rPr>
  </w:style>
  <w:style w:type="paragraph" w:customStyle="1" w:styleId="21121122Char1Heading2205">
    <w:name w:val="样式 标题 21.1标题 21.1标题2标题 2 Char1节_Heading 2标2 + 段前: 0.5 行..."/>
    <w:basedOn w:val="2"/>
    <w:pPr>
      <w:keepLines/>
      <w:numPr>
        <w:ilvl w:val="1"/>
      </w:numPr>
      <w:spacing w:beforeLines="50" w:afterLines="50" w:line="240" w:lineRule="auto"/>
    </w:pPr>
    <w:rPr>
      <w:rFonts w:cs="宋体"/>
      <w:b w:val="0"/>
      <w:color w:val="000000"/>
      <w:sz w:val="28"/>
      <w:szCs w:val="20"/>
    </w:rPr>
  </w:style>
  <w:style w:type="paragraph" w:customStyle="1" w:styleId="41111411114Char1111Char4">
    <w:name w:val="样式 标题 41.1.1.1标题 4.1.1.1.1标题 4 Char款1.1.1.1 Char标4 +"/>
    <w:basedOn w:val="4"/>
    <w:pPr>
      <w:keepLines w:val="0"/>
      <w:numPr>
        <w:ilvl w:val="3"/>
      </w:numPr>
      <w:adjustRightInd w:val="0"/>
      <w:snapToGrid w:val="0"/>
      <w:spacing w:line="360" w:lineRule="auto"/>
    </w:pPr>
    <w:rPr>
      <w:rFonts w:ascii="宋体" w:eastAsia="宋体"/>
      <w:b w:val="0"/>
      <w:bCs w:val="0"/>
      <w:color w:val="000000"/>
      <w:sz w:val="28"/>
      <w:szCs w:val="20"/>
    </w:rPr>
  </w:style>
  <w:style w:type="paragraph" w:customStyle="1" w:styleId="515">
    <w:name w:val="样式 标题 51)项标5 +"/>
    <w:basedOn w:val="5"/>
    <w:pPr>
      <w:keepNext w:val="0"/>
      <w:keepLines w:val="0"/>
      <w:spacing w:line="360" w:lineRule="auto"/>
      <w:ind w:firstLine="567"/>
      <w:jc w:val="left"/>
    </w:pPr>
    <w:rPr>
      <w:rFonts w:ascii="宋体" w:eastAsia="黑体" w:hAnsi="Arial"/>
      <w:b w:val="0"/>
      <w:snapToGrid w:val="0"/>
      <w:color w:val="000000"/>
      <w:spacing w:val="3"/>
      <w:kern w:val="0"/>
      <w:sz w:val="32"/>
    </w:rPr>
  </w:style>
  <w:style w:type="paragraph" w:customStyle="1" w:styleId="5151">
    <w:name w:val="样式 标题 51)项标5 +1"/>
    <w:basedOn w:val="5"/>
    <w:pPr>
      <w:keepNext w:val="0"/>
      <w:keepLines w:val="0"/>
      <w:spacing w:line="360" w:lineRule="auto"/>
      <w:ind w:firstLine="567"/>
      <w:jc w:val="left"/>
    </w:pPr>
    <w:rPr>
      <w:rFonts w:ascii="宋体" w:eastAsia="黑体" w:hAnsi="Arial"/>
      <w:b w:val="0"/>
      <w:snapToGrid w:val="0"/>
      <w:color w:val="000000"/>
      <w:spacing w:val="3"/>
      <w:kern w:val="0"/>
      <w:sz w:val="32"/>
    </w:rPr>
  </w:style>
  <w:style w:type="paragraph" w:customStyle="1" w:styleId="11Char105050">
    <w:name w:val="样式 标题 1标题 1 Char标1 + 段前: 0.5 行 段后: 0.5 行"/>
    <w:basedOn w:val="1"/>
    <w:pPr>
      <w:spacing w:beforeLines="0" w:before="0" w:afterLines="0" w:after="0" w:line="240" w:lineRule="auto"/>
      <w:jc w:val="left"/>
    </w:pPr>
    <w:rPr>
      <w:rFonts w:ascii="Arial" w:hAnsi="Arial" w:cs="宋体"/>
      <w:b w:val="0"/>
      <w:color w:val="000000"/>
      <w:kern w:val="24"/>
      <w:sz w:val="28"/>
      <w:szCs w:val="20"/>
      <w:lang w:val="zh-CN"/>
    </w:rPr>
  </w:style>
  <w:style w:type="paragraph" w:customStyle="1" w:styleId="21121122Char1Heading2211">
    <w:name w:val="样式 标题 21.1标题 21.1标题2标题 2 Char1节_Heading 2标2二级标题1.1标题 +..."/>
    <w:basedOn w:val="2"/>
    <w:pPr>
      <w:numPr>
        <w:ilvl w:val="1"/>
      </w:numPr>
      <w:spacing w:beforeLines="50" w:afterLines="50" w:line="240" w:lineRule="auto"/>
    </w:pPr>
    <w:rPr>
      <w:rFonts w:cs="宋体"/>
      <w:b w:val="0"/>
      <w:sz w:val="28"/>
      <w:szCs w:val="20"/>
    </w:rPr>
  </w:style>
  <w:style w:type="paragraph" w:customStyle="1" w:styleId="21121122Char1Heading22111">
    <w:name w:val="样式 标题 21.1标题 21.1标题2标题 2 Char1节_Heading 2标2二级标题1.1标题 +...1"/>
    <w:basedOn w:val="a0"/>
    <w:next w:val="aff7"/>
    <w:pPr>
      <w:keepNext/>
      <w:spacing w:before="120" w:after="120"/>
      <w:jc w:val="left"/>
    </w:pPr>
    <w:rPr>
      <w:rFonts w:cs="宋体"/>
      <w:sz w:val="28"/>
      <w:szCs w:val="20"/>
    </w:rPr>
  </w:style>
  <w:style w:type="paragraph" w:customStyle="1" w:styleId="affffffffffffffffffffffffffffff6">
    <w:name w:val="编制单位"/>
    <w:basedOn w:val="a0"/>
    <w:pPr>
      <w:keepNext/>
      <w:adjustRightInd w:val="0"/>
      <w:snapToGrid w:val="0"/>
      <w:spacing w:beforeLines="20" w:line="300" w:lineRule="auto"/>
      <w:jc w:val="center"/>
    </w:pPr>
    <w:rPr>
      <w:rFonts w:ascii="黑体" w:eastAsia="黑体"/>
      <w:sz w:val="32"/>
      <w:szCs w:val="28"/>
    </w:rPr>
  </w:style>
  <w:style w:type="paragraph" w:customStyle="1" w:styleId="4ff3">
    <w:name w:val="注释标题4"/>
    <w:basedOn w:val="a6"/>
    <w:pPr>
      <w:keepNext/>
      <w:spacing w:line="360" w:lineRule="auto"/>
      <w:ind w:left="-20" w:firstLine="198"/>
    </w:pPr>
    <w:rPr>
      <w:rFonts w:ascii="Times New Roman"/>
      <w:sz w:val="28"/>
      <w:szCs w:val="24"/>
    </w:rPr>
  </w:style>
  <w:style w:type="paragraph" w:customStyle="1" w:styleId="affffffffffffffffffffffffffffff7">
    <w:name w:val="样式 正文文本 +"/>
    <w:basedOn w:val="af2"/>
    <w:pPr>
      <w:keepNext/>
      <w:spacing w:after="120" w:line="360" w:lineRule="auto"/>
      <w:ind w:firstLineChars="200" w:firstLine="200"/>
    </w:pPr>
    <w:rPr>
      <w:snapToGrid w:val="0"/>
      <w:kern w:val="0"/>
      <w:sz w:val="24"/>
    </w:rPr>
  </w:style>
  <w:style w:type="character" w:customStyle="1" w:styleId="Charffffffe">
    <w:name w:val="样式 题注 + (西文) 宋体 Char"/>
    <w:link w:val="affffffffffffffffffffffffffffff8"/>
    <w:locked/>
    <w:rPr>
      <w:rFonts w:ascii="黑体" w:eastAsia="黑体" w:cs="宋体"/>
      <w:color w:val="000000"/>
      <w:sz w:val="24"/>
      <w:szCs w:val="28"/>
      <w:lang w:val="zh-CN"/>
    </w:rPr>
  </w:style>
  <w:style w:type="paragraph" w:customStyle="1" w:styleId="affffffffffffffffffffffffffffff8">
    <w:name w:val="样式 题注 + (西文) 宋体"/>
    <w:basedOn w:val="aa"/>
    <w:link w:val="Charffffffe"/>
    <w:pPr>
      <w:keepNext/>
      <w:tabs>
        <w:tab w:val="left" w:pos="1727"/>
        <w:tab w:val="left" w:pos="1884"/>
      </w:tabs>
      <w:adjustRightInd w:val="0"/>
      <w:snapToGrid w:val="0"/>
      <w:spacing w:line="360" w:lineRule="auto"/>
      <w:ind w:firstLineChars="200" w:firstLine="480"/>
      <w:jc w:val="center"/>
      <w:outlineLvl w:val="0"/>
    </w:pPr>
    <w:rPr>
      <w:rFonts w:ascii="黑体" w:hAnsi="Times New Roman"/>
      <w:color w:val="000000"/>
      <w:kern w:val="0"/>
      <w:sz w:val="24"/>
      <w:szCs w:val="28"/>
      <w:lang w:val="zh-CN"/>
    </w:rPr>
  </w:style>
  <w:style w:type="paragraph" w:customStyle="1" w:styleId="121215">
    <w:name w:val="样式 表格1 + 黑体 两端对齐 首行缩进:  2.12 厘米 行距: 1.5 倍行距"/>
    <w:basedOn w:val="a0"/>
    <w:pPr>
      <w:keepNext/>
      <w:adjustRightInd w:val="0"/>
      <w:spacing w:line="360" w:lineRule="auto"/>
      <w:jc w:val="center"/>
    </w:pPr>
    <w:rPr>
      <w:rFonts w:ascii="黑体" w:eastAsia="黑体" w:cs="黑体"/>
      <w:kern w:val="0"/>
      <w:sz w:val="28"/>
      <w:szCs w:val="28"/>
      <w:lang w:val="zh-CN"/>
    </w:rPr>
  </w:style>
  <w:style w:type="character" w:customStyle="1" w:styleId="22Char3">
    <w:name w:val="样式 题注 + 首行缩进:  2 字符2 Char"/>
    <w:link w:val="22b"/>
    <w:locked/>
    <w:rPr>
      <w:rFonts w:ascii="Arial" w:eastAsia="黑体" w:hAnsi="Arial" w:cs="宋体"/>
      <w:kern w:val="24"/>
      <w:szCs w:val="28"/>
    </w:rPr>
  </w:style>
  <w:style w:type="paragraph" w:customStyle="1" w:styleId="22b">
    <w:name w:val="样式 题注 + 首行缩进:  2 字符2"/>
    <w:basedOn w:val="aa"/>
    <w:link w:val="22Char3"/>
    <w:pPr>
      <w:keepNext/>
      <w:adjustRightInd w:val="0"/>
      <w:snapToGrid w:val="0"/>
      <w:jc w:val="center"/>
    </w:pPr>
    <w:rPr>
      <w:kern w:val="24"/>
      <w:szCs w:val="28"/>
    </w:rPr>
  </w:style>
  <w:style w:type="paragraph" w:customStyle="1" w:styleId="affffffffffffffffffffffffffffff9">
    <w:name w:val="五号"/>
    <w:basedOn w:val="a0"/>
    <w:pPr>
      <w:keepNext/>
      <w:ind w:firstLineChars="200" w:firstLine="200"/>
    </w:pPr>
    <w:rPr>
      <w:szCs w:val="21"/>
    </w:rPr>
  </w:style>
  <w:style w:type="character" w:customStyle="1" w:styleId="ArialChar">
    <w:name w:val="样式 正文首行缩进 + Arial Char"/>
    <w:link w:val="Arial"/>
    <w:locked/>
    <w:rPr>
      <w:rFonts w:ascii="Arial" w:hAnsi="Arial" w:cs="宋体"/>
      <w:szCs w:val="28"/>
    </w:rPr>
  </w:style>
  <w:style w:type="paragraph" w:customStyle="1" w:styleId="Arial">
    <w:name w:val="样式 正文首行缩进 + Arial"/>
    <w:basedOn w:val="aff7"/>
    <w:link w:val="ArialChar"/>
    <w:pPr>
      <w:keepNext/>
      <w:widowControl/>
      <w:tabs>
        <w:tab w:val="left" w:pos="628"/>
        <w:tab w:val="left" w:pos="1727"/>
        <w:tab w:val="left" w:pos="1884"/>
        <w:tab w:val="left" w:pos="4325"/>
        <w:tab w:val="left" w:pos="4900"/>
      </w:tabs>
      <w:adjustRightInd w:val="0"/>
      <w:snapToGrid w:val="0"/>
      <w:spacing w:after="0" w:line="360" w:lineRule="auto"/>
      <w:ind w:left="630" w:firstLineChars="200" w:firstLine="200"/>
    </w:pPr>
    <w:rPr>
      <w:rFonts w:ascii="Arial" w:hAnsi="Arial"/>
      <w:kern w:val="0"/>
      <w:sz w:val="20"/>
      <w:szCs w:val="28"/>
    </w:rPr>
  </w:style>
  <w:style w:type="paragraph" w:customStyle="1" w:styleId="085">
    <w:name w:val="样式 左侧:  0.85 厘米"/>
    <w:basedOn w:val="a0"/>
    <w:pPr>
      <w:keepNext/>
      <w:spacing w:line="360" w:lineRule="auto"/>
      <w:ind w:left="482" w:firstLineChars="200" w:firstLine="200"/>
    </w:pPr>
    <w:rPr>
      <w:rFonts w:cs="宋体"/>
      <w:sz w:val="24"/>
      <w:szCs w:val="20"/>
    </w:rPr>
  </w:style>
  <w:style w:type="paragraph" w:customStyle="1" w:styleId="affffffffffffffffffffffffffffffa">
    <w:name w:val="编制人员"/>
    <w:basedOn w:val="a0"/>
    <w:pPr>
      <w:keepNext/>
      <w:adjustRightInd w:val="0"/>
      <w:snapToGrid w:val="0"/>
      <w:spacing w:line="300" w:lineRule="auto"/>
      <w:jc w:val="center"/>
    </w:pPr>
    <w:rPr>
      <w:rFonts w:ascii="黑体" w:eastAsia="黑体"/>
      <w:sz w:val="32"/>
      <w:szCs w:val="28"/>
    </w:rPr>
  </w:style>
  <w:style w:type="paragraph" w:customStyle="1" w:styleId="affffffffffffffffffffffffffffffb">
    <w:name w:val="正文居中"/>
    <w:basedOn w:val="a0"/>
    <w:next w:val="a0"/>
    <w:pPr>
      <w:keepNext/>
      <w:snapToGrid w:val="0"/>
      <w:spacing w:line="360" w:lineRule="auto"/>
      <w:ind w:firstLineChars="200" w:firstLine="200"/>
      <w:jc w:val="center"/>
    </w:pPr>
    <w:rPr>
      <w:spacing w:val="8"/>
      <w:kern w:val="21"/>
      <w:sz w:val="24"/>
      <w:szCs w:val="20"/>
    </w:rPr>
  </w:style>
  <w:style w:type="paragraph" w:customStyle="1" w:styleId="2054">
    <w:name w:val="样式 普通段落 + 首行缩进:  2 字符 段前: 0.5 行4"/>
    <w:basedOn w:val="a0"/>
    <w:pPr>
      <w:keepNext/>
      <w:adjustRightInd w:val="0"/>
      <w:snapToGrid w:val="0"/>
      <w:spacing w:beforeLines="50" w:line="288" w:lineRule="auto"/>
      <w:ind w:firstLineChars="200" w:firstLine="560"/>
    </w:pPr>
    <w:rPr>
      <w:rFonts w:ascii="Arial" w:eastAsia="华文宋体" w:hAnsi="Arial" w:cs="Arial"/>
      <w:kern w:val="0"/>
      <w:sz w:val="28"/>
      <w:szCs w:val="20"/>
    </w:rPr>
  </w:style>
  <w:style w:type="character" w:customStyle="1" w:styleId="ArialCharCharChar">
    <w:name w:val="样式 题注 + (西文) Arial (中文) 黑体 小四 Char Char Char"/>
    <w:link w:val="ArialCharChar"/>
    <w:locked/>
    <w:rPr>
      <w:rFonts w:ascii="黑体" w:eastAsia="黑体" w:hAnsi="宋体"/>
      <w:szCs w:val="28"/>
    </w:rPr>
  </w:style>
  <w:style w:type="paragraph" w:customStyle="1" w:styleId="ArialCharChar">
    <w:name w:val="样式 题注 + (西文) Arial (中文) 黑体 小四 Char Char"/>
    <w:basedOn w:val="aa"/>
    <w:link w:val="ArialCharCharChar"/>
    <w:pPr>
      <w:keepNext/>
      <w:numPr>
        <w:numId w:val="22"/>
      </w:numPr>
      <w:tabs>
        <w:tab w:val="left" w:pos="360"/>
        <w:tab w:val="left" w:pos="420"/>
        <w:tab w:val="left" w:pos="780"/>
        <w:tab w:val="left" w:pos="1620"/>
      </w:tabs>
      <w:adjustRightInd w:val="0"/>
      <w:snapToGrid w:val="0"/>
      <w:ind w:leftChars="600" w:left="1620" w:hangingChars="200" w:hanging="360"/>
      <w:jc w:val="center"/>
    </w:pPr>
    <w:rPr>
      <w:rFonts w:ascii="黑体" w:hAnsi="宋体"/>
      <w:kern w:val="0"/>
      <w:szCs w:val="28"/>
    </w:rPr>
  </w:style>
  <w:style w:type="character" w:customStyle="1" w:styleId="5155Char21Char2Char2-004Char">
    <w:name w:val="样式 标题 51)项标5标题 5 Char21) Char2项 Char2 + 左侧:  -0.04 厘米 首行缩... Char"/>
    <w:link w:val="5155Char21Char2Char2-004"/>
    <w:locked/>
    <w:rPr>
      <w:rFonts w:ascii="宋体" w:hAnsi="宋体" w:cs="宋体"/>
      <w:color w:val="000000"/>
    </w:rPr>
  </w:style>
  <w:style w:type="paragraph" w:customStyle="1" w:styleId="5155Char21Char2Char2-004">
    <w:name w:val="样式 标题 51)项标5标题 5 Char21) Char2项 Char2 + 左侧:  -0.04 厘米 首行缩..."/>
    <w:basedOn w:val="5"/>
    <w:link w:val="5155Char21Char2Char2-004Char"/>
    <w:pPr>
      <w:keepNext w:val="0"/>
      <w:keepLines w:val="0"/>
      <w:snapToGrid w:val="0"/>
      <w:spacing w:line="360" w:lineRule="auto"/>
      <w:ind w:firstLine="567"/>
      <w:jc w:val="left"/>
    </w:pPr>
    <w:rPr>
      <w:rFonts w:ascii="宋体" w:hAnsi="宋体"/>
      <w:b w:val="0"/>
      <w:bCs w:val="0"/>
      <w:color w:val="000000"/>
      <w:kern w:val="0"/>
      <w:sz w:val="20"/>
      <w:szCs w:val="20"/>
    </w:rPr>
  </w:style>
  <w:style w:type="paragraph" w:customStyle="1" w:styleId="21121122Char1Heading22112">
    <w:name w:val="样式 标题 21.1标题 21.1标题2标题 2 Char1节_Heading 2标2二级标题1.1标题 +...2"/>
    <w:basedOn w:val="2"/>
    <w:pPr>
      <w:numPr>
        <w:ilvl w:val="1"/>
      </w:numPr>
      <w:adjustRightInd w:val="0"/>
      <w:snapToGrid w:val="0"/>
      <w:spacing w:beforeLines="50" w:afterLines="50" w:line="240" w:lineRule="auto"/>
    </w:pPr>
    <w:rPr>
      <w:rFonts w:cs="宋体"/>
      <w:b w:val="0"/>
      <w:sz w:val="28"/>
      <w:szCs w:val="28"/>
    </w:rPr>
  </w:style>
  <w:style w:type="paragraph" w:customStyle="1" w:styleId="5155Char21Char2Char2-0040">
    <w:name w:val="样式 标题 51)项标5标题 5 Char21) Char2项 Char2 + 左侧:  -0.04 厘米"/>
    <w:basedOn w:val="5"/>
    <w:pPr>
      <w:keepNext w:val="0"/>
      <w:keepLines w:val="0"/>
      <w:snapToGrid w:val="0"/>
      <w:spacing w:line="360" w:lineRule="auto"/>
      <w:ind w:firstLineChars="200" w:firstLine="200"/>
      <w:jc w:val="left"/>
    </w:pPr>
    <w:rPr>
      <w:rFonts w:ascii="宋体" w:eastAsia="黑体" w:hAnsi="宋体" w:cs="宋体"/>
      <w:b w:val="0"/>
      <w:bCs w:val="0"/>
      <w:snapToGrid w:val="0"/>
      <w:color w:val="000000"/>
      <w:kern w:val="0"/>
      <w:sz w:val="32"/>
      <w:szCs w:val="20"/>
    </w:rPr>
  </w:style>
  <w:style w:type="paragraph" w:customStyle="1" w:styleId="affffffffffffffffffffffffffffffc">
    <w:name w:val="样式 表格文字居中 + 五号"/>
    <w:basedOn w:val="affff3"/>
    <w:pPr>
      <w:keepNext/>
      <w:tabs>
        <w:tab w:val="clear" w:pos="180"/>
        <w:tab w:val="clear" w:pos="279"/>
        <w:tab w:val="left" w:pos="628"/>
        <w:tab w:val="left" w:pos="1727"/>
        <w:tab w:val="left" w:pos="1884"/>
      </w:tabs>
      <w:adjustRightInd w:val="0"/>
      <w:ind w:right="0"/>
    </w:pPr>
    <w:rPr>
      <w:rFonts w:ascii="宋体" w:cs="Arial" w:hint="eastAsia"/>
      <w:bCs/>
      <w:kern w:val="0"/>
      <w:sz w:val="18"/>
      <w:szCs w:val="24"/>
      <w:lang w:val="en-US" w:eastAsia="zh-CN"/>
    </w:rPr>
  </w:style>
  <w:style w:type="paragraph" w:customStyle="1" w:styleId="-004">
    <w:name w:val="样式 左侧:  -0.04 厘米"/>
    <w:basedOn w:val="a0"/>
    <w:pPr>
      <w:keepNext/>
      <w:adjustRightInd w:val="0"/>
      <w:snapToGrid w:val="0"/>
      <w:spacing w:line="360" w:lineRule="auto"/>
      <w:ind w:left="-23" w:firstLineChars="200" w:firstLine="200"/>
      <w:jc w:val="left"/>
    </w:pPr>
    <w:rPr>
      <w:rFonts w:cs="宋体"/>
      <w:sz w:val="28"/>
      <w:szCs w:val="20"/>
    </w:rPr>
  </w:style>
  <w:style w:type="paragraph" w:customStyle="1" w:styleId="-0042">
    <w:name w:val="样式 样式 左侧:  -0.04 厘米 + 首行缩进:  2 字符"/>
    <w:basedOn w:val="-004"/>
    <w:pPr>
      <w:ind w:left="0"/>
    </w:pPr>
  </w:style>
  <w:style w:type="paragraph" w:customStyle="1" w:styleId="affffffffffffffffffffffffffffffd">
    <w:name w:val="编制日期"/>
    <w:basedOn w:val="a0"/>
    <w:pPr>
      <w:keepNext/>
      <w:adjustRightInd w:val="0"/>
      <w:snapToGrid w:val="0"/>
      <w:spacing w:line="300" w:lineRule="auto"/>
      <w:jc w:val="center"/>
    </w:pPr>
    <w:rPr>
      <w:sz w:val="32"/>
      <w:szCs w:val="28"/>
    </w:rPr>
  </w:style>
  <w:style w:type="paragraph" w:customStyle="1" w:styleId="04">
    <w:name w:val="样式 表格文字居中 + 左 首行缩进:  0 厘米"/>
    <w:basedOn w:val="affff3"/>
    <w:pPr>
      <w:keepNext/>
      <w:tabs>
        <w:tab w:val="clear" w:pos="180"/>
        <w:tab w:val="clear" w:pos="279"/>
        <w:tab w:val="left" w:pos="628"/>
        <w:tab w:val="left" w:pos="1727"/>
        <w:tab w:val="left" w:pos="1884"/>
      </w:tabs>
      <w:adjustRightInd w:val="0"/>
      <w:ind w:right="0"/>
      <w:jc w:val="left"/>
    </w:pPr>
    <w:rPr>
      <w:rFonts w:ascii="宋体" w:cs="宋体" w:hint="eastAsia"/>
      <w:bCs/>
      <w:kern w:val="0"/>
      <w:sz w:val="24"/>
      <w:lang w:val="en-US" w:eastAsia="zh-CN"/>
    </w:rPr>
  </w:style>
  <w:style w:type="character" w:customStyle="1" w:styleId="2Charf4">
    <w:name w:val="样式 表格文字居中 + 首行缩进:  2 字符 Char"/>
    <w:link w:val="2ffffff2"/>
    <w:locked/>
    <w:rPr>
      <w:rFonts w:ascii="宋体" w:hAnsi="宋体" w:cs="宋体"/>
      <w:bCs/>
      <w:color w:val="0000FF"/>
      <w:szCs w:val="24"/>
    </w:rPr>
  </w:style>
  <w:style w:type="paragraph" w:customStyle="1" w:styleId="2ffffff2">
    <w:name w:val="样式 表格文字居中 + 首行缩进:  2 字符"/>
    <w:basedOn w:val="affff3"/>
    <w:link w:val="2Charf4"/>
    <w:pPr>
      <w:keepNext/>
      <w:tabs>
        <w:tab w:val="clear" w:pos="180"/>
        <w:tab w:val="clear" w:pos="279"/>
        <w:tab w:val="left" w:pos="240"/>
        <w:tab w:val="left" w:pos="628"/>
        <w:tab w:val="left" w:pos="1727"/>
        <w:tab w:val="left" w:pos="1884"/>
        <w:tab w:val="left" w:pos="7252"/>
      </w:tabs>
      <w:snapToGrid w:val="0"/>
      <w:spacing w:before="100" w:beforeAutospacing="1"/>
      <w:ind w:right="0"/>
      <w:outlineLvl w:val="0"/>
    </w:pPr>
    <w:rPr>
      <w:rFonts w:ascii="宋体"/>
      <w:bCs/>
      <w:color w:val="0000FF"/>
      <w:kern w:val="0"/>
      <w:sz w:val="20"/>
      <w:szCs w:val="24"/>
    </w:rPr>
  </w:style>
  <w:style w:type="paragraph" w:customStyle="1" w:styleId="affffffffffffffffffffffffffffffe">
    <w:name w:val="报告名"/>
    <w:basedOn w:val="a0"/>
    <w:pPr>
      <w:keepNext/>
      <w:tabs>
        <w:tab w:val="left" w:pos="1727"/>
        <w:tab w:val="left" w:pos="1884"/>
      </w:tabs>
      <w:adjustRightInd w:val="0"/>
      <w:spacing w:line="300" w:lineRule="auto"/>
      <w:jc w:val="center"/>
      <w:outlineLvl w:val="0"/>
    </w:pPr>
    <w:rPr>
      <w:rFonts w:ascii="文鼎大标宋简" w:eastAsia="文鼎大标宋简"/>
      <w:sz w:val="56"/>
      <w:szCs w:val="20"/>
    </w:rPr>
  </w:style>
  <w:style w:type="paragraph" w:customStyle="1" w:styleId="afffffffffffffffffffffffffffffff">
    <w:name w:val="图章"/>
    <w:basedOn w:val="a0"/>
    <w:pPr>
      <w:keepNext/>
      <w:tabs>
        <w:tab w:val="left" w:pos="1727"/>
        <w:tab w:val="left" w:pos="1884"/>
      </w:tabs>
      <w:adjustRightInd w:val="0"/>
      <w:snapToGrid w:val="0"/>
      <w:jc w:val="left"/>
      <w:outlineLvl w:val="0"/>
    </w:pPr>
    <w:rPr>
      <w:kern w:val="0"/>
      <w:sz w:val="18"/>
      <w:szCs w:val="20"/>
    </w:rPr>
  </w:style>
  <w:style w:type="paragraph" w:customStyle="1" w:styleId="afffffffffffffffffffffffffffffff0">
    <w:name w:val="样式 表格文字居中 + (符号) 宋体"/>
    <w:basedOn w:val="affff3"/>
    <w:pPr>
      <w:keepNext/>
      <w:tabs>
        <w:tab w:val="clear" w:pos="180"/>
        <w:tab w:val="clear" w:pos="279"/>
        <w:tab w:val="left" w:pos="240"/>
        <w:tab w:val="left" w:pos="628"/>
        <w:tab w:val="left" w:pos="1727"/>
        <w:tab w:val="left" w:pos="1884"/>
        <w:tab w:val="left" w:pos="7252"/>
      </w:tabs>
      <w:snapToGrid w:val="0"/>
      <w:spacing w:before="100" w:beforeAutospacing="1"/>
      <w:ind w:leftChars="-1" w:left="-3" w:right="0" w:firstLineChars="200" w:firstLine="200"/>
      <w:outlineLvl w:val="0"/>
    </w:pPr>
    <w:rPr>
      <w:rFonts w:ascii="宋体" w:cs="Arial" w:hint="eastAsia"/>
      <w:bCs/>
      <w:color w:val="0000FF"/>
      <w:kern w:val="0"/>
      <w:szCs w:val="24"/>
      <w:lang w:val="en-US" w:eastAsia="zh-CN"/>
    </w:rPr>
  </w:style>
  <w:style w:type="paragraph" w:customStyle="1" w:styleId="afffffffffffffffffffffffffffffff1">
    <w:name w:val="正文！强！"/>
    <w:basedOn w:val="a0"/>
    <w:pPr>
      <w:keepNext/>
      <w:tabs>
        <w:tab w:val="left" w:pos="628"/>
        <w:tab w:val="left" w:pos="1727"/>
        <w:tab w:val="left" w:pos="1884"/>
      </w:tabs>
      <w:adjustRightInd w:val="0"/>
      <w:snapToGrid w:val="0"/>
      <w:spacing w:beforeLines="10" w:line="336" w:lineRule="auto"/>
      <w:ind w:firstLineChars="200" w:firstLine="200"/>
    </w:pPr>
    <w:rPr>
      <w:sz w:val="28"/>
      <w:szCs w:val="20"/>
    </w:rPr>
  </w:style>
  <w:style w:type="paragraph" w:customStyle="1" w:styleId="21121122Char1sect12H2H21R2h2Leve">
    <w:name w:val="样式 标题 21.1标题 21.1标题2标题 2 Char1节sect 1.2H2H21R2h2Leve..."/>
    <w:basedOn w:val="2"/>
    <w:pPr>
      <w:keepLines/>
      <w:widowControl/>
      <w:numPr>
        <w:ilvl w:val="1"/>
      </w:numPr>
      <w:tabs>
        <w:tab w:val="left" w:pos="567"/>
        <w:tab w:val="left" w:pos="680"/>
      </w:tabs>
      <w:spacing w:line="336" w:lineRule="auto"/>
      <w:ind w:left="567" w:hanging="567"/>
      <w:jc w:val="both"/>
    </w:pPr>
    <w:rPr>
      <w:rFonts w:ascii="Times New Roman" w:hAnsi="Times New Roman" w:cs="宋体"/>
      <w:b w:val="0"/>
      <w:sz w:val="28"/>
      <w:szCs w:val="20"/>
    </w:rPr>
  </w:style>
  <w:style w:type="paragraph" w:customStyle="1" w:styleId="afffffffffffffffffffffffffffffff2">
    <w:name w:val="表右"/>
    <w:basedOn w:val="a0"/>
    <w:pPr>
      <w:keepNext/>
      <w:adjustRightInd w:val="0"/>
      <w:spacing w:line="240" w:lineRule="atLeast"/>
      <w:ind w:rightChars="30" w:right="84"/>
      <w:jc w:val="right"/>
    </w:pPr>
    <w:rPr>
      <w:sz w:val="24"/>
      <w:szCs w:val="28"/>
    </w:rPr>
  </w:style>
  <w:style w:type="paragraph" w:customStyle="1" w:styleId="2ffffff3">
    <w:name w:val="新标题2"/>
    <w:basedOn w:val="a0"/>
    <w:next w:val="aff7"/>
    <w:pPr>
      <w:keepNext/>
      <w:numPr>
        <w:numId w:val="23"/>
      </w:numPr>
      <w:spacing w:beforeLines="50" w:afterLines="50" w:line="360" w:lineRule="auto"/>
      <w:jc w:val="left"/>
    </w:pPr>
    <w:rPr>
      <w:sz w:val="28"/>
      <w:szCs w:val="28"/>
    </w:rPr>
  </w:style>
  <w:style w:type="paragraph" w:customStyle="1" w:styleId="afffffffffffffffffffffffffffffff3">
    <w:name w:val="签署栏"/>
    <w:basedOn w:val="a0"/>
    <w:pPr>
      <w:keepNext/>
      <w:adjustRightInd w:val="0"/>
      <w:spacing w:line="300" w:lineRule="auto"/>
      <w:jc w:val="center"/>
    </w:pPr>
    <w:rPr>
      <w:rFonts w:ascii="黑体" w:eastAsia="黑体"/>
      <w:spacing w:val="80"/>
      <w:sz w:val="32"/>
      <w:szCs w:val="28"/>
      <w:lang w:val="en-US" w:eastAsia="zh-CN"/>
    </w:rPr>
  </w:style>
  <w:style w:type="paragraph" w:customStyle="1" w:styleId="afffffffffffffffffffffffffffffff4">
    <w:name w:val="签署内容"/>
    <w:basedOn w:val="a0"/>
    <w:pPr>
      <w:keepNext/>
      <w:adjustRightInd w:val="0"/>
      <w:spacing w:line="300" w:lineRule="auto"/>
      <w:ind w:firstLineChars="250" w:firstLine="800"/>
      <w:jc w:val="left"/>
    </w:pPr>
    <w:rPr>
      <w:sz w:val="32"/>
      <w:szCs w:val="28"/>
      <w:lang w:val="en-US" w:eastAsia="zh-CN"/>
    </w:rPr>
  </w:style>
  <w:style w:type="paragraph" w:customStyle="1" w:styleId="afffffffffffffffffffffffffffffff5">
    <w:name w:val="项目负责人"/>
    <w:basedOn w:val="a0"/>
    <w:pPr>
      <w:keepNext/>
      <w:adjustRightInd w:val="0"/>
      <w:snapToGrid w:val="0"/>
      <w:spacing w:beforeLines="20" w:line="300" w:lineRule="auto"/>
      <w:jc w:val="left"/>
    </w:pPr>
    <w:rPr>
      <w:spacing w:val="66"/>
      <w:kern w:val="0"/>
      <w:sz w:val="32"/>
      <w:szCs w:val="28"/>
    </w:rPr>
  </w:style>
  <w:style w:type="paragraph" w:customStyle="1" w:styleId="afffffffffffffffffffffffffffffff6">
    <w:name w:val="项目号"/>
    <w:basedOn w:val="a0"/>
    <w:pPr>
      <w:keepNext/>
      <w:adjustRightInd w:val="0"/>
      <w:snapToGrid w:val="0"/>
      <w:spacing w:beforeLines="20" w:line="300" w:lineRule="auto"/>
      <w:jc w:val="center"/>
    </w:pPr>
    <w:rPr>
      <w:sz w:val="32"/>
      <w:szCs w:val="28"/>
    </w:rPr>
  </w:style>
  <w:style w:type="paragraph" w:customStyle="1" w:styleId="afffffffffffffffffffffffffffffff7">
    <w:name w:val="小表右"/>
    <w:basedOn w:val="a0"/>
    <w:pPr>
      <w:keepNext/>
      <w:snapToGrid w:val="0"/>
      <w:spacing w:beforeLines="20" w:line="240" w:lineRule="atLeast"/>
      <w:ind w:left="226" w:rightChars="10" w:right="10"/>
      <w:jc w:val="right"/>
    </w:pPr>
    <w:rPr>
      <w:szCs w:val="22"/>
    </w:rPr>
  </w:style>
  <w:style w:type="paragraph" w:customStyle="1" w:styleId="afffffffffffffffffffffffffffffff8">
    <w:name w:val="小表中"/>
    <w:basedOn w:val="a0"/>
    <w:pPr>
      <w:keepNext/>
      <w:adjustRightInd w:val="0"/>
      <w:snapToGrid w:val="0"/>
      <w:spacing w:line="240" w:lineRule="atLeast"/>
      <w:jc w:val="center"/>
    </w:pPr>
    <w:rPr>
      <w:szCs w:val="22"/>
    </w:rPr>
  </w:style>
  <w:style w:type="paragraph" w:customStyle="1" w:styleId="afffffffffffffffffffffffffffffff9">
    <w:name w:val="小表左"/>
    <w:basedOn w:val="a0"/>
    <w:pPr>
      <w:keepNext/>
      <w:adjustRightInd w:val="0"/>
      <w:snapToGrid w:val="0"/>
      <w:spacing w:beforeLines="20" w:line="240" w:lineRule="atLeast"/>
      <w:jc w:val="left"/>
    </w:pPr>
    <w:rPr>
      <w:szCs w:val="22"/>
    </w:rPr>
  </w:style>
  <w:style w:type="paragraph" w:customStyle="1" w:styleId="afffffffffffffffffffffffffffffffa">
    <w:name w:val="续表"/>
    <w:basedOn w:val="7"/>
    <w:pPr>
      <w:keepLines w:val="0"/>
      <w:adjustRightInd w:val="0"/>
      <w:snapToGrid w:val="0"/>
      <w:spacing w:beforeLines="20" w:after="0" w:line="300" w:lineRule="auto"/>
      <w:jc w:val="center"/>
    </w:pPr>
    <w:rPr>
      <w:rFonts w:ascii="黑体" w:eastAsia="黑体"/>
      <w:b w:val="0"/>
      <w:bCs w:val="0"/>
      <w:szCs w:val="28"/>
    </w:rPr>
  </w:style>
  <w:style w:type="paragraph" w:customStyle="1" w:styleId="afffffffffffffffffffffffffffffffb">
    <w:name w:val="专业名称"/>
    <w:basedOn w:val="a0"/>
    <w:pPr>
      <w:keepNext/>
      <w:adjustRightInd w:val="0"/>
      <w:snapToGrid w:val="0"/>
      <w:spacing w:beforeLines="20" w:line="300" w:lineRule="auto"/>
      <w:jc w:val="center"/>
    </w:pPr>
    <w:rPr>
      <w:rFonts w:ascii="黑体" w:eastAsia="黑体"/>
      <w:sz w:val="32"/>
      <w:szCs w:val="28"/>
    </w:rPr>
  </w:style>
  <w:style w:type="paragraph" w:customStyle="1" w:styleId="afffffffffffffffffffffffffffffffc">
    <w:name w:val="专业签署"/>
    <w:basedOn w:val="a0"/>
    <w:pPr>
      <w:keepNext/>
      <w:adjustRightInd w:val="0"/>
      <w:snapToGrid w:val="0"/>
      <w:spacing w:beforeLines="20" w:after="120" w:line="300" w:lineRule="auto"/>
      <w:jc w:val="center"/>
    </w:pPr>
    <w:rPr>
      <w:sz w:val="32"/>
      <w:szCs w:val="28"/>
    </w:rPr>
  </w:style>
  <w:style w:type="paragraph" w:customStyle="1" w:styleId="afffffffffffffffffffffffffffffffd">
    <w:name w:val="附件"/>
    <w:basedOn w:val="1"/>
    <w:pPr>
      <w:keepLines/>
      <w:adjustRightInd w:val="0"/>
      <w:snapToGrid w:val="0"/>
      <w:spacing w:beforeLines="10" w:before="0" w:afterLines="0" w:after="0" w:line="300" w:lineRule="auto"/>
      <w:jc w:val="left"/>
      <w:outlineLvl w:val="9"/>
    </w:pPr>
    <w:rPr>
      <w:rFonts w:hAnsi="Times New Roman"/>
      <w:b w:val="0"/>
      <w:kern w:val="44"/>
      <w:sz w:val="28"/>
      <w:szCs w:val="28"/>
      <w:lang w:val="en-US" w:eastAsia="zh-CN"/>
    </w:rPr>
  </w:style>
  <w:style w:type="paragraph" w:customStyle="1" w:styleId="afffffffffffffffffffffffffffffffe">
    <w:name w:val="前言目次"/>
    <w:basedOn w:val="affffffffffffffffd"/>
    <w:pPr>
      <w:keepNext/>
      <w:widowControl w:val="0"/>
      <w:tabs>
        <w:tab w:val="clear" w:pos="425"/>
        <w:tab w:val="left" w:pos="4325"/>
      </w:tabs>
      <w:adjustRightInd w:val="0"/>
      <w:snapToGrid w:val="0"/>
      <w:spacing w:beforeLines="20" w:afterLines="0" w:line="300" w:lineRule="auto"/>
      <w:ind w:left="0" w:firstLine="0"/>
      <w:jc w:val="both"/>
    </w:pPr>
    <w:rPr>
      <w:rFonts w:ascii="Times New Roman" w:eastAsia="宋体"/>
      <w:b/>
      <w:kern w:val="2"/>
      <w:sz w:val="28"/>
      <w:szCs w:val="28"/>
    </w:rPr>
  </w:style>
  <w:style w:type="paragraph" w:customStyle="1" w:styleId="affffffffffffffffffffffffffffffff">
    <w:name w:val="附件名"/>
    <w:basedOn w:val="afffffffffffffffffffffffffffffffd"/>
    <w:pPr>
      <w:jc w:val="center"/>
    </w:pPr>
  </w:style>
  <w:style w:type="paragraph" w:customStyle="1" w:styleId="21f3">
    <w:name w:val="样式 文档结构图 + 首行缩进:  2 字符1"/>
    <w:basedOn w:val="a0"/>
    <w:semiHidden/>
    <w:pPr>
      <w:keepNext/>
      <w:shd w:val="clear" w:color="auto" w:fill="CCFFCC"/>
      <w:adjustRightInd w:val="0"/>
      <w:snapToGrid w:val="0"/>
      <w:spacing w:beforeLines="20" w:line="300" w:lineRule="auto"/>
      <w:ind w:firstLineChars="200" w:firstLine="360"/>
      <w:jc w:val="left"/>
    </w:pPr>
    <w:rPr>
      <w:rFonts w:cs="宋体"/>
      <w:color w:val="0000FF"/>
      <w:szCs w:val="21"/>
    </w:rPr>
  </w:style>
  <w:style w:type="paragraph" w:customStyle="1" w:styleId="affffffffffffffffffffffffffffffff0">
    <w:name w:val="图标"/>
    <w:basedOn w:val="affff0"/>
    <w:pPr>
      <w:keepNext/>
      <w:snapToGrid w:val="0"/>
      <w:spacing w:line="200" w:lineRule="atLeast"/>
      <w:jc w:val="center"/>
    </w:pPr>
    <w:rPr>
      <w:rFonts w:eastAsia="幼圆"/>
      <w:b/>
      <w:bCs w:val="0"/>
      <w:color w:val="FF0000"/>
      <w:kern w:val="0"/>
      <w:sz w:val="24"/>
      <w:szCs w:val="24"/>
    </w:rPr>
  </w:style>
  <w:style w:type="paragraph" w:customStyle="1" w:styleId="705">
    <w:name w:val="样式 标题 7 + 段前: 0.5 行"/>
    <w:basedOn w:val="7"/>
    <w:semiHidden/>
    <w:pPr>
      <w:keepLines w:val="0"/>
      <w:tabs>
        <w:tab w:val="left" w:pos="567"/>
      </w:tabs>
      <w:snapToGrid w:val="0"/>
      <w:spacing w:beforeLines="50" w:after="0" w:line="300" w:lineRule="auto"/>
      <w:jc w:val="center"/>
    </w:pPr>
    <w:rPr>
      <w:rFonts w:ascii="黑体" w:eastAsia="黑体" w:cs="宋体"/>
      <w:b w:val="0"/>
      <w:bCs w:val="0"/>
      <w:szCs w:val="20"/>
    </w:rPr>
  </w:style>
  <w:style w:type="paragraph" w:customStyle="1" w:styleId="030">
    <w:name w:val="样式 表右 + 右侧:  0.3 字符"/>
    <w:basedOn w:val="afffffffffffffffffffffffffffffff2"/>
    <w:pPr>
      <w:ind w:right="30"/>
    </w:pPr>
    <w:rPr>
      <w:rFonts w:cs="宋体"/>
      <w:szCs w:val="20"/>
    </w:rPr>
  </w:style>
  <w:style w:type="paragraph" w:customStyle="1" w:styleId="21121122Char1Heading22110">
    <w:name w:val="标题 21.1标题 21.1标题2标题 2 Char1节_Heading 2标2二级标题1.1标题 +..."/>
    <w:basedOn w:val="a0"/>
    <w:pPr>
      <w:keepNext/>
      <w:spacing w:line="360" w:lineRule="auto"/>
      <w:jc w:val="left"/>
    </w:pPr>
    <w:rPr>
      <w:sz w:val="28"/>
      <w:szCs w:val="28"/>
    </w:rPr>
  </w:style>
  <w:style w:type="paragraph" w:customStyle="1" w:styleId="affffffffffffffffffffffffffffffff1">
    <w:name w:val="样式 宋体 小四 居中"/>
    <w:basedOn w:val="a0"/>
    <w:semiHidden/>
    <w:pPr>
      <w:keepNext/>
      <w:spacing w:line="360" w:lineRule="auto"/>
      <w:ind w:firstLine="564"/>
      <w:jc w:val="center"/>
    </w:pPr>
    <w:rPr>
      <w:rFonts w:cs="宋体"/>
      <w:color w:val="000000"/>
      <w:sz w:val="24"/>
    </w:rPr>
  </w:style>
  <w:style w:type="paragraph" w:customStyle="1" w:styleId="41111411114Char1111Char40">
    <w:name w:val="样式 样式 标题 41.1.1.1标题 4.1.1.1.1标题 4 Char款1.1.1.1 Char标4 + (符号) ......"/>
    <w:basedOn w:val="a0"/>
    <w:semiHidden/>
    <w:pPr>
      <w:keepNext/>
      <w:keepLines/>
      <w:autoSpaceDE w:val="0"/>
      <w:autoSpaceDN w:val="0"/>
      <w:adjustRightInd w:val="0"/>
      <w:snapToGrid w:val="0"/>
      <w:spacing w:line="360" w:lineRule="auto"/>
      <w:ind w:firstLine="564"/>
      <w:jc w:val="left"/>
      <w:outlineLvl w:val="3"/>
    </w:pPr>
    <w:rPr>
      <w:rFonts w:cs="宋体"/>
      <w:sz w:val="28"/>
      <w:szCs w:val="28"/>
    </w:rPr>
  </w:style>
  <w:style w:type="paragraph" w:customStyle="1" w:styleId="21121122Char1Heading22113">
    <w:name w:val="样式 标题 21.1标题 21.1标题2标题 2 Char1节_Heading 2标2二级标题1.1标题一..."/>
    <w:basedOn w:val="2"/>
    <w:semiHidden/>
    <w:pPr>
      <w:numPr>
        <w:ilvl w:val="1"/>
      </w:numPr>
      <w:spacing w:beforeLines="50" w:afterLines="50" w:line="240" w:lineRule="auto"/>
    </w:pPr>
    <w:rPr>
      <w:rFonts w:ascii="宋体" w:eastAsia="宋体" w:cs="宋体"/>
      <w:b w:val="0"/>
      <w:color w:val="000000"/>
      <w:sz w:val="28"/>
      <w:szCs w:val="20"/>
    </w:rPr>
  </w:style>
  <w:style w:type="paragraph" w:customStyle="1" w:styleId="21121122Char1Heading22114">
    <w:name w:val="样式 样式 标题 21.1标题 21.1标题2标题 2 Char1节_Heading 2标2二级标题1.1标题一... + 段前..."/>
    <w:basedOn w:val="21121122Char1Heading22113"/>
    <w:semiHidden/>
    <w:rPr>
      <w:rFonts w:ascii="黑体" w:eastAsia="黑体"/>
      <w:szCs w:val="28"/>
    </w:rPr>
  </w:style>
  <w:style w:type="paragraph" w:customStyle="1" w:styleId="11Char105051">
    <w:name w:val="样式 标题 1标题 1 Char标1 + 段前: 0.5 行 段后: 0.5 行1"/>
    <w:basedOn w:val="1"/>
    <w:semiHidden/>
    <w:pPr>
      <w:autoSpaceDE w:val="0"/>
      <w:autoSpaceDN w:val="0"/>
      <w:adjustRightInd w:val="0"/>
      <w:spacing w:beforeLines="0" w:before="0" w:afterLines="0" w:after="0" w:line="240" w:lineRule="auto"/>
      <w:ind w:leftChars="153" w:left="153" w:firstLineChars="50" w:firstLine="50"/>
      <w:jc w:val="left"/>
    </w:pPr>
    <w:rPr>
      <w:rFonts w:hAnsi="Arial" w:cs="宋体"/>
      <w:b w:val="0"/>
      <w:kern w:val="0"/>
      <w:sz w:val="28"/>
      <w:szCs w:val="20"/>
      <w:lang w:val="zh-CN"/>
    </w:rPr>
  </w:style>
  <w:style w:type="paragraph" w:customStyle="1" w:styleId="021">
    <w:name w:val="样式 表格文字居中 + 首行缩进:  0.21 厘米"/>
    <w:basedOn w:val="a0"/>
    <w:next w:val="a0"/>
    <w:semiHidden/>
    <w:pPr>
      <w:keepNext/>
      <w:spacing w:line="360" w:lineRule="auto"/>
      <w:ind w:leftChars="153" w:left="428" w:firstLineChars="153" w:firstLine="120"/>
      <w:jc w:val="left"/>
    </w:pPr>
    <w:rPr>
      <w:rFonts w:ascii="Arial" w:hAnsi="Arial" w:cs="Arial"/>
      <w:color w:val="000000"/>
      <w:sz w:val="28"/>
      <w:szCs w:val="20"/>
    </w:rPr>
  </w:style>
  <w:style w:type="paragraph" w:customStyle="1" w:styleId="515Char5">
    <w:name w:val="样式 标题 51)项标5 Char标5 + 两端对齐"/>
    <w:basedOn w:val="5"/>
    <w:pPr>
      <w:keepNext w:val="0"/>
      <w:keepLines w:val="0"/>
      <w:tabs>
        <w:tab w:val="left" w:pos="927"/>
      </w:tabs>
      <w:snapToGrid w:val="0"/>
      <w:spacing w:line="360" w:lineRule="auto"/>
      <w:ind w:firstLine="567"/>
    </w:pPr>
    <w:rPr>
      <w:rFonts w:ascii="宋体" w:eastAsia="黑体" w:hAnsi="宋体" w:cs="宋体"/>
      <w:b w:val="0"/>
      <w:bCs w:val="0"/>
      <w:snapToGrid w:val="0"/>
      <w:color w:val="000000"/>
      <w:kern w:val="0"/>
      <w:sz w:val="32"/>
      <w:szCs w:val="20"/>
    </w:rPr>
  </w:style>
  <w:style w:type="paragraph" w:customStyle="1" w:styleId="21121122Char12Heading211">
    <w:name w:val="样式 标题 21.1标题 21.1标题2标题 2 Char1节标2_Heading 2二级标题1.1标题一..."/>
    <w:basedOn w:val="2"/>
    <w:pPr>
      <w:numPr>
        <w:ilvl w:val="1"/>
      </w:numPr>
      <w:tabs>
        <w:tab w:val="left" w:pos="1727"/>
        <w:tab w:val="left" w:pos="1884"/>
        <w:tab w:val="left" w:pos="4900"/>
      </w:tabs>
      <w:snapToGrid w:val="0"/>
      <w:spacing w:beforeLines="50" w:afterLines="50" w:line="240" w:lineRule="auto"/>
    </w:pPr>
    <w:rPr>
      <w:rFonts w:cs="宋体"/>
      <w:b w:val="0"/>
      <w:color w:val="000000"/>
      <w:kern w:val="0"/>
      <w:sz w:val="28"/>
      <w:szCs w:val="20"/>
    </w:rPr>
  </w:style>
  <w:style w:type="paragraph" w:customStyle="1" w:styleId="yemei">
    <w:name w:val="yemei"/>
    <w:basedOn w:val="afc"/>
    <w:pPr>
      <w:keepNext/>
      <w:pBdr>
        <w:bottom w:val="single" w:sz="2" w:space="1" w:color="auto"/>
      </w:pBdr>
      <w:jc w:val="right"/>
    </w:pPr>
    <w:rPr>
      <w:rFonts w:ascii="宋体" w:eastAsia="宋体" w:hAnsi="宋体" w:hint="eastAsia"/>
      <w:bCs/>
      <w:snapToGrid/>
      <w:kern w:val="2"/>
      <w:sz w:val="21"/>
      <w:szCs w:val="21"/>
    </w:rPr>
  </w:style>
  <w:style w:type="paragraph" w:customStyle="1" w:styleId="affffffffffffffffffffffffffffffff2">
    <w:name w:val="样式 宋体 居中"/>
    <w:basedOn w:val="a0"/>
    <w:pPr>
      <w:keepNext/>
      <w:adjustRightInd w:val="0"/>
      <w:snapToGrid w:val="0"/>
      <w:spacing w:line="360" w:lineRule="auto"/>
      <w:jc w:val="center"/>
    </w:pPr>
    <w:rPr>
      <w:szCs w:val="21"/>
    </w:rPr>
  </w:style>
  <w:style w:type="paragraph" w:customStyle="1" w:styleId="affffffffffffffffffffffffffffffff3">
    <w:name w:val="表格文字居左"/>
    <w:basedOn w:val="aff7"/>
    <w:pPr>
      <w:keepNext/>
      <w:tabs>
        <w:tab w:val="left" w:pos="0"/>
        <w:tab w:val="left" w:pos="628"/>
        <w:tab w:val="left" w:pos="700"/>
        <w:tab w:val="left" w:pos="1400"/>
        <w:tab w:val="left" w:pos="1884"/>
        <w:tab w:val="left" w:pos="4325"/>
      </w:tabs>
      <w:adjustRightInd w:val="0"/>
      <w:snapToGrid w:val="0"/>
      <w:spacing w:before="50" w:after="100" w:afterAutospacing="1"/>
      <w:ind w:firstLineChars="200" w:firstLine="0"/>
    </w:pPr>
    <w:rPr>
      <w:sz w:val="24"/>
      <w:lang w:val="en-US" w:eastAsia="zh-CN"/>
    </w:rPr>
  </w:style>
  <w:style w:type="paragraph" w:customStyle="1" w:styleId="11Char1021">
    <w:name w:val="样式 标题 1标题 1 Char标1一级标题，黑粗，三号，序号第一章 + 右侧:  0.21 厘米"/>
    <w:basedOn w:val="1"/>
    <w:pPr>
      <w:autoSpaceDE w:val="0"/>
      <w:autoSpaceDN w:val="0"/>
      <w:adjustRightInd w:val="0"/>
      <w:snapToGrid w:val="0"/>
      <w:spacing w:beforeLines="0" w:before="0" w:afterLines="0" w:after="0" w:line="240" w:lineRule="auto"/>
      <w:jc w:val="left"/>
    </w:pPr>
    <w:rPr>
      <w:rFonts w:ascii="Times New Roman" w:hAnsi="Times New Roman" w:cs="宋体"/>
      <w:bCs/>
      <w:kern w:val="0"/>
      <w:sz w:val="28"/>
      <w:szCs w:val="28"/>
      <w:lang w:val="zh-CN"/>
    </w:rPr>
  </w:style>
  <w:style w:type="paragraph" w:customStyle="1" w:styleId="21121122Char1Heading22">
    <w:name w:val="样式 标题 21.1标题 21.1标题2标题 2 Char1节_Heading 2标2二级标题二级标题，黑粗..."/>
    <w:basedOn w:val="2"/>
    <w:pPr>
      <w:keepNext w:val="0"/>
      <w:numPr>
        <w:ilvl w:val="1"/>
      </w:numPr>
      <w:adjustRightInd w:val="0"/>
      <w:snapToGrid w:val="0"/>
      <w:spacing w:beforeLines="50" w:afterLines="50" w:line="240" w:lineRule="auto"/>
      <w:ind w:right="240"/>
      <w:jc w:val="both"/>
    </w:pPr>
    <w:rPr>
      <w:rFonts w:ascii="Times New Roman" w:hAnsi="Times New Roman" w:cs="宋体"/>
      <w:bCs w:val="0"/>
      <w:sz w:val="28"/>
      <w:szCs w:val="28"/>
    </w:rPr>
  </w:style>
  <w:style w:type="paragraph" w:customStyle="1" w:styleId="31113CharChar3Char3Headin">
    <w:name w:val="样式 标题 31.1.1条标题 3 Char Char标题 3 Char标3三级标题，黑粗，四号，序号Headin..."/>
    <w:basedOn w:val="3"/>
    <w:pPr>
      <w:keepNext w:val="0"/>
      <w:keepLines w:val="0"/>
      <w:numPr>
        <w:ilvl w:val="2"/>
      </w:numPr>
      <w:tabs>
        <w:tab w:val="left" w:pos="628"/>
        <w:tab w:val="left" w:pos="1727"/>
        <w:tab w:val="left" w:pos="1884"/>
        <w:tab w:val="left" w:pos="4900"/>
      </w:tabs>
      <w:autoSpaceDE w:val="0"/>
      <w:autoSpaceDN w:val="0"/>
      <w:adjustRightInd w:val="0"/>
      <w:snapToGrid w:val="0"/>
      <w:ind w:left="285"/>
      <w:jc w:val="both"/>
    </w:pPr>
    <w:rPr>
      <w:rFonts w:ascii="宋体" w:eastAsia="宋体" w:hAnsi="Arial" w:cs="宋体"/>
      <w:b w:val="0"/>
      <w:bCs w:val="0"/>
      <w:sz w:val="28"/>
      <w:szCs w:val="20"/>
    </w:rPr>
  </w:style>
  <w:style w:type="paragraph" w:customStyle="1" w:styleId="1fffffff4">
    <w:name w:val="样式 表中居中文字 + 紧缩量  1 磅"/>
    <w:basedOn w:val="afffffffffffffff4"/>
    <w:pPr>
      <w:keepNext/>
      <w:widowControl w:val="0"/>
      <w:autoSpaceDE/>
      <w:autoSpaceDN/>
      <w:adjustRightInd w:val="0"/>
      <w:snapToGrid w:val="0"/>
      <w:ind w:leftChars="-50" w:left="-140" w:rightChars="-50" w:right="-140"/>
      <w:textAlignment w:val="auto"/>
    </w:pPr>
    <w:rPr>
      <w:rFonts w:ascii="Times New Roman" w:hAnsi="Times New Roman" w:cs="Times New Roman"/>
      <w:szCs w:val="24"/>
    </w:rPr>
  </w:style>
  <w:style w:type="paragraph" w:customStyle="1" w:styleId="6f">
    <w:name w:val="样式 表中居中文字 + 黑色 行距: 最小值 6 磅"/>
    <w:basedOn w:val="afffffffffffffff4"/>
    <w:pPr>
      <w:keepNext/>
      <w:widowControl w:val="0"/>
      <w:autoSpaceDE/>
      <w:autoSpaceDN/>
      <w:adjustRightInd w:val="0"/>
      <w:snapToGrid w:val="0"/>
      <w:spacing w:line="120" w:lineRule="atLeast"/>
      <w:textAlignment w:val="auto"/>
    </w:pPr>
    <w:rPr>
      <w:rFonts w:ascii="Times New Roman" w:hAnsi="Times New Roman" w:cs="宋体"/>
      <w:color w:val="000000"/>
      <w:szCs w:val="24"/>
    </w:rPr>
  </w:style>
  <w:style w:type="paragraph" w:customStyle="1" w:styleId="516">
    <w:name w:val="样式 标题 51)项 + 两端对齐"/>
    <w:basedOn w:val="5"/>
    <w:pPr>
      <w:keepNext w:val="0"/>
      <w:keepLines w:val="0"/>
      <w:tabs>
        <w:tab w:val="left" w:pos="1009"/>
      </w:tabs>
      <w:snapToGrid w:val="0"/>
      <w:spacing w:line="360" w:lineRule="auto"/>
      <w:ind w:left="1009" w:hanging="442"/>
    </w:pPr>
    <w:rPr>
      <w:rFonts w:ascii="宋体" w:eastAsia="黑体"/>
      <w:b w:val="0"/>
      <w:snapToGrid w:val="0"/>
      <w:color w:val="000000"/>
      <w:kern w:val="0"/>
      <w:sz w:val="32"/>
    </w:rPr>
  </w:style>
  <w:style w:type="paragraph" w:customStyle="1" w:styleId="2ffffff4">
    <w:name w:val="样式 正文首行缩进 + 黑体 加粗 居中 首行缩进:  2 字符"/>
    <w:basedOn w:val="aff7"/>
    <w:pPr>
      <w:keepNext/>
      <w:tabs>
        <w:tab w:val="left" w:pos="628"/>
        <w:tab w:val="left" w:pos="1727"/>
        <w:tab w:val="left" w:pos="1884"/>
        <w:tab w:val="left" w:pos="2660"/>
        <w:tab w:val="left" w:pos="4325"/>
        <w:tab w:val="left" w:pos="5460"/>
      </w:tabs>
      <w:adjustRightInd w:val="0"/>
      <w:snapToGrid w:val="0"/>
      <w:spacing w:after="0" w:line="360" w:lineRule="auto"/>
      <w:ind w:firstLineChars="200" w:firstLine="561"/>
      <w:jc w:val="center"/>
    </w:pPr>
    <w:rPr>
      <w:rFonts w:ascii="黑体" w:eastAsia="黑体"/>
      <w:b/>
      <w:bCs/>
      <w:sz w:val="28"/>
      <w:szCs w:val="28"/>
      <w:lang w:val="en-US" w:eastAsia="zh-CN"/>
    </w:rPr>
  </w:style>
  <w:style w:type="paragraph" w:customStyle="1" w:styleId="3ffe">
    <w:name w:val="标3正文项"/>
    <w:basedOn w:val="a0"/>
    <w:pPr>
      <w:keepNext/>
      <w:adjustRightInd w:val="0"/>
      <w:snapToGrid w:val="0"/>
      <w:spacing w:line="360" w:lineRule="auto"/>
      <w:ind w:left="-2"/>
    </w:pPr>
    <w:rPr>
      <w:kern w:val="0"/>
      <w:sz w:val="24"/>
      <w:szCs w:val="20"/>
    </w:rPr>
  </w:style>
  <w:style w:type="paragraph" w:customStyle="1" w:styleId="5fb">
    <w:name w:val="注释标题5"/>
    <w:basedOn w:val="a0"/>
    <w:pPr>
      <w:keepNext/>
      <w:adjustRightInd w:val="0"/>
      <w:snapToGrid w:val="0"/>
      <w:spacing w:line="360" w:lineRule="auto"/>
      <w:jc w:val="center"/>
    </w:pPr>
    <w:rPr>
      <w:rFonts w:ascii="黑体" w:eastAsia="黑体"/>
      <w:sz w:val="24"/>
    </w:rPr>
  </w:style>
  <w:style w:type="paragraph" w:customStyle="1" w:styleId="3fff">
    <w:name w:val="注释标题3"/>
    <w:basedOn w:val="a6"/>
    <w:pPr>
      <w:keepNext/>
      <w:adjustRightInd w:val="0"/>
      <w:snapToGrid w:val="0"/>
      <w:ind w:left="-570" w:firstLineChars="200" w:firstLine="480"/>
    </w:pPr>
    <w:rPr>
      <w:rFonts w:ascii="Times New Roman" w:eastAsia="黑体"/>
      <w:sz w:val="24"/>
      <w:szCs w:val="24"/>
    </w:rPr>
  </w:style>
  <w:style w:type="paragraph" w:customStyle="1" w:styleId="78">
    <w:name w:val="注释标题7"/>
    <w:basedOn w:val="a0"/>
    <w:pPr>
      <w:keepNext/>
      <w:adjustRightInd w:val="0"/>
      <w:snapToGrid w:val="0"/>
      <w:spacing w:line="360" w:lineRule="auto"/>
      <w:ind w:left="-570" w:firstLineChars="200" w:firstLine="200"/>
      <w:jc w:val="left"/>
    </w:pPr>
    <w:rPr>
      <w:rFonts w:ascii="黑体" w:eastAsia="黑体" w:cs="Arial"/>
      <w:bCs/>
      <w:sz w:val="24"/>
    </w:rPr>
  </w:style>
  <w:style w:type="paragraph" w:customStyle="1" w:styleId="2ffffff5">
    <w:name w:val="2标题"/>
    <w:basedOn w:val="a0"/>
    <w:pPr>
      <w:keepNext/>
      <w:tabs>
        <w:tab w:val="left" w:pos="780"/>
      </w:tabs>
      <w:adjustRightInd w:val="0"/>
      <w:snapToGrid w:val="0"/>
      <w:spacing w:line="360" w:lineRule="auto"/>
      <w:ind w:left="780" w:hanging="420"/>
    </w:pPr>
    <w:rPr>
      <w:szCs w:val="20"/>
    </w:rPr>
  </w:style>
  <w:style w:type="paragraph" w:customStyle="1" w:styleId="2ffffff6">
    <w:name w:val="注释标题2"/>
    <w:basedOn w:val="afe"/>
    <w:next w:val="a0"/>
    <w:pPr>
      <w:keepNext/>
      <w:adjustRightInd w:val="0"/>
      <w:snapToGrid w:val="0"/>
      <w:spacing w:line="360" w:lineRule="auto"/>
      <w:ind w:left="-570"/>
      <w:jc w:val="center"/>
    </w:pPr>
    <w:rPr>
      <w:rFonts w:ascii="黑体" w:eastAsia="黑体" w:hAnsi="宋体" w:cs="Arial"/>
      <w:bCs/>
      <w:sz w:val="24"/>
    </w:rPr>
  </w:style>
  <w:style w:type="paragraph" w:customStyle="1" w:styleId="12b">
    <w:name w:val="注释标题12"/>
    <w:basedOn w:val="2ffffff6"/>
    <w:next w:val="a0"/>
  </w:style>
  <w:style w:type="paragraph" w:customStyle="1" w:styleId="6f0">
    <w:name w:val="注释标题6"/>
    <w:basedOn w:val="2ffffff6"/>
    <w:next w:val="a0"/>
  </w:style>
  <w:style w:type="paragraph" w:customStyle="1" w:styleId="89">
    <w:name w:val="注释标题8"/>
    <w:basedOn w:val="2ffffff6"/>
    <w:next w:val="a0"/>
  </w:style>
  <w:style w:type="paragraph" w:customStyle="1" w:styleId="95">
    <w:name w:val="注释标题9"/>
    <w:basedOn w:val="2ffffff6"/>
    <w:next w:val="a0"/>
  </w:style>
  <w:style w:type="paragraph" w:customStyle="1" w:styleId="105">
    <w:name w:val="注释标题10"/>
    <w:basedOn w:val="2ffffff6"/>
    <w:next w:val="a0"/>
    <w:pPr>
      <w:ind w:left="0"/>
    </w:pPr>
  </w:style>
  <w:style w:type="paragraph" w:customStyle="1" w:styleId="11f2">
    <w:name w:val="注释标题11"/>
    <w:basedOn w:val="2ffffff6"/>
    <w:next w:val="a0"/>
    <w:pPr>
      <w:tabs>
        <w:tab w:val="left" w:pos="1320"/>
      </w:tabs>
      <w:ind w:left="1320" w:hanging="840"/>
    </w:pPr>
  </w:style>
  <w:style w:type="paragraph" w:customStyle="1" w:styleId="143">
    <w:name w:val="注释标题14"/>
    <w:basedOn w:val="2ffffff6"/>
    <w:next w:val="a0"/>
    <w:pPr>
      <w:ind w:left="0"/>
    </w:pPr>
  </w:style>
  <w:style w:type="paragraph" w:customStyle="1" w:styleId="132">
    <w:name w:val="注释标题13"/>
    <w:basedOn w:val="2ffffff6"/>
    <w:pPr>
      <w:adjustRightInd/>
      <w:snapToGrid/>
      <w:ind w:left="200"/>
    </w:pPr>
  </w:style>
  <w:style w:type="paragraph" w:customStyle="1" w:styleId="3fff0">
    <w:name w:val="页眉3"/>
    <w:basedOn w:val="a0"/>
    <w:pPr>
      <w:keepNext/>
      <w:pBdr>
        <w:bottom w:val="single" w:sz="6" w:space="1" w:color="auto"/>
      </w:pBdr>
      <w:tabs>
        <w:tab w:val="center" w:pos="4153"/>
        <w:tab w:val="right" w:pos="8306"/>
      </w:tabs>
      <w:adjustRightInd w:val="0"/>
      <w:snapToGrid w:val="0"/>
      <w:spacing w:line="240" w:lineRule="atLeast"/>
      <w:jc w:val="center"/>
    </w:pPr>
    <w:rPr>
      <w:kern w:val="0"/>
      <w:sz w:val="18"/>
      <w:szCs w:val="20"/>
      <w:lang w:val="en-US" w:eastAsia="zh-CN"/>
    </w:rPr>
  </w:style>
  <w:style w:type="paragraph" w:customStyle="1" w:styleId="159">
    <w:name w:val="注释标题15"/>
    <w:basedOn w:val="2ffffff6"/>
    <w:next w:val="a0"/>
    <w:rPr>
      <w:rFonts w:ascii="宋体"/>
    </w:rPr>
  </w:style>
  <w:style w:type="paragraph" w:customStyle="1" w:styleId="bt2">
    <w:name w:val="bt2"/>
    <w:basedOn w:val="a0"/>
    <w:pPr>
      <w:keepNext/>
      <w:adjustRightInd w:val="0"/>
      <w:snapToGrid w:val="0"/>
      <w:spacing w:line="500" w:lineRule="exact"/>
      <w:ind w:firstLine="567"/>
    </w:pPr>
    <w:rPr>
      <w:b/>
      <w:sz w:val="24"/>
      <w:szCs w:val="20"/>
    </w:rPr>
  </w:style>
  <w:style w:type="paragraph" w:customStyle="1" w:styleId="t20">
    <w:name w:val="t2"/>
    <w:basedOn w:val="a0"/>
    <w:pPr>
      <w:keepNext/>
      <w:adjustRightInd w:val="0"/>
      <w:snapToGrid w:val="0"/>
      <w:spacing w:line="480" w:lineRule="exact"/>
      <w:ind w:firstLineChars="200" w:firstLine="480"/>
    </w:pPr>
    <w:rPr>
      <w:sz w:val="24"/>
    </w:rPr>
  </w:style>
  <w:style w:type="paragraph" w:customStyle="1" w:styleId="21121122Char1Heading221">
    <w:name w:val="样式 标题 21.1标题 21.1标题2标题 2 Char1节_Heading 2标2二级标题二级标题，黑粗...1"/>
    <w:basedOn w:val="2"/>
    <w:pPr>
      <w:keepNext w:val="0"/>
      <w:numPr>
        <w:ilvl w:val="1"/>
      </w:numPr>
      <w:adjustRightInd w:val="0"/>
      <w:snapToGrid w:val="0"/>
      <w:spacing w:beforeLines="50" w:afterLines="50" w:line="240" w:lineRule="auto"/>
    </w:pPr>
    <w:rPr>
      <w:rFonts w:cs="宋体"/>
      <w:b w:val="0"/>
      <w:sz w:val="28"/>
      <w:szCs w:val="20"/>
    </w:rPr>
  </w:style>
  <w:style w:type="paragraph" w:customStyle="1" w:styleId="5155Char21Char2Char215">
    <w:name w:val="样式 标题 51)项标5标题 5 Char21) Char2项 Char2 + 黑色 行距: 1.5 倍行距"/>
    <w:basedOn w:val="5"/>
    <w:pPr>
      <w:keepNext w:val="0"/>
      <w:keepLines w:val="0"/>
      <w:tabs>
        <w:tab w:val="left" w:pos="628"/>
        <w:tab w:val="left" w:pos="1727"/>
        <w:tab w:val="left" w:pos="1884"/>
        <w:tab w:val="left" w:pos="2660"/>
        <w:tab w:val="left" w:pos="5460"/>
      </w:tabs>
      <w:autoSpaceDE w:val="0"/>
      <w:autoSpaceDN w:val="0"/>
      <w:snapToGrid w:val="0"/>
      <w:spacing w:line="360" w:lineRule="auto"/>
      <w:ind w:firstLine="567"/>
      <w:outlineLvl w:val="9"/>
    </w:pPr>
    <w:rPr>
      <w:rFonts w:ascii="宋体" w:eastAsia="黑体" w:hAnsi="宋体"/>
      <w:b w:val="0"/>
      <w:bCs w:val="0"/>
      <w:snapToGrid w:val="0"/>
      <w:color w:val="000000"/>
      <w:kern w:val="0"/>
      <w:sz w:val="32"/>
      <w:szCs w:val="20"/>
    </w:rPr>
  </w:style>
  <w:style w:type="paragraph" w:customStyle="1" w:styleId="41111411114Char1111Char41">
    <w:name w:val="样式 标题 41.1.1.1标题 4.1.1.1.1标题 4 Char款1.1.1.1 Char标4 + (符号) ..."/>
    <w:basedOn w:val="4"/>
    <w:next w:val="4"/>
    <w:pPr>
      <w:numPr>
        <w:ilvl w:val="3"/>
      </w:numPr>
      <w:autoSpaceDE w:val="0"/>
      <w:autoSpaceDN w:val="0"/>
      <w:adjustRightInd w:val="0"/>
      <w:snapToGrid w:val="0"/>
      <w:spacing w:line="360" w:lineRule="auto"/>
    </w:pPr>
    <w:rPr>
      <w:rFonts w:ascii="宋体" w:eastAsia="宋体"/>
      <w:b w:val="0"/>
      <w:bCs w:val="0"/>
      <w:sz w:val="28"/>
    </w:rPr>
  </w:style>
  <w:style w:type="paragraph" w:customStyle="1" w:styleId="21f4">
    <w:name w:val="样式 题注 + 首行缩进:  2 字符1"/>
    <w:basedOn w:val="aa"/>
    <w:pPr>
      <w:autoSpaceDE w:val="0"/>
      <w:autoSpaceDN w:val="0"/>
      <w:adjustRightInd w:val="0"/>
      <w:snapToGrid w:val="0"/>
      <w:ind w:firstLineChars="200" w:firstLine="200"/>
      <w:jc w:val="center"/>
    </w:pPr>
    <w:rPr>
      <w:rFonts w:ascii="黑体" w:hAnsi="Times New Roman" w:cs="宋体" w:hint="eastAsia"/>
      <w:color w:val="000000"/>
      <w:sz w:val="24"/>
      <w:szCs w:val="28"/>
    </w:rPr>
  </w:style>
  <w:style w:type="paragraph" w:customStyle="1" w:styleId="Arial0">
    <w:name w:val="样式 题注 + (西文) Arial (中文) 黑体 小四"/>
    <w:basedOn w:val="aa"/>
    <w:pPr>
      <w:tabs>
        <w:tab w:val="left" w:pos="360"/>
      </w:tabs>
      <w:autoSpaceDE w:val="0"/>
      <w:autoSpaceDN w:val="0"/>
      <w:adjustRightInd w:val="0"/>
      <w:snapToGrid w:val="0"/>
      <w:ind w:firstLine="480"/>
      <w:jc w:val="center"/>
    </w:pPr>
    <w:rPr>
      <w:rFonts w:ascii="黑体" w:hAnsi="宋体" w:cs="黑体" w:hint="eastAsia"/>
      <w:color w:val="000000"/>
      <w:sz w:val="24"/>
      <w:szCs w:val="24"/>
    </w:rPr>
  </w:style>
  <w:style w:type="paragraph" w:customStyle="1" w:styleId="affffffffffffffffffffffffffffffff4">
    <w:name w:val="样式 样式 题注 + (西文) 宋体 + 黑体 四号"/>
    <w:basedOn w:val="affffffffffffffffffffffffffffff8"/>
    <w:pPr>
      <w:keepNext w:val="0"/>
      <w:autoSpaceDE w:val="0"/>
      <w:autoSpaceDN w:val="0"/>
      <w:ind w:firstLineChars="0" w:firstLine="0"/>
      <w:outlineLvl w:val="9"/>
    </w:pPr>
    <w:rPr>
      <w:rFonts w:hAnsi="黑体"/>
      <w:szCs w:val="24"/>
    </w:rPr>
  </w:style>
  <w:style w:type="paragraph" w:customStyle="1" w:styleId="515Char1CharChar507">
    <w:name w:val="样式 标题 51)项标题 5 Char1) Char项 Char标5一级项 + 紧缩量  0.7 磅"/>
    <w:basedOn w:val="a0"/>
    <w:pPr>
      <w:keepNext/>
      <w:autoSpaceDE w:val="0"/>
      <w:autoSpaceDN w:val="0"/>
      <w:spacing w:line="360" w:lineRule="auto"/>
      <w:ind w:firstLine="567"/>
      <w:jc w:val="left"/>
    </w:pPr>
    <w:rPr>
      <w:spacing w:val="-14"/>
      <w:sz w:val="28"/>
      <w:szCs w:val="28"/>
    </w:rPr>
  </w:style>
  <w:style w:type="paragraph" w:customStyle="1" w:styleId="21121122Char1Heading22051">
    <w:name w:val="样式 标题 21.1标题 21.1标题2标题 2 Char1节_Heading 2标2 + 段前: 0.5 行...1"/>
    <w:basedOn w:val="2"/>
    <w:pPr>
      <w:keepLines/>
      <w:numPr>
        <w:ilvl w:val="1"/>
      </w:numPr>
      <w:tabs>
        <w:tab w:val="left" w:pos="360"/>
      </w:tabs>
      <w:autoSpaceDE w:val="0"/>
      <w:autoSpaceDN w:val="0"/>
      <w:adjustRightInd w:val="0"/>
      <w:snapToGrid w:val="0"/>
      <w:spacing w:beforeLines="50" w:afterLines="50" w:line="240" w:lineRule="auto"/>
      <w:ind w:left="720" w:hangingChars="200" w:hanging="360"/>
    </w:pPr>
    <w:rPr>
      <w:rFonts w:cs="宋体"/>
      <w:b w:val="0"/>
      <w:sz w:val="28"/>
      <w:szCs w:val="20"/>
    </w:rPr>
  </w:style>
  <w:style w:type="paragraph" w:customStyle="1" w:styleId="41111411114Char1111Char400">
    <w:name w:val="样式 标题 41.1.1.1标题 4.1.1.1.1标题 4 Char款1.1.1.1 Char标4 + 段前: 0..."/>
    <w:basedOn w:val="4"/>
    <w:pPr>
      <w:numPr>
        <w:ilvl w:val="3"/>
      </w:numPr>
      <w:autoSpaceDE w:val="0"/>
      <w:autoSpaceDN w:val="0"/>
      <w:adjustRightInd w:val="0"/>
      <w:snapToGrid w:val="0"/>
      <w:spacing w:before="120" w:after="120" w:line="360" w:lineRule="auto"/>
    </w:pPr>
    <w:rPr>
      <w:rFonts w:ascii="宋体" w:eastAsia="宋体" w:cs="宋体"/>
      <w:b w:val="0"/>
      <w:bCs w:val="0"/>
      <w:color w:val="000000"/>
      <w:sz w:val="28"/>
      <w:szCs w:val="20"/>
    </w:rPr>
  </w:style>
  <w:style w:type="paragraph" w:customStyle="1" w:styleId="11Char105052">
    <w:name w:val="样式 标题 1标题 1 Char标1第一章 + 段前: 0.5 行 段后: 0.5 行"/>
    <w:basedOn w:val="a0"/>
    <w:next w:val="aff7"/>
    <w:pPr>
      <w:keepNext/>
      <w:spacing w:before="120" w:after="120"/>
      <w:jc w:val="left"/>
    </w:pPr>
    <w:rPr>
      <w:rFonts w:cs="宋体"/>
      <w:sz w:val="28"/>
      <w:szCs w:val="20"/>
    </w:rPr>
  </w:style>
  <w:style w:type="paragraph" w:customStyle="1" w:styleId="affffffffffffffffffffffffffffffff5">
    <w:name w:val="文表文字居中"/>
    <w:basedOn w:val="a0"/>
    <w:pPr>
      <w:keepNext/>
      <w:spacing w:before="100" w:beforeAutospacing="1" w:after="100" w:afterAutospacing="1"/>
      <w:jc w:val="center"/>
    </w:pPr>
    <w:rPr>
      <w:sz w:val="24"/>
    </w:rPr>
  </w:style>
  <w:style w:type="character" w:customStyle="1" w:styleId="31113CharChar3Char3111111-Char">
    <w:name w:val="样式 标题 31.1.1条标题 3 Char Char标题 3 Char标3§1.1.1.. (1.1.1)- ... Char"/>
    <w:link w:val="31113CharChar3Char3111111-0"/>
    <w:locked/>
    <w:rPr>
      <w:rFonts w:ascii="宋体" w:hAnsi="宋体"/>
      <w:color w:val="000000"/>
      <w:szCs w:val="32"/>
    </w:rPr>
  </w:style>
  <w:style w:type="paragraph" w:customStyle="1" w:styleId="31113CharChar3Char3111111-0">
    <w:name w:val="样式 标题 31.1.1条标题 3 Char Char标题 3 Char标3§1.1.1.. (1.1.1)- ..."/>
    <w:basedOn w:val="3"/>
    <w:link w:val="31113CharChar3Char3111111-Char"/>
    <w:pPr>
      <w:keepNext w:val="0"/>
      <w:keepLines w:val="0"/>
      <w:numPr>
        <w:ilvl w:val="2"/>
      </w:numPr>
      <w:tabs>
        <w:tab w:val="left" w:pos="628"/>
        <w:tab w:val="left" w:pos="1727"/>
        <w:tab w:val="left" w:pos="1884"/>
        <w:tab w:val="left" w:pos="4900"/>
      </w:tabs>
      <w:autoSpaceDE w:val="0"/>
      <w:autoSpaceDN w:val="0"/>
      <w:adjustRightInd w:val="0"/>
      <w:snapToGrid w:val="0"/>
    </w:pPr>
    <w:rPr>
      <w:rFonts w:ascii="宋体" w:eastAsia="宋体" w:hAnsi="宋体"/>
      <w:b w:val="0"/>
      <w:bCs w:val="0"/>
      <w:color w:val="000000"/>
      <w:kern w:val="0"/>
      <w:sz w:val="20"/>
      <w:lang w:val="x-none" w:eastAsia="x-none"/>
    </w:rPr>
  </w:style>
  <w:style w:type="character" w:customStyle="1" w:styleId="Charfffffff">
    <w:name w:val="样式 表格标题 + 黑体 Char"/>
    <w:link w:val="affffffffffffffffffffffffffffffff6"/>
    <w:locked/>
    <w:rPr>
      <w:rFonts w:ascii="黑体" w:eastAsia="黑体" w:hAnsi="黑体"/>
      <w:sz w:val="24"/>
      <w:szCs w:val="24"/>
    </w:rPr>
  </w:style>
  <w:style w:type="paragraph" w:customStyle="1" w:styleId="affffffffffffffffffffffffffffffff6">
    <w:name w:val="样式 表格标题 + 黑体"/>
    <w:basedOn w:val="a9"/>
    <w:link w:val="Charfffffff"/>
    <w:pPr>
      <w:keepNext/>
      <w:widowControl/>
      <w:spacing w:before="100" w:beforeAutospacing="1" w:after="100" w:afterAutospacing="1" w:line="360" w:lineRule="auto"/>
      <w:ind w:firstLine="0"/>
      <w:jc w:val="center"/>
    </w:pPr>
    <w:rPr>
      <w:rFonts w:ascii="黑体" w:eastAsia="黑体" w:hAnsi="黑体"/>
      <w:szCs w:val="24"/>
      <w:lang w:val="x-none" w:eastAsia="x-none"/>
    </w:rPr>
  </w:style>
  <w:style w:type="paragraph" w:customStyle="1" w:styleId="11Char105">
    <w:name w:val="样式 标题 1标题 1 Char标1第一章一级标题，黑粗，三号，序号 + 段前: 0.5 行"/>
    <w:basedOn w:val="1"/>
    <w:pPr>
      <w:spacing w:beforeLines="0" w:before="0" w:afterLines="0" w:after="0" w:line="240" w:lineRule="auto"/>
      <w:jc w:val="left"/>
    </w:pPr>
    <w:rPr>
      <w:rFonts w:hAnsi="Times New Roman" w:cs="宋体"/>
      <w:b w:val="0"/>
      <w:sz w:val="28"/>
      <w:szCs w:val="20"/>
    </w:rPr>
  </w:style>
  <w:style w:type="paragraph" w:customStyle="1" w:styleId="015">
    <w:name w:val="样式 表格文字居中 + 加粗 段前: 0.1 行 段后: 5 磅"/>
    <w:basedOn w:val="affff3"/>
    <w:pPr>
      <w:keepNext/>
      <w:tabs>
        <w:tab w:val="clear" w:pos="180"/>
        <w:tab w:val="clear" w:pos="279"/>
        <w:tab w:val="left" w:pos="628"/>
        <w:tab w:val="left" w:pos="1727"/>
        <w:tab w:val="left" w:pos="1884"/>
      </w:tabs>
      <w:adjustRightInd w:val="0"/>
      <w:snapToGrid w:val="0"/>
      <w:ind w:right="0"/>
    </w:pPr>
    <w:rPr>
      <w:rFonts w:ascii="宋体" w:cs="宋体" w:hint="eastAsia"/>
      <w:color w:val="000000"/>
      <w:kern w:val="0"/>
      <w:sz w:val="24"/>
      <w:szCs w:val="24"/>
      <w:lang w:val="en-US" w:eastAsia="zh-CN"/>
    </w:rPr>
  </w:style>
  <w:style w:type="paragraph" w:customStyle="1" w:styleId="-00">
    <w:name w:val="样式 正文首行缩进可研-正文首行缩进 + 首行缩进:  0 字符"/>
    <w:basedOn w:val="aff7"/>
    <w:pPr>
      <w:keepNext/>
      <w:tabs>
        <w:tab w:val="left" w:pos="628"/>
        <w:tab w:val="left" w:pos="1727"/>
        <w:tab w:val="left" w:pos="1884"/>
        <w:tab w:val="left" w:pos="2660"/>
        <w:tab w:val="left" w:pos="4325"/>
      </w:tabs>
      <w:adjustRightInd w:val="0"/>
      <w:snapToGrid w:val="0"/>
      <w:spacing w:after="0" w:line="360" w:lineRule="auto"/>
      <w:ind w:firstLineChars="0" w:firstLine="0"/>
    </w:pPr>
    <w:rPr>
      <w:rFonts w:cs="宋体"/>
      <w:color w:val="000000"/>
      <w:sz w:val="28"/>
      <w:szCs w:val="20"/>
      <w:lang w:val="en-US" w:eastAsia="zh-CN"/>
    </w:rPr>
  </w:style>
  <w:style w:type="paragraph" w:customStyle="1" w:styleId="5150">
    <w:name w:val="样式 标题 51)项标5 + (符号) 宋体"/>
    <w:basedOn w:val="5"/>
    <w:pPr>
      <w:keepNext w:val="0"/>
      <w:keepLines w:val="0"/>
      <w:spacing w:line="360" w:lineRule="auto"/>
      <w:ind w:firstLine="567"/>
      <w:jc w:val="left"/>
    </w:pPr>
    <w:rPr>
      <w:rFonts w:ascii="宋体" w:eastAsia="黑体" w:cs="宋体"/>
      <w:b w:val="0"/>
      <w:snapToGrid w:val="0"/>
      <w:color w:val="000000"/>
      <w:kern w:val="0"/>
      <w:sz w:val="32"/>
    </w:rPr>
  </w:style>
  <w:style w:type="paragraph" w:customStyle="1" w:styleId="5152">
    <w:name w:val="样式 标题 51)项标5 + 首行缩进:  2 字符"/>
    <w:basedOn w:val="5"/>
    <w:pPr>
      <w:keepNext w:val="0"/>
      <w:keepLines w:val="0"/>
      <w:numPr>
        <w:ilvl w:val="4"/>
        <w:numId w:val="24"/>
      </w:numPr>
      <w:tabs>
        <w:tab w:val="left" w:pos="360"/>
        <w:tab w:val="left" w:pos="1420"/>
      </w:tabs>
      <w:spacing w:line="360" w:lineRule="auto"/>
      <w:ind w:left="-20" w:firstLine="624"/>
      <w:jc w:val="left"/>
    </w:pPr>
    <w:rPr>
      <w:rFonts w:ascii="宋体" w:eastAsia="黑体" w:cs="宋体"/>
      <w:b w:val="0"/>
      <w:snapToGrid w:val="0"/>
      <w:color w:val="000000"/>
      <w:kern w:val="0"/>
      <w:sz w:val="32"/>
    </w:rPr>
  </w:style>
  <w:style w:type="paragraph" w:customStyle="1" w:styleId="680">
    <w:name w:val="样式 标题 6无节标题8二级项 + 首行缩进:  0 厘米"/>
    <w:basedOn w:val="a0"/>
    <w:pPr>
      <w:numPr>
        <w:numId w:val="25"/>
      </w:numPr>
      <w:snapToGrid w:val="0"/>
      <w:spacing w:line="360" w:lineRule="auto"/>
      <w:jc w:val="left"/>
    </w:pPr>
    <w:rPr>
      <w:rFonts w:ascii="宋体" w:cs="宋体"/>
      <w:sz w:val="28"/>
      <w:szCs w:val="20"/>
    </w:rPr>
  </w:style>
  <w:style w:type="paragraph" w:customStyle="1" w:styleId="51500">
    <w:name w:val="样式 标题 51)项标5 + 首行缩进:  0 厘米"/>
    <w:basedOn w:val="5"/>
    <w:pPr>
      <w:keepNext w:val="0"/>
      <w:keepLines w:val="0"/>
      <w:snapToGrid w:val="0"/>
      <w:spacing w:line="360" w:lineRule="auto"/>
      <w:ind w:firstLine="567"/>
      <w:jc w:val="left"/>
    </w:pPr>
    <w:rPr>
      <w:rFonts w:ascii="宋体" w:eastAsia="黑体" w:hAnsi="Arial" w:cs="宋体"/>
      <w:b w:val="0"/>
      <w:bCs w:val="0"/>
      <w:snapToGrid w:val="0"/>
      <w:color w:val="000000"/>
      <w:kern w:val="0"/>
      <w:sz w:val="32"/>
      <w:szCs w:val="20"/>
    </w:rPr>
  </w:style>
  <w:style w:type="paragraph" w:customStyle="1" w:styleId="affffffffffffffffffffffffffffffff7">
    <w:name w:val="五号字表格"/>
    <w:basedOn w:val="1fd"/>
    <w:pPr>
      <w:widowControl w:val="0"/>
      <w:spacing w:line="240" w:lineRule="auto"/>
      <w:ind w:left="-29" w:firstLineChars="200" w:firstLine="560"/>
      <w:textAlignment w:val="auto"/>
    </w:pPr>
    <w:rPr>
      <w:lang w:val="en-US" w:eastAsia="zh-CN"/>
    </w:rPr>
  </w:style>
  <w:style w:type="paragraph" w:customStyle="1" w:styleId="affffffffffffffffffffffffffffffff8">
    <w:name w:val="五号表格"/>
    <w:next w:val="a0"/>
    <w:rPr>
      <w:rFonts w:ascii="宋体"/>
      <w:sz w:val="21"/>
    </w:rPr>
  </w:style>
  <w:style w:type="paragraph" w:customStyle="1" w:styleId="affffffffffffffffffffffffffffffff9">
    <w:name w:val="文本居中"/>
    <w:basedOn w:val="a0"/>
    <w:pPr>
      <w:adjustRightInd w:val="0"/>
      <w:spacing w:line="360" w:lineRule="auto"/>
      <w:ind w:left="-29" w:firstLineChars="200" w:firstLine="560"/>
      <w:jc w:val="center"/>
    </w:pPr>
    <w:rPr>
      <w:kern w:val="0"/>
      <w:szCs w:val="21"/>
    </w:rPr>
  </w:style>
  <w:style w:type="paragraph" w:customStyle="1" w:styleId="affffffffffffffffffffffffffffffffa">
    <w:name w:val="通知首行"/>
    <w:pPr>
      <w:spacing w:line="360" w:lineRule="auto"/>
    </w:pPr>
    <w:rPr>
      <w:rFonts w:eastAsia="黑体"/>
      <w:b/>
      <w:sz w:val="24"/>
    </w:rPr>
  </w:style>
  <w:style w:type="paragraph" w:customStyle="1" w:styleId="515Char1CharChar5-50">
    <w:name w:val="样式 标题 51)项标题 5 Char1) Char项 Char标5可研-标题 5 + 首行缩进:  0 字符"/>
    <w:basedOn w:val="5"/>
    <w:pPr>
      <w:keepNext w:val="0"/>
      <w:keepLines w:val="0"/>
      <w:tabs>
        <w:tab w:val="left" w:pos="628"/>
        <w:tab w:val="left" w:pos="1727"/>
        <w:tab w:val="left" w:pos="1884"/>
        <w:tab w:val="left" w:pos="4340"/>
        <w:tab w:val="left" w:pos="4900"/>
      </w:tabs>
      <w:snapToGrid w:val="0"/>
      <w:spacing w:line="360" w:lineRule="auto"/>
      <w:ind w:firstLineChars="200" w:firstLine="567"/>
    </w:pPr>
    <w:rPr>
      <w:rFonts w:ascii="Arial" w:eastAsia="黑体" w:hAnsi="Arial" w:cs="宋体"/>
      <w:b w:val="0"/>
      <w:bCs w:val="0"/>
      <w:snapToGrid w:val="0"/>
      <w:color w:val="000000"/>
      <w:spacing w:val="-10"/>
      <w:kern w:val="24"/>
      <w:sz w:val="32"/>
      <w:szCs w:val="20"/>
    </w:rPr>
  </w:style>
  <w:style w:type="paragraph" w:customStyle="1" w:styleId="21f5">
    <w:name w:val="样式 正文首行缩进 + 首行缩进:  2 字符1"/>
    <w:basedOn w:val="aff7"/>
    <w:pPr>
      <w:tabs>
        <w:tab w:val="left" w:pos="628"/>
        <w:tab w:val="left" w:pos="1727"/>
        <w:tab w:val="left" w:pos="1884"/>
        <w:tab w:val="left" w:pos="4900"/>
      </w:tabs>
      <w:adjustRightInd w:val="0"/>
      <w:snapToGrid w:val="0"/>
      <w:spacing w:after="0" w:line="360" w:lineRule="auto"/>
      <w:ind w:firstLineChars="200" w:firstLine="200"/>
    </w:pPr>
    <w:rPr>
      <w:rFonts w:cs="宋体"/>
      <w:sz w:val="28"/>
      <w:szCs w:val="20"/>
      <w:lang w:val="en-US" w:eastAsia="zh-CN"/>
    </w:rPr>
  </w:style>
  <w:style w:type="paragraph" w:customStyle="1" w:styleId="680505">
    <w:name w:val="样式 标题 6无节标题8二级项 + 段前: 0.5 行 段后: 0.5 行"/>
    <w:basedOn w:val="6"/>
    <w:pPr>
      <w:keepNext w:val="0"/>
      <w:tabs>
        <w:tab w:val="left" w:pos="628"/>
        <w:tab w:val="left" w:pos="1727"/>
        <w:tab w:val="left" w:pos="1884"/>
        <w:tab w:val="left" w:pos="4900"/>
      </w:tabs>
      <w:adjustRightInd w:val="0"/>
      <w:snapToGrid w:val="0"/>
      <w:spacing w:beforeLines="50" w:afterLines="50" w:line="240" w:lineRule="auto"/>
      <w:ind w:left="-607" w:firstLine="567"/>
      <w:jc w:val="center"/>
    </w:pPr>
    <w:rPr>
      <w:rFonts w:ascii="宋体" w:hAnsi="Arial" w:cs="宋体"/>
      <w:b w:val="0"/>
      <w:bCs w:val="0"/>
      <w:snapToGrid w:val="0"/>
      <w:kern w:val="24"/>
      <w:sz w:val="28"/>
      <w:szCs w:val="20"/>
    </w:rPr>
  </w:style>
  <w:style w:type="paragraph" w:customStyle="1" w:styleId="22c">
    <w:name w:val="样式 正文首行缩进 + 首行缩进:  2 字符2"/>
    <w:basedOn w:val="aff7"/>
    <w:pPr>
      <w:tabs>
        <w:tab w:val="left" w:pos="628"/>
        <w:tab w:val="left" w:pos="1727"/>
        <w:tab w:val="left" w:pos="1884"/>
        <w:tab w:val="left" w:pos="4900"/>
      </w:tabs>
      <w:adjustRightInd w:val="0"/>
      <w:snapToGrid w:val="0"/>
      <w:spacing w:after="0" w:line="360" w:lineRule="auto"/>
      <w:ind w:firstLineChars="200" w:firstLine="422"/>
    </w:pPr>
    <w:rPr>
      <w:rFonts w:cs="宋体"/>
      <w:sz w:val="28"/>
      <w:szCs w:val="20"/>
      <w:lang w:val="en-US" w:eastAsia="zh-CN"/>
    </w:rPr>
  </w:style>
  <w:style w:type="paragraph" w:customStyle="1" w:styleId="21f6">
    <w:name w:val="样式 首行缩进:  2 字符1"/>
    <w:basedOn w:val="a0"/>
    <w:pPr>
      <w:spacing w:line="360" w:lineRule="auto"/>
      <w:ind w:left="-29" w:firstLineChars="200" w:firstLine="420"/>
      <w:jc w:val="left"/>
    </w:pPr>
    <w:rPr>
      <w:rFonts w:cs="宋体"/>
      <w:kern w:val="0"/>
      <w:sz w:val="28"/>
      <w:szCs w:val="20"/>
    </w:rPr>
  </w:style>
  <w:style w:type="paragraph" w:customStyle="1" w:styleId="231">
    <w:name w:val="样式 正文首行缩进 + 首行缩进:  2 字符3"/>
    <w:basedOn w:val="aff7"/>
    <w:pPr>
      <w:tabs>
        <w:tab w:val="left" w:pos="628"/>
        <w:tab w:val="left" w:pos="1727"/>
        <w:tab w:val="left" w:pos="1884"/>
        <w:tab w:val="left" w:pos="4900"/>
      </w:tabs>
      <w:adjustRightInd w:val="0"/>
      <w:snapToGrid w:val="0"/>
      <w:spacing w:after="0" w:line="360" w:lineRule="auto"/>
      <w:ind w:firstLineChars="200" w:firstLine="200"/>
    </w:pPr>
    <w:rPr>
      <w:rFonts w:cs="宋体"/>
      <w:sz w:val="28"/>
      <w:szCs w:val="20"/>
      <w:lang w:val="en-US" w:eastAsia="zh-CN"/>
    </w:rPr>
  </w:style>
  <w:style w:type="paragraph" w:customStyle="1" w:styleId="2120">
    <w:name w:val="样式 样式 首行缩进:  2 字符1 + 首行缩进:  2 字符"/>
    <w:basedOn w:val="21f6"/>
    <w:pPr>
      <w:ind w:left="0" w:firstLine="200"/>
    </w:pPr>
  </w:style>
  <w:style w:type="character" w:customStyle="1" w:styleId="-2Char">
    <w:name w:val="样式 正文首行缩进可研-正文首行缩进 + 首行缩进:  2 字符 Char"/>
    <w:link w:val="-22"/>
    <w:locked/>
    <w:rPr>
      <w:rFonts w:ascii="宋体" w:hAnsi="宋体" w:cs="宋体"/>
    </w:rPr>
  </w:style>
  <w:style w:type="paragraph" w:customStyle="1" w:styleId="-22">
    <w:name w:val="样式 正文首行缩进可研-正文首行缩进 + 首行缩进:  2 字符"/>
    <w:basedOn w:val="aff7"/>
    <w:link w:val="-2Char"/>
    <w:pPr>
      <w:keepNext/>
      <w:tabs>
        <w:tab w:val="left" w:pos="628"/>
        <w:tab w:val="left" w:pos="1727"/>
        <w:tab w:val="left" w:pos="1884"/>
        <w:tab w:val="left" w:pos="4900"/>
      </w:tabs>
      <w:snapToGrid w:val="0"/>
      <w:spacing w:after="0" w:line="360" w:lineRule="auto"/>
      <w:ind w:firstLineChars="200" w:firstLine="200"/>
    </w:pPr>
    <w:rPr>
      <w:rFonts w:ascii="宋体" w:hAnsi="宋体"/>
      <w:kern w:val="0"/>
      <w:sz w:val="20"/>
      <w:szCs w:val="20"/>
    </w:rPr>
  </w:style>
  <w:style w:type="character" w:customStyle="1" w:styleId="Charfffffff0">
    <w:name w:val="题注新 Char"/>
    <w:link w:val="affffffffffffffffffffffffffffffffb"/>
    <w:locked/>
    <w:rPr>
      <w:rFonts w:ascii="宋体" w:eastAsia="黑体" w:hAnsi="宋体"/>
      <w:bCs/>
      <w:color w:val="000000"/>
      <w:sz w:val="24"/>
      <w:szCs w:val="24"/>
    </w:rPr>
  </w:style>
  <w:style w:type="paragraph" w:customStyle="1" w:styleId="affffffffffffffffffffffffffffffffb">
    <w:name w:val="题注新"/>
    <w:basedOn w:val="aa"/>
    <w:link w:val="Charfffffff0"/>
    <w:pPr>
      <w:keepNext/>
      <w:adjustRightInd w:val="0"/>
      <w:spacing w:line="360" w:lineRule="auto"/>
      <w:jc w:val="center"/>
    </w:pPr>
    <w:rPr>
      <w:rFonts w:ascii="宋体" w:hAnsi="宋体"/>
      <w:bCs/>
      <w:color w:val="000000"/>
      <w:kern w:val="0"/>
      <w:sz w:val="24"/>
      <w:szCs w:val="24"/>
    </w:rPr>
  </w:style>
  <w:style w:type="paragraph" w:customStyle="1" w:styleId="21f7">
    <w:name w:val="样式 表格文字居中 + 首行缩进:  2 字符1"/>
    <w:basedOn w:val="affff3"/>
    <w:pPr>
      <w:tabs>
        <w:tab w:val="clear" w:pos="180"/>
        <w:tab w:val="clear" w:pos="279"/>
      </w:tabs>
      <w:adjustRightInd w:val="0"/>
      <w:snapToGrid w:val="0"/>
      <w:spacing w:line="360" w:lineRule="auto"/>
      <w:ind w:left="560" w:right="0"/>
    </w:pPr>
    <w:rPr>
      <w:rFonts w:ascii="宋体" w:cs="宋体" w:hint="eastAsia"/>
      <w:kern w:val="0"/>
      <w:sz w:val="24"/>
      <w:lang w:val="en-US" w:eastAsia="zh-CN"/>
    </w:rPr>
  </w:style>
  <w:style w:type="character" w:customStyle="1" w:styleId="mytableCharChar">
    <w:name w:val="my table Char Char"/>
    <w:link w:val="mytable"/>
    <w:locked/>
    <w:rPr>
      <w:rFonts w:ascii="宋体" w:hAnsi="Arial"/>
      <w:bCs/>
      <w:color w:val="000000"/>
      <w:sz w:val="24"/>
      <w:szCs w:val="28"/>
    </w:rPr>
  </w:style>
  <w:style w:type="paragraph" w:customStyle="1" w:styleId="mytable">
    <w:name w:val="my table"/>
    <w:basedOn w:val="4"/>
    <w:link w:val="mytableCharChar"/>
    <w:pPr>
      <w:keepNext w:val="0"/>
      <w:keepLines w:val="0"/>
      <w:numPr>
        <w:ilvl w:val="3"/>
      </w:numPr>
      <w:adjustRightInd w:val="0"/>
      <w:snapToGrid w:val="0"/>
      <w:spacing w:line="360" w:lineRule="auto"/>
      <w:ind w:firstLineChars="200" w:firstLine="560"/>
      <w:jc w:val="both"/>
    </w:pPr>
    <w:rPr>
      <w:rFonts w:ascii="宋体" w:eastAsia="宋体"/>
      <w:b w:val="0"/>
      <w:color w:val="000000"/>
      <w:kern w:val="0"/>
      <w:lang w:val="x-none" w:eastAsia="x-none"/>
    </w:rPr>
  </w:style>
  <w:style w:type="paragraph" w:customStyle="1" w:styleId="21121122Char1Heading22115">
    <w:name w:val="样式 标题 21.1标题 21.1标题2标题 2 Char1节_Heading 2标2二级标题1.1标题可..."/>
    <w:basedOn w:val="2"/>
    <w:pPr>
      <w:numPr>
        <w:ilvl w:val="1"/>
      </w:numPr>
      <w:spacing w:beforeLines="50" w:afterLines="50" w:line="240" w:lineRule="auto"/>
      <w:jc w:val="both"/>
    </w:pPr>
    <w:rPr>
      <w:rFonts w:eastAsia="宋体" w:cs="宋体"/>
      <w:b w:val="0"/>
      <w:sz w:val="28"/>
      <w:szCs w:val="20"/>
    </w:rPr>
  </w:style>
  <w:style w:type="paragraph" w:customStyle="1" w:styleId="31113CharChar3Char3111111-1">
    <w:name w:val="样式 样式 标题 31.1.1条标题 3 Char Char标题 3 Char标3§1.1.1.. (1.1.1)- ... +..."/>
    <w:basedOn w:val="31113CharChar3Char3111111-0"/>
    <w:pPr>
      <w:adjustRightInd/>
      <w:snapToGrid/>
      <w:spacing w:beforeLines="50"/>
      <w:ind w:leftChars="50" w:left="50"/>
    </w:pPr>
    <w:rPr>
      <w:rFonts w:ascii="Arial" w:hAnsi="Arial" w:cs="宋体"/>
      <w:szCs w:val="20"/>
    </w:rPr>
  </w:style>
  <w:style w:type="paragraph" w:customStyle="1" w:styleId="31113CharChar3Char3111111-2">
    <w:name w:val="样式 样式 样式 标题 31.1.1条标题 3 Char Char标题 3 Char标3§1.1.1.. (1.1.1)- ....."/>
    <w:basedOn w:val="31113CharChar3Char3111111-1"/>
    <w:pPr>
      <w:adjustRightInd w:val="0"/>
      <w:snapToGrid w:val="0"/>
      <w:contextualSpacing/>
    </w:pPr>
  </w:style>
  <w:style w:type="paragraph" w:customStyle="1" w:styleId="31113CharChar3Char3111111-3">
    <w:name w:val="样式 样式 样式 样式 标题 31.1.1条标题 3 Char Char标题 3 Char标3§1.1.1.. (1.1.1)-..."/>
    <w:basedOn w:val="31113CharChar3Char3111111-2"/>
    <w:pPr>
      <w:numPr>
        <w:numId w:val="26"/>
      </w:numPr>
      <w:tabs>
        <w:tab w:val="clear" w:pos="1884"/>
        <w:tab w:val="left" w:pos="360"/>
        <w:tab w:val="left" w:pos="1260"/>
        <w:tab w:val="left" w:pos="1860"/>
      </w:tabs>
      <w:ind w:leftChars="0" w:left="0" w:hanging="420"/>
    </w:pPr>
  </w:style>
  <w:style w:type="paragraph" w:customStyle="1" w:styleId="11Char1-1PartH1H11H12H13H111H121H">
    <w:name w:val="样式 标题 1标题 1 Char标1第一章可研-标题 1PartH1H11H12H13H111H121H..."/>
    <w:basedOn w:val="1"/>
    <w:pPr>
      <w:keepNext w:val="0"/>
      <w:widowControl/>
      <w:numPr>
        <w:numId w:val="27"/>
      </w:numPr>
      <w:tabs>
        <w:tab w:val="left" w:pos="360"/>
        <w:tab w:val="left" w:pos="425"/>
      </w:tabs>
      <w:spacing w:beforeLines="0" w:before="0" w:afterLines="0" w:after="0" w:line="240" w:lineRule="auto"/>
      <w:ind w:left="850" w:firstLine="200"/>
      <w:jc w:val="left"/>
    </w:pPr>
    <w:rPr>
      <w:rFonts w:eastAsia="宋体" w:hAnsi="Times New Roman" w:cs="宋体"/>
      <w:b w:val="0"/>
      <w:sz w:val="28"/>
      <w:szCs w:val="20"/>
    </w:rPr>
  </w:style>
  <w:style w:type="paragraph" w:customStyle="1" w:styleId="21121122Char12Heading2111">
    <w:name w:val="样式 标题 21.1标题 21.1标题2标题 2 Char1节标2_Heading 2二级标题1.1标题编...1"/>
    <w:basedOn w:val="2"/>
    <w:pPr>
      <w:numPr>
        <w:ilvl w:val="1"/>
      </w:numPr>
      <w:tabs>
        <w:tab w:val="left" w:pos="628"/>
        <w:tab w:val="left" w:pos="1727"/>
        <w:tab w:val="left" w:pos="1884"/>
        <w:tab w:val="left" w:pos="4900"/>
      </w:tabs>
      <w:snapToGrid w:val="0"/>
      <w:spacing w:beforeLines="50" w:afterLines="50" w:line="240" w:lineRule="auto"/>
    </w:pPr>
    <w:rPr>
      <w:rFonts w:cs="宋体"/>
      <w:b w:val="0"/>
      <w:kern w:val="0"/>
      <w:sz w:val="28"/>
      <w:szCs w:val="20"/>
    </w:rPr>
  </w:style>
  <w:style w:type="paragraph" w:customStyle="1" w:styleId="21121122Char1Heading221110">
    <w:name w:val="样式 标题 21.1标题 21.1标题2标题 2 Char1节_Heading 2标2二级标题1.1标题一...1"/>
    <w:basedOn w:val="2"/>
    <w:pPr>
      <w:numPr>
        <w:ilvl w:val="1"/>
      </w:numPr>
      <w:spacing w:beforeLines="50" w:afterLines="50" w:line="240" w:lineRule="auto"/>
    </w:pPr>
    <w:rPr>
      <w:rFonts w:cs="宋体"/>
      <w:b w:val="0"/>
      <w:sz w:val="28"/>
      <w:szCs w:val="20"/>
    </w:rPr>
  </w:style>
  <w:style w:type="paragraph" w:customStyle="1" w:styleId="-210">
    <w:name w:val="样式 正文首行缩进可研-正文首行缩进 + 首行缩进:  2 字符1"/>
    <w:basedOn w:val="aff7"/>
    <w:pPr>
      <w:keepNext/>
      <w:tabs>
        <w:tab w:val="left" w:pos="628"/>
        <w:tab w:val="left" w:pos="1727"/>
        <w:tab w:val="left" w:pos="1884"/>
        <w:tab w:val="left" w:pos="2660"/>
        <w:tab w:val="left" w:pos="4325"/>
      </w:tabs>
      <w:adjustRightInd w:val="0"/>
      <w:snapToGrid w:val="0"/>
      <w:spacing w:after="0" w:line="360" w:lineRule="auto"/>
      <w:ind w:firstLineChars="200" w:firstLine="560"/>
    </w:pPr>
    <w:rPr>
      <w:rFonts w:cs="宋体"/>
      <w:color w:val="000000"/>
      <w:sz w:val="28"/>
      <w:szCs w:val="20"/>
      <w:lang w:val="en-US" w:eastAsia="zh-CN"/>
    </w:rPr>
  </w:style>
  <w:style w:type="paragraph" w:customStyle="1" w:styleId="-01">
    <w:name w:val="样式 表格文字中 + 左侧:  -0.1 字符"/>
    <w:basedOn w:val="afffffffffffffff"/>
    <w:pPr>
      <w:keepNext w:val="0"/>
      <w:autoSpaceDE w:val="0"/>
      <w:autoSpaceDN w:val="0"/>
      <w:spacing w:before="0" w:line="360" w:lineRule="auto"/>
      <w:ind w:left="-10"/>
      <w:outlineLvl w:val="9"/>
    </w:pPr>
    <w:rPr>
      <w:rFonts w:cs="宋体"/>
      <w:snapToGrid/>
      <w:color w:val="000000"/>
      <w:lang w:val="zh-CN"/>
    </w:rPr>
  </w:style>
  <w:style w:type="paragraph" w:customStyle="1" w:styleId="21121122Char12Heading202">
    <w:name w:val="样式 标题 21.1标题 21.1标题2标题 2 Char1节标2_Heading 2一级条 + 段前: 0....2"/>
    <w:basedOn w:val="a0"/>
    <w:next w:val="aff7"/>
    <w:pPr>
      <w:keepNext/>
      <w:numPr>
        <w:numId w:val="28"/>
      </w:numPr>
      <w:tabs>
        <w:tab w:val="left" w:pos="360"/>
      </w:tabs>
      <w:autoSpaceDE w:val="0"/>
      <w:autoSpaceDN w:val="0"/>
      <w:adjustRightInd w:val="0"/>
      <w:spacing w:before="120" w:after="120" w:line="360" w:lineRule="auto"/>
      <w:ind w:firstLine="200"/>
      <w:jc w:val="left"/>
    </w:pPr>
    <w:rPr>
      <w:rFonts w:ascii="宋体" w:hAnsi="Calibri" w:cs="宋体"/>
      <w:color w:val="000000"/>
      <w:sz w:val="28"/>
      <w:szCs w:val="28"/>
      <w:lang w:val="zh-CN"/>
    </w:rPr>
  </w:style>
  <w:style w:type="paragraph" w:customStyle="1" w:styleId="21121122Char12Heading203">
    <w:name w:val="样式 标题 21.1标题 21.1标题2标题 2 Char1节标2_Heading 2一级条 + 段前: 0....3"/>
    <w:basedOn w:val="aff7"/>
    <w:next w:val="aff7"/>
    <w:pPr>
      <w:numPr>
        <w:numId w:val="29"/>
      </w:numPr>
      <w:tabs>
        <w:tab w:val="left" w:pos="360"/>
        <w:tab w:val="left" w:pos="628"/>
        <w:tab w:val="left" w:pos="1727"/>
        <w:tab w:val="left" w:pos="1884"/>
        <w:tab w:val="left" w:pos="4900"/>
      </w:tabs>
      <w:autoSpaceDE w:val="0"/>
      <w:autoSpaceDN w:val="0"/>
      <w:adjustRightInd w:val="0"/>
      <w:spacing w:beforeLines="50" w:afterLines="50" w:line="360" w:lineRule="auto"/>
      <w:ind w:left="-420" w:firstLineChars="0"/>
      <w:jc w:val="left"/>
    </w:pPr>
    <w:rPr>
      <w:rFonts w:ascii="宋体" w:eastAsia="黑体" w:cs="宋体"/>
      <w:color w:val="000000"/>
      <w:sz w:val="28"/>
      <w:szCs w:val="28"/>
      <w:lang w:val="zh-CN" w:eastAsia="zh-CN"/>
    </w:rPr>
  </w:style>
  <w:style w:type="paragraph" w:customStyle="1" w:styleId="21121122Char12Heading21">
    <w:name w:val="样式 标题 21.1标题 21.1标题2标题 2 Char1节标2_Heading 2一级条 + 行距: 1...."/>
    <w:basedOn w:val="2"/>
    <w:pPr>
      <w:keepNext w:val="0"/>
      <w:numPr>
        <w:ilvl w:val="1"/>
      </w:numPr>
      <w:autoSpaceDE w:val="0"/>
      <w:autoSpaceDN w:val="0"/>
      <w:adjustRightInd w:val="0"/>
      <w:snapToGrid w:val="0"/>
      <w:spacing w:beforeLines="50" w:afterLines="50" w:line="240" w:lineRule="auto"/>
    </w:pPr>
    <w:rPr>
      <w:rFonts w:cs="黑体"/>
      <w:b w:val="0"/>
      <w:color w:val="000000"/>
      <w:sz w:val="28"/>
      <w:szCs w:val="28"/>
      <w:lang w:val="zh-CN"/>
    </w:rPr>
  </w:style>
  <w:style w:type="paragraph" w:customStyle="1" w:styleId="11Char105053">
    <w:name w:val="样式 标题 1标题 1 Char标1章 + 段前: 0.5 行 段后: 0.5 行"/>
    <w:basedOn w:val="a0"/>
    <w:next w:val="aff7"/>
    <w:pPr>
      <w:keepNext/>
      <w:autoSpaceDE w:val="0"/>
      <w:autoSpaceDN w:val="0"/>
      <w:adjustRightInd w:val="0"/>
      <w:spacing w:beforeLines="50" w:afterLines="50" w:line="360" w:lineRule="auto"/>
      <w:jc w:val="left"/>
    </w:pPr>
    <w:rPr>
      <w:rFonts w:ascii="宋体" w:hAnsi="Calibri" w:cs="宋体"/>
      <w:color w:val="000000"/>
      <w:sz w:val="28"/>
      <w:szCs w:val="20"/>
      <w:lang w:val="zh-CN"/>
    </w:rPr>
  </w:style>
  <w:style w:type="paragraph" w:customStyle="1" w:styleId="11Char1050510">
    <w:name w:val="样式 标题 1标题 1 Char标1章 + 段前: 0.5 行 段后: 0.5 行1"/>
    <w:basedOn w:val="1"/>
    <w:pPr>
      <w:autoSpaceDE w:val="0"/>
      <w:autoSpaceDN w:val="0"/>
      <w:adjustRightInd w:val="0"/>
      <w:spacing w:beforeLines="0" w:before="0" w:afterLines="0" w:after="0" w:line="240" w:lineRule="auto"/>
      <w:jc w:val="both"/>
    </w:pPr>
    <w:rPr>
      <w:rFonts w:hAnsi="Arial" w:cs="宋体"/>
      <w:b w:val="0"/>
      <w:color w:val="000000"/>
      <w:kern w:val="24"/>
      <w:sz w:val="28"/>
      <w:szCs w:val="20"/>
      <w:lang w:val="zh-CN"/>
    </w:rPr>
  </w:style>
  <w:style w:type="paragraph" w:customStyle="1" w:styleId="2ffffff7">
    <w:name w:val="样式 注意 + 首行缩进:  2 字符"/>
    <w:basedOn w:val="aff7"/>
    <w:next w:val="aff7"/>
    <w:pPr>
      <w:tabs>
        <w:tab w:val="left" w:pos="628"/>
        <w:tab w:val="left" w:pos="1727"/>
        <w:tab w:val="left" w:pos="1884"/>
        <w:tab w:val="left" w:pos="4900"/>
      </w:tabs>
      <w:autoSpaceDE w:val="0"/>
      <w:autoSpaceDN w:val="0"/>
      <w:adjustRightInd w:val="0"/>
      <w:snapToGrid w:val="0"/>
      <w:spacing w:after="0" w:line="360" w:lineRule="auto"/>
      <w:ind w:left="-28" w:firstLineChars="0" w:firstLine="480"/>
      <w:jc w:val="left"/>
    </w:pPr>
    <w:rPr>
      <w:rFonts w:ascii="楷体_GB2312" w:eastAsia="楷体_GB2312" w:cs="宋体"/>
      <w:color w:val="000000"/>
      <w:sz w:val="24"/>
      <w:lang w:val="zh-CN" w:eastAsia="zh-CN"/>
    </w:rPr>
  </w:style>
  <w:style w:type="paragraph" w:customStyle="1" w:styleId="22d">
    <w:name w:val="样式 样式 注意 + 首行缩进:  2 字符 + 首行缩进:  2 字符"/>
    <w:basedOn w:val="aff7"/>
    <w:next w:val="aff7"/>
    <w:pPr>
      <w:tabs>
        <w:tab w:val="left" w:pos="628"/>
        <w:tab w:val="left" w:pos="1727"/>
        <w:tab w:val="left" w:pos="1884"/>
        <w:tab w:val="left" w:pos="4900"/>
      </w:tabs>
      <w:autoSpaceDE w:val="0"/>
      <w:autoSpaceDN w:val="0"/>
      <w:adjustRightInd w:val="0"/>
      <w:snapToGrid w:val="0"/>
      <w:spacing w:after="0" w:line="360" w:lineRule="auto"/>
      <w:ind w:left="-28" w:firstLineChars="0" w:firstLine="480"/>
      <w:jc w:val="left"/>
    </w:pPr>
    <w:rPr>
      <w:rFonts w:ascii="楷体_GB2312" w:eastAsia="楷体_GB2312" w:cs="宋体"/>
      <w:color w:val="000000"/>
      <w:sz w:val="24"/>
      <w:lang w:val="zh-CN" w:eastAsia="zh-CN"/>
    </w:rPr>
  </w:style>
  <w:style w:type="paragraph" w:customStyle="1" w:styleId="21121122Char12Heading20">
    <w:name w:val="样式 标题 21.1标题 21.1标题2标题 2 Char1节标2_Heading 2一级条 + 段前: 0...."/>
    <w:basedOn w:val="2"/>
    <w:pPr>
      <w:keepNext w:val="0"/>
      <w:numPr>
        <w:ilvl w:val="1"/>
      </w:numPr>
      <w:autoSpaceDE w:val="0"/>
      <w:autoSpaceDN w:val="0"/>
      <w:adjustRightInd w:val="0"/>
      <w:snapToGrid w:val="0"/>
      <w:spacing w:beforeLines="50" w:afterLines="50" w:line="240" w:lineRule="auto"/>
    </w:pPr>
    <w:rPr>
      <w:rFonts w:cs="宋体"/>
      <w:b w:val="0"/>
      <w:color w:val="000000"/>
      <w:sz w:val="28"/>
      <w:szCs w:val="20"/>
      <w:lang w:val="zh-CN"/>
    </w:rPr>
  </w:style>
  <w:style w:type="paragraph" w:customStyle="1" w:styleId="21121122Char12Heading201">
    <w:name w:val="样式 标题 21.1标题 21.1标题2标题 2 Char1节标2_Heading 2一级条 + 段前: 0....1"/>
    <w:basedOn w:val="a0"/>
    <w:next w:val="aff7"/>
    <w:pPr>
      <w:keepNext/>
      <w:autoSpaceDE w:val="0"/>
      <w:autoSpaceDN w:val="0"/>
      <w:adjustRightInd w:val="0"/>
      <w:spacing w:before="156" w:after="156" w:line="360" w:lineRule="auto"/>
      <w:ind w:firstLineChars="200" w:firstLine="560"/>
      <w:jc w:val="left"/>
    </w:pPr>
    <w:rPr>
      <w:rFonts w:ascii="宋体" w:hAnsi="Calibri" w:cs="宋体"/>
      <w:kern w:val="0"/>
      <w:sz w:val="28"/>
      <w:szCs w:val="20"/>
      <w:lang w:val="zh-CN"/>
    </w:rPr>
  </w:style>
  <w:style w:type="paragraph" w:customStyle="1" w:styleId="21121122Char12Heading204">
    <w:name w:val="样式 标题 21.1标题 21.1标题2标题 2 Char1节标2_Heading 2一级条 + 段前: 0....4"/>
    <w:basedOn w:val="a0"/>
    <w:next w:val="aff7"/>
    <w:pPr>
      <w:keepNext/>
      <w:autoSpaceDE w:val="0"/>
      <w:autoSpaceDN w:val="0"/>
      <w:adjustRightInd w:val="0"/>
      <w:spacing w:before="156" w:after="156" w:line="360" w:lineRule="auto"/>
      <w:ind w:firstLineChars="200" w:firstLine="560"/>
      <w:jc w:val="left"/>
    </w:pPr>
    <w:rPr>
      <w:rFonts w:ascii="宋体" w:hAnsi="Calibri" w:cs="宋体"/>
      <w:kern w:val="0"/>
      <w:sz w:val="28"/>
      <w:szCs w:val="20"/>
      <w:lang w:val="zh-CN"/>
    </w:rPr>
  </w:style>
  <w:style w:type="paragraph" w:customStyle="1" w:styleId="21121122Char12Heading205">
    <w:name w:val="样式 标题 21.1标题 21.1标题2标题 2 Char1节标2_Heading 2一级条 + 段前: 0....5"/>
    <w:basedOn w:val="2"/>
    <w:next w:val="aff7"/>
    <w:pPr>
      <w:keepNext w:val="0"/>
      <w:numPr>
        <w:ilvl w:val="1"/>
      </w:numPr>
      <w:autoSpaceDE w:val="0"/>
      <w:autoSpaceDN w:val="0"/>
      <w:adjustRightInd w:val="0"/>
      <w:snapToGrid w:val="0"/>
      <w:spacing w:beforeLines="50" w:afterLines="50" w:line="240" w:lineRule="auto"/>
    </w:pPr>
    <w:rPr>
      <w:rFonts w:cs="宋体"/>
      <w:b w:val="0"/>
      <w:color w:val="000000"/>
      <w:sz w:val="28"/>
      <w:szCs w:val="20"/>
      <w:lang w:val="zh-CN"/>
    </w:rPr>
  </w:style>
  <w:style w:type="paragraph" w:customStyle="1" w:styleId="-006">
    <w:name w:val="样式 表格文字居中 + 右侧:  -0.06 字符"/>
    <w:basedOn w:val="a0"/>
    <w:next w:val="aff7"/>
    <w:pPr>
      <w:keepNext/>
      <w:autoSpaceDE w:val="0"/>
      <w:autoSpaceDN w:val="0"/>
      <w:adjustRightInd w:val="0"/>
      <w:spacing w:line="360" w:lineRule="auto"/>
      <w:ind w:left="-28" w:right="-17" w:firstLineChars="200" w:firstLine="200"/>
      <w:jc w:val="left"/>
    </w:pPr>
    <w:rPr>
      <w:rFonts w:ascii="宋体" w:hAnsi="Calibri" w:cs="宋体"/>
      <w:color w:val="000000"/>
      <w:sz w:val="28"/>
      <w:szCs w:val="20"/>
      <w:lang w:val="zh-CN"/>
    </w:rPr>
  </w:style>
  <w:style w:type="paragraph" w:customStyle="1" w:styleId="31113CharChar3Char30">
    <w:name w:val="样式 标题 31.1.1条标题 3 Char Char标题 3 Char标3 + 两端对齐"/>
    <w:basedOn w:val="3"/>
    <w:pPr>
      <w:keepNext w:val="0"/>
      <w:numPr>
        <w:ilvl w:val="2"/>
      </w:numPr>
      <w:tabs>
        <w:tab w:val="left" w:pos="628"/>
        <w:tab w:val="left" w:pos="1727"/>
        <w:tab w:val="left" w:pos="1884"/>
        <w:tab w:val="left" w:pos="4900"/>
      </w:tabs>
      <w:autoSpaceDE w:val="0"/>
      <w:autoSpaceDN w:val="0"/>
      <w:spacing w:beforeLines="50"/>
      <w:jc w:val="both"/>
    </w:pPr>
    <w:rPr>
      <w:rFonts w:ascii="宋体" w:eastAsia="宋体" w:hAnsi="Arial" w:cs="宋体"/>
      <w:b w:val="0"/>
      <w:bCs w:val="0"/>
      <w:color w:val="000000"/>
      <w:sz w:val="28"/>
      <w:szCs w:val="28"/>
    </w:rPr>
  </w:style>
  <w:style w:type="paragraph" w:customStyle="1" w:styleId="21121122Char1Heading220">
    <w:name w:val="样式 标题 21.1标题 21.1标题2标题 2 Char1节_Heading 2标2 + 两端对齐"/>
    <w:basedOn w:val="2"/>
    <w:pPr>
      <w:keepNext w:val="0"/>
      <w:keepLines/>
      <w:numPr>
        <w:ilvl w:val="1"/>
      </w:numPr>
      <w:tabs>
        <w:tab w:val="left" w:pos="576"/>
      </w:tabs>
      <w:snapToGrid w:val="0"/>
      <w:spacing w:line="240" w:lineRule="auto"/>
      <w:ind w:left="576" w:hanging="576"/>
      <w:jc w:val="both"/>
    </w:pPr>
    <w:rPr>
      <w:rFonts w:cs="宋体"/>
      <w:b w:val="0"/>
      <w:bCs w:val="0"/>
      <w:sz w:val="28"/>
      <w:szCs w:val="28"/>
    </w:rPr>
  </w:style>
  <w:style w:type="paragraph" w:customStyle="1" w:styleId="41111411114Char1111Char42">
    <w:name w:val="样式 标题 41.1.1.1标题 4.1.1.1.1标题 4 Char款1.1.1.1 Char标4 + 两端对齐"/>
    <w:basedOn w:val="4"/>
    <w:pPr>
      <w:keepNext w:val="0"/>
      <w:keepLines w:val="0"/>
      <w:numPr>
        <w:ilvl w:val="3"/>
      </w:numPr>
      <w:spacing w:line="360" w:lineRule="auto"/>
      <w:jc w:val="both"/>
    </w:pPr>
    <w:rPr>
      <w:rFonts w:ascii="宋体" w:eastAsia="宋体" w:cs="宋体"/>
      <w:b w:val="0"/>
      <w:bCs w:val="0"/>
      <w:color w:val="000000"/>
      <w:sz w:val="28"/>
    </w:rPr>
  </w:style>
  <w:style w:type="paragraph" w:customStyle="1" w:styleId="2ffffff8">
    <w:name w:val="样式 注意 + 小四 首行缩进:  2 字符"/>
    <w:basedOn w:val="affffffffffffffffffffffffffffff3"/>
    <w:pPr>
      <w:autoSpaceDE w:val="0"/>
      <w:autoSpaceDN w:val="0"/>
      <w:adjustRightInd w:val="0"/>
      <w:ind w:left="-28" w:firstLineChars="200" w:firstLine="200"/>
    </w:pPr>
    <w:rPr>
      <w:rFonts w:ascii="宋体" w:cs="宋体"/>
      <w:sz w:val="24"/>
      <w:szCs w:val="20"/>
      <w:lang w:val="zh-CN"/>
    </w:rPr>
  </w:style>
  <w:style w:type="paragraph" w:customStyle="1" w:styleId="-0060">
    <w:name w:val="样式 表格文字居中 + 加粗 右侧:  -0.06 字符"/>
    <w:basedOn w:val="affff3"/>
    <w:pPr>
      <w:tabs>
        <w:tab w:val="clear" w:pos="180"/>
        <w:tab w:val="clear" w:pos="279"/>
        <w:tab w:val="left" w:pos="1727"/>
        <w:tab w:val="left" w:pos="1884"/>
      </w:tabs>
      <w:autoSpaceDE w:val="0"/>
      <w:autoSpaceDN w:val="0"/>
      <w:adjustRightInd w:val="0"/>
      <w:snapToGrid w:val="0"/>
      <w:spacing w:line="360" w:lineRule="auto"/>
      <w:ind w:leftChars="-152" w:left="1" w:right="0" w:hangingChars="178" w:hanging="427"/>
    </w:pPr>
    <w:rPr>
      <w:rFonts w:ascii="宋体" w:hAnsi="Arial" w:cs="宋体" w:hint="eastAsia"/>
      <w:bCs/>
      <w:color w:val="000000"/>
      <w:kern w:val="0"/>
      <w:sz w:val="24"/>
      <w:lang w:val="zh-CN" w:eastAsia="zh-CN"/>
    </w:rPr>
  </w:style>
  <w:style w:type="paragraph" w:customStyle="1" w:styleId="affffffffffffffffffffffffffffffffc">
    <w:name w:val="样式 表格 + 自动设置"/>
    <w:basedOn w:val="afff7"/>
    <w:pPr>
      <w:suppressAutoHyphens w:val="0"/>
      <w:adjustRightInd w:val="0"/>
      <w:spacing w:line="460" w:lineRule="exact"/>
      <w:jc w:val="left"/>
    </w:pPr>
    <w:rPr>
      <w:rFonts w:ascii="宋体"/>
      <w:b/>
      <w:color w:val="000000"/>
      <w:kern w:val="0"/>
      <w:szCs w:val="24"/>
    </w:rPr>
  </w:style>
  <w:style w:type="paragraph" w:customStyle="1" w:styleId="0990">
    <w:name w:val="样式 表格 + 首行缩进:  0.99 厘米"/>
    <w:basedOn w:val="afff7"/>
    <w:pPr>
      <w:suppressAutoHyphens w:val="0"/>
      <w:adjustRightInd w:val="0"/>
      <w:spacing w:line="360" w:lineRule="auto"/>
      <w:ind w:firstLine="561"/>
      <w:jc w:val="left"/>
    </w:pPr>
    <w:rPr>
      <w:rFonts w:ascii="宋体" w:cs="宋体"/>
      <w:bCs/>
      <w:color w:val="000000"/>
      <w:kern w:val="0"/>
      <w:szCs w:val="24"/>
    </w:rPr>
  </w:style>
  <w:style w:type="paragraph" w:customStyle="1" w:styleId="2ffffff9">
    <w:name w:val="样式 样式2 + 加粗"/>
    <w:basedOn w:val="2ff7"/>
    <w:pPr>
      <w:keepNext/>
      <w:adjustRightInd w:val="0"/>
      <w:snapToGrid/>
      <w:spacing w:before="0" w:after="0"/>
      <w:ind w:firstLine="0"/>
      <w:jc w:val="left"/>
    </w:pPr>
    <w:rPr>
      <w:b w:val="0"/>
      <w:bCs/>
      <w:caps/>
      <w:color w:val="000000"/>
      <w:szCs w:val="28"/>
      <w:lang w:val="zh-CN" w:eastAsia="zh-CN"/>
    </w:rPr>
  </w:style>
  <w:style w:type="paragraph" w:customStyle="1" w:styleId="2ffffffa">
    <w:name w:val="样式 样式2 +"/>
    <w:basedOn w:val="2ff7"/>
    <w:pPr>
      <w:keepNext/>
      <w:adjustRightInd w:val="0"/>
      <w:snapToGrid/>
      <w:spacing w:before="0" w:after="0" w:line="520" w:lineRule="exact"/>
      <w:ind w:firstLine="0"/>
      <w:jc w:val="left"/>
    </w:pPr>
    <w:rPr>
      <w:b w:val="0"/>
      <w:bCs/>
      <w:color w:val="000000"/>
      <w:szCs w:val="28"/>
      <w:lang w:val="zh-CN" w:eastAsia="zh-CN"/>
    </w:rPr>
  </w:style>
  <w:style w:type="paragraph" w:customStyle="1" w:styleId="1fffffff5">
    <w:name w:val="样式 正文首行缩进 + 首行缩进:  1 字符"/>
    <w:basedOn w:val="aff7"/>
    <w:pPr>
      <w:spacing w:after="0" w:line="360" w:lineRule="auto"/>
      <w:ind w:firstLineChars="0" w:firstLine="567"/>
      <w:jc w:val="left"/>
    </w:pPr>
    <w:rPr>
      <w:rFonts w:ascii="宋体" w:hAnsi="宋体" w:cs="宋体"/>
      <w:color w:val="FF0000"/>
      <w:sz w:val="28"/>
      <w:szCs w:val="28"/>
      <w:lang w:val="en-US" w:eastAsia="zh-CN"/>
    </w:rPr>
  </w:style>
  <w:style w:type="paragraph" w:customStyle="1" w:styleId="affffffffffffffffffffffffffffffffd">
    <w:name w:val="样式 表格 + (符号) 宋体 自动设置"/>
    <w:basedOn w:val="afff7"/>
    <w:pPr>
      <w:suppressAutoHyphens w:val="0"/>
      <w:adjustRightInd w:val="0"/>
      <w:spacing w:line="440" w:lineRule="exact"/>
      <w:jc w:val="left"/>
    </w:pPr>
    <w:rPr>
      <w:rFonts w:ascii="宋体"/>
      <w:b/>
      <w:kern w:val="0"/>
      <w:szCs w:val="24"/>
    </w:rPr>
  </w:style>
  <w:style w:type="paragraph" w:customStyle="1" w:styleId="21121122Char12Heading2">
    <w:name w:val="样式 标题 21.1标题 21.1标题2标题 2 Char1节标2_Heading 2一级条 + 行距: 单倍..."/>
    <w:basedOn w:val="2"/>
    <w:pPr>
      <w:keepNext w:val="0"/>
      <w:keepLines/>
      <w:numPr>
        <w:ilvl w:val="1"/>
      </w:numPr>
      <w:snapToGrid w:val="0"/>
      <w:spacing w:beforeLines="50" w:afterLines="50" w:line="240" w:lineRule="auto"/>
    </w:pPr>
    <w:rPr>
      <w:rFonts w:cs="宋体"/>
      <w:b w:val="0"/>
      <w:color w:val="000000"/>
      <w:sz w:val="28"/>
      <w:szCs w:val="20"/>
      <w:lang w:val="zh-CN"/>
    </w:rPr>
  </w:style>
  <w:style w:type="paragraph" w:customStyle="1" w:styleId="affffffffffffffffffffffffffffffffe">
    <w:name w:val="表－居中列"/>
    <w:basedOn w:val="a0"/>
    <w:pPr>
      <w:suppressLineNumbers/>
      <w:suppressAutoHyphens/>
      <w:snapToGrid w:val="0"/>
      <w:spacing w:before="60" w:after="60"/>
      <w:jc w:val="center"/>
    </w:pPr>
    <w:rPr>
      <w:rFonts w:cs="Arial"/>
      <w:kern w:val="0"/>
      <w:szCs w:val="21"/>
      <w:lang w:eastAsia="ja-JP"/>
    </w:rPr>
  </w:style>
  <w:style w:type="character" w:customStyle="1" w:styleId="1Chard">
    <w:name w:val="格尔木表头1 Char"/>
    <w:link w:val="1fffffff6"/>
    <w:locked/>
    <w:rPr>
      <w:rFonts w:ascii="宋体" w:hAnsi="宋体"/>
      <w:b/>
      <w:bCs/>
      <w:sz w:val="24"/>
      <w:szCs w:val="24"/>
      <w:lang w:val="en-US" w:eastAsia="zh-CN"/>
    </w:rPr>
  </w:style>
  <w:style w:type="paragraph" w:customStyle="1" w:styleId="1fffffff6">
    <w:name w:val="格尔木表头1"/>
    <w:basedOn w:val="a0"/>
    <w:link w:val="1Chard"/>
    <w:pPr>
      <w:adjustRightInd w:val="0"/>
      <w:snapToGrid w:val="0"/>
      <w:jc w:val="center"/>
    </w:pPr>
    <w:rPr>
      <w:rFonts w:ascii="宋体" w:hAnsi="宋体"/>
      <w:b/>
      <w:bCs/>
      <w:kern w:val="0"/>
      <w:sz w:val="24"/>
      <w:lang w:val="en-US" w:eastAsia="zh-CN"/>
    </w:rPr>
  </w:style>
  <w:style w:type="character" w:customStyle="1" w:styleId="CharCharffff4">
    <w:name w:val="格尔木表格 Char Char"/>
    <w:link w:val="afffffffffffffffffffffffffffffffff"/>
    <w:locked/>
    <w:rPr>
      <w:rFonts w:ascii="宋体" w:hAnsi="宋体"/>
      <w:szCs w:val="21"/>
    </w:rPr>
  </w:style>
  <w:style w:type="paragraph" w:customStyle="1" w:styleId="afffffffffffffffffffffffffffffffff">
    <w:name w:val="格尔木表格"/>
    <w:basedOn w:val="a0"/>
    <w:link w:val="CharCharffff4"/>
    <w:pPr>
      <w:adjustRightInd w:val="0"/>
      <w:snapToGrid w:val="0"/>
      <w:jc w:val="center"/>
    </w:pPr>
    <w:rPr>
      <w:rFonts w:ascii="宋体" w:hAnsi="宋体"/>
      <w:kern w:val="0"/>
      <w:sz w:val="20"/>
      <w:szCs w:val="21"/>
      <w:lang w:val="x-none" w:eastAsia="x-none"/>
    </w:rPr>
  </w:style>
  <w:style w:type="character" w:customStyle="1" w:styleId="Char1fa">
    <w:name w:val="内容 Char1"/>
    <w:link w:val="afffffffffffffffffffffffffffffffff0"/>
    <w:locked/>
    <w:rPr>
      <w:rFonts w:ascii="宋体" w:hAnsi="宋体" w:cs="宋体"/>
      <w:szCs w:val="28"/>
    </w:rPr>
  </w:style>
  <w:style w:type="paragraph" w:customStyle="1" w:styleId="afffffffffffffffffffffffffffffffff0">
    <w:name w:val="内容"/>
    <w:basedOn w:val="a0"/>
    <w:link w:val="Char1fa"/>
    <w:pPr>
      <w:adjustRightInd w:val="0"/>
      <w:snapToGrid w:val="0"/>
      <w:spacing w:line="300" w:lineRule="auto"/>
      <w:ind w:firstLineChars="200" w:firstLine="560"/>
    </w:pPr>
    <w:rPr>
      <w:rFonts w:ascii="宋体" w:hAnsi="宋体"/>
      <w:kern w:val="0"/>
      <w:sz w:val="20"/>
      <w:szCs w:val="28"/>
      <w:lang w:val="x-none" w:eastAsia="x-none"/>
    </w:rPr>
  </w:style>
  <w:style w:type="character" w:customStyle="1" w:styleId="Charfffffff1">
    <w:name w:val="五号 Char"/>
    <w:rPr>
      <w:rFonts w:ascii="宋体" w:eastAsia="宋体" w:hAnsi="宋体" w:hint="eastAsia"/>
      <w:kern w:val="2"/>
      <w:sz w:val="21"/>
      <w:szCs w:val="24"/>
      <w:lang w:val="en-US" w:eastAsia="zh-CN" w:bidi="ar-SA"/>
    </w:rPr>
  </w:style>
  <w:style w:type="character" w:customStyle="1" w:styleId="-CharChar1">
    <w:name w:val="可研-正文首行缩进 Char Char1"/>
    <w:rPr>
      <w:rFonts w:ascii="宋体" w:eastAsia="宋体" w:hAnsi="宋体" w:hint="eastAsia"/>
      <w:color w:val="000000"/>
      <w:sz w:val="28"/>
      <w:szCs w:val="28"/>
      <w:lang w:val="en-US" w:eastAsia="zh-CN" w:bidi="ar-SA"/>
    </w:rPr>
  </w:style>
  <w:style w:type="character" w:customStyle="1" w:styleId="5CharChar">
    <w:name w:val="标题5 Char Char"/>
    <w:rPr>
      <w:rFonts w:eastAsia="宋体"/>
      <w:color w:val="000000"/>
      <w:spacing w:val="10"/>
      <w:kern w:val="2"/>
      <w:sz w:val="24"/>
      <w:szCs w:val="24"/>
      <w:lang w:val="en-US" w:eastAsia="zh-CN" w:bidi="ar-SA"/>
    </w:rPr>
  </w:style>
  <w:style w:type="character" w:customStyle="1" w:styleId="Charfffffff2">
    <w:name w:val="表中居中文字 Char"/>
    <w:rPr>
      <w:rFonts w:ascii="宋体" w:eastAsia="宋体" w:hAnsi="宋体" w:hint="eastAsia"/>
      <w:kern w:val="2"/>
      <w:sz w:val="24"/>
      <w:szCs w:val="24"/>
      <w:lang w:val="en-US" w:eastAsia="zh-CN" w:bidi="ar-SA"/>
    </w:rPr>
  </w:style>
  <w:style w:type="character" w:customStyle="1" w:styleId="1Chare">
    <w:name w:val="样式 表中居中文字 + 紧缩量  1 磅 Char"/>
  </w:style>
  <w:style w:type="character" w:customStyle="1" w:styleId="Char1fb">
    <w:name w:val="表格文字居中 Char1"/>
    <w:rPr>
      <w:rFonts w:ascii="Arial" w:eastAsia="宋体" w:hAnsi="Arial" w:cs="Arial" w:hint="default"/>
      <w:color w:val="000000"/>
      <w:sz w:val="21"/>
      <w:szCs w:val="21"/>
      <w:lang w:val="en-US" w:eastAsia="zh-CN"/>
    </w:rPr>
  </w:style>
  <w:style w:type="character" w:customStyle="1" w:styleId="Charfffffff3">
    <w:name w:val="样式 题注 + 小四 Char"/>
    <w:rPr>
      <w:rFonts w:ascii="Arial" w:eastAsia="黑体" w:hAnsi="Arial" w:cs="Arial" w:hint="default"/>
      <w:kern w:val="2"/>
      <w:sz w:val="24"/>
      <w:szCs w:val="24"/>
      <w:lang w:val="en-US" w:eastAsia="zh-CN" w:bidi="ar-SA"/>
    </w:rPr>
  </w:style>
  <w:style w:type="character" w:customStyle="1" w:styleId="Charfffffff4">
    <w:name w:val="样式 样式 题注 + (西文) 宋体 + 黑体 四号 Char"/>
    <w:rPr>
      <w:rFonts w:ascii="黑体" w:eastAsia="黑体" w:hAnsi="黑体" w:cs="宋体"/>
      <w:color w:val="000000"/>
      <w:sz w:val="24"/>
      <w:szCs w:val="24"/>
      <w:lang w:val="zh-CN" w:eastAsia="zh-CN" w:bidi="ar-SA"/>
    </w:rPr>
  </w:style>
  <w:style w:type="character" w:customStyle="1" w:styleId="515Char1CharChar507Char">
    <w:name w:val="样式 标题 51)项标题 5 Char1) Char项 Char标5一级项 + 紧缩量  0.7 磅 Char"/>
    <w:rPr>
      <w:rFonts w:ascii="宋体" w:eastAsia="宋体" w:hAnsi="宋体" w:hint="eastAsia"/>
      <w:color w:val="000000"/>
      <w:spacing w:val="-14"/>
      <w:kern w:val="2"/>
      <w:sz w:val="28"/>
      <w:szCs w:val="28"/>
      <w:lang w:val="en-US" w:eastAsia="zh-CN" w:bidi="ar-SA"/>
    </w:rPr>
  </w:style>
  <w:style w:type="character" w:customStyle="1" w:styleId="Arial1">
    <w:name w:val="样式 超链接 + (符号) Arial 自动设置 无下划线"/>
    <w:rPr>
      <w:rFonts w:ascii="宋体" w:eastAsia="宋体" w:hAnsi="宋体" w:hint="eastAsia"/>
      <w:strike w:val="0"/>
      <w:dstrike w:val="0"/>
      <w:color w:val="auto"/>
      <w:spacing w:val="3"/>
      <w:kern w:val="0"/>
      <w:sz w:val="28"/>
      <w:u w:val="none"/>
    </w:rPr>
  </w:style>
  <w:style w:type="character" w:customStyle="1" w:styleId="Charfffffff5">
    <w:name w:val="样式 题注 Char"/>
    <w:rPr>
      <w:rFonts w:ascii="Arial" w:eastAsia="黑体" w:hAnsi="Arial" w:cs="宋体" w:hint="default"/>
      <w:color w:val="000000"/>
      <w:kern w:val="2"/>
      <w:sz w:val="30"/>
      <w:szCs w:val="30"/>
      <w:lang w:val="en-US" w:eastAsia="zh-CN" w:bidi="ar-SA"/>
    </w:rPr>
  </w:style>
  <w:style w:type="character" w:customStyle="1" w:styleId="Charfffffff6">
    <w:name w:val="样式 表格 + 自动设置 Char"/>
    <w:locked/>
  </w:style>
  <w:style w:type="character" w:customStyle="1" w:styleId="2Charf5">
    <w:name w:val="样式 样式2 + 加粗 Char"/>
    <w:locked/>
  </w:style>
  <w:style w:type="character" w:customStyle="1" w:styleId="2Charf6">
    <w:name w:val="样式 样式2 + Char"/>
    <w:locked/>
    <w:rPr>
      <w:rFonts w:ascii="宋体" w:eastAsia="宋体" w:hint="eastAsia"/>
      <w:b/>
      <w:bCs/>
      <w:caps/>
      <w:color w:val="000000"/>
      <w:kern w:val="2"/>
      <w:sz w:val="28"/>
      <w:szCs w:val="28"/>
      <w:lang w:val="zh-CN" w:eastAsia="zh-CN" w:bidi="ar-SA"/>
    </w:rPr>
  </w:style>
  <w:style w:type="character" w:customStyle="1" w:styleId="Charfffffff7">
    <w:name w:val="样式 表格 + (符号) 宋体 自动设置 Char"/>
  </w:style>
  <w:style w:type="character" w:customStyle="1" w:styleId="SymbolChar">
    <w:name w:val="样式 表格文字居中 + (符号) Symbol Char"/>
    <w:rPr>
      <w:rFonts w:ascii="Arial" w:eastAsia="宋体" w:hAnsi="Arial" w:cs="Arial" w:hint="default"/>
      <w:color w:val="000000"/>
      <w:kern w:val="2"/>
      <w:sz w:val="21"/>
      <w:szCs w:val="21"/>
      <w:lang w:val="en-US" w:eastAsia="zh-CN"/>
    </w:rPr>
  </w:style>
  <w:style w:type="character" w:customStyle="1" w:styleId="41111411114Char1111Char4CharChar">
    <w:name w:val="样式 标题 41.1.1.1标题 4.1.1.1.1标题 4 Char款1.1.1.1 Char标4 + (符号) ... Char Char"/>
    <w:rPr>
      <w:rFonts w:ascii="黑体" w:eastAsia="黑体" w:hAnsi="Arial" w:hint="eastAsia"/>
      <w:bCs/>
      <w:color w:val="000000"/>
      <w:kern w:val="2"/>
      <w:sz w:val="28"/>
      <w:szCs w:val="28"/>
      <w:lang w:val="en-US" w:eastAsia="zh-CN" w:bidi="ar-SA"/>
    </w:rPr>
  </w:style>
  <w:style w:type="paragraph" w:customStyle="1" w:styleId="afffffffffffffffffffffffffffffffff1">
    <w:name w:val="样式 表格备注"/>
    <w:basedOn w:val="affffffffffffffffffffffffffffff5"/>
    <w:rPr>
      <w:rFonts w:cs="宋体"/>
      <w:szCs w:val="20"/>
    </w:rPr>
  </w:style>
  <w:style w:type="paragraph" w:customStyle="1" w:styleId="CharCharChar1CharCharCharChar">
    <w:name w:val="Char Char Char1 Char Char Char Char"/>
    <w:basedOn w:val="3"/>
    <w:pPr>
      <w:numPr>
        <w:ilvl w:val="2"/>
      </w:numPr>
      <w:tabs>
        <w:tab w:val="left" w:pos="851"/>
        <w:tab w:val="left" w:pos="900"/>
      </w:tabs>
      <w:snapToGrid w:val="0"/>
      <w:spacing w:before="120" w:after="120"/>
      <w:ind w:leftChars="-12" w:left="542" w:firstLineChars="200" w:firstLine="200"/>
    </w:pPr>
    <w:rPr>
      <w:rFonts w:ascii="Times New Roman"/>
      <w:b w:val="0"/>
      <w:bCs w:val="0"/>
      <w:szCs w:val="24"/>
    </w:rPr>
  </w:style>
  <w:style w:type="table" w:customStyle="1" w:styleId="afffffffffffffffffffffffffffffffff2">
    <w:name w:val="表格样式（李青松居中）"/>
    <w:basedOn w:val="19"/>
    <w:pPr>
      <w:spacing w:line="400" w:lineRule="exact"/>
      <w:jc w:val="center"/>
    </w:pPr>
    <w:rPr>
      <w:rFonts w:eastAsia="Times New Roman"/>
      <w:sz w:val="21"/>
    </w:rPr>
    <w:tblPr/>
    <w:tcPr>
      <w:vAlign w:val="center"/>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paragraph" w:customStyle="1" w:styleId="NeuTextBullets">
    <w:name w:val="Neu_TextBullets"/>
    <w:basedOn w:val="a0"/>
    <w:pPr>
      <w:widowControl/>
      <w:numPr>
        <w:numId w:val="30"/>
      </w:numPr>
      <w:tabs>
        <w:tab w:val="left" w:pos="360"/>
        <w:tab w:val="left" w:pos="6804"/>
      </w:tabs>
      <w:spacing w:before="60" w:after="60" w:line="264" w:lineRule="auto"/>
      <w:ind w:firstLine="0"/>
    </w:pPr>
    <w:rPr>
      <w:rFonts w:ascii="Arial" w:hAnsi="Arial"/>
      <w:kern w:val="0"/>
      <w:sz w:val="22"/>
      <w:szCs w:val="20"/>
      <w:lang w:eastAsia="en-US"/>
    </w:rPr>
  </w:style>
  <w:style w:type="paragraph" w:customStyle="1" w:styleId="CarCar">
    <w:name w:val="Car Car"/>
    <w:basedOn w:val="a0"/>
    <w:rPr>
      <w:szCs w:val="21"/>
    </w:rPr>
  </w:style>
  <w:style w:type="character" w:customStyle="1" w:styleId="CharChar150">
    <w:name w:val="Char Char15"/>
    <w:rPr>
      <w:rFonts w:ascii="Arial" w:eastAsia="黑体" w:hAnsi="Arial"/>
      <w:snapToGrid w:val="0"/>
      <w:spacing w:val="10"/>
      <w:kern w:val="28"/>
      <w:sz w:val="28"/>
      <w:szCs w:val="28"/>
    </w:rPr>
  </w:style>
  <w:style w:type="character" w:customStyle="1" w:styleId="97">
    <w:name w:val="样式 (西文) 黑体 (中文) 黑体 五号 字符缩放: 97% 字距调整五号"/>
    <w:rPr>
      <w:rFonts w:ascii="Times New Roman" w:eastAsia="宋体" w:hAnsi="Times New Roman"/>
      <w:color w:val="auto"/>
      <w:spacing w:val="10"/>
      <w:w w:val="97"/>
      <w:kern w:val="21"/>
      <w:sz w:val="21"/>
      <w:szCs w:val="21"/>
      <w:lang w:val="en-US" w:eastAsia="en-US" w:bidi="ar-SA"/>
    </w:rPr>
  </w:style>
  <w:style w:type="paragraph" w:customStyle="1" w:styleId="200">
    <w:name w:val="样式 小四 居中 行距: 固定值 20 磅"/>
    <w:basedOn w:val="a0"/>
    <w:pPr>
      <w:widowControl/>
      <w:snapToGrid w:val="0"/>
      <w:spacing w:line="440" w:lineRule="exact"/>
      <w:jc w:val="center"/>
    </w:pPr>
    <w:rPr>
      <w:rFonts w:ascii="宋体" w:hAnsi="宋体" w:cs="宋体"/>
      <w:snapToGrid w:val="0"/>
      <w:spacing w:val="10"/>
      <w:kern w:val="24"/>
      <w:sz w:val="24"/>
      <w:szCs w:val="20"/>
    </w:rPr>
  </w:style>
  <w:style w:type="paragraph" w:customStyle="1" w:styleId="11f3">
    <w:name w:val="11表格文字"/>
    <w:basedOn w:val="8"/>
    <w:link w:val="11Char"/>
    <w:qFormat/>
    <w:pPr>
      <w:keepNext w:val="0"/>
      <w:keepLines w:val="0"/>
      <w:tabs>
        <w:tab w:val="left" w:pos="1786"/>
      </w:tabs>
      <w:spacing w:before="0" w:after="0" w:line="240" w:lineRule="auto"/>
      <w:jc w:val="center"/>
    </w:pPr>
    <w:rPr>
      <w:rFonts w:ascii="Times New Roman" w:eastAsia="宋体" w:hAnsi="Times New Roman"/>
      <w:sz w:val="21"/>
    </w:rPr>
  </w:style>
  <w:style w:type="character" w:customStyle="1" w:styleId="11Char">
    <w:name w:val="11表格文字 Char"/>
    <w:link w:val="11f3"/>
    <w:rPr>
      <w:kern w:val="2"/>
      <w:sz w:val="21"/>
      <w:szCs w:val="24"/>
    </w:rPr>
  </w:style>
  <w:style w:type="paragraph" w:customStyle="1" w:styleId="21f8">
    <w:name w:val="普通(网站)21"/>
    <w:basedOn w:val="a0"/>
    <w:pPr>
      <w:widowControl/>
      <w:spacing w:before="100" w:beforeAutospacing="1" w:after="100" w:afterAutospacing="1"/>
      <w:jc w:val="left"/>
    </w:pPr>
    <w:rPr>
      <w:rFonts w:ascii="宋体" w:hAnsi="宋体"/>
      <w:kern w:val="0"/>
      <w:sz w:val="24"/>
    </w:rPr>
  </w:style>
  <w:style w:type="paragraph" w:customStyle="1" w:styleId="1fffffff7">
    <w:name w:val="表标1"/>
    <w:basedOn w:val="a0"/>
    <w:next w:val="af6"/>
    <w:unhideWhenUsed/>
    <w:rPr>
      <w:rFonts w:ascii="宋体" w:hAnsi="Courier New"/>
      <w:szCs w:val="22"/>
    </w:rPr>
  </w:style>
  <w:style w:type="character" w:customStyle="1" w:styleId="Char2b">
    <w:name w:val="纯文本 Char2"/>
    <w:uiPriority w:val="99"/>
    <w:semiHidden/>
    <w:rPr>
      <w:rFonts w:ascii="宋体" w:eastAsia="宋体" w:hAnsi="Courier New" w:cs="Courier New"/>
      <w:snapToGrid w:val="0"/>
      <w:kern w:val="0"/>
      <w:szCs w:val="21"/>
    </w:rPr>
  </w:style>
  <w:style w:type="paragraph" w:customStyle="1" w:styleId="afffffffffffffffffffffffffffffffff3">
    <w:name w:val="正文小四"/>
    <w:basedOn w:val="a0"/>
    <w:next w:val="a0"/>
    <w:semiHidden/>
    <w:pPr>
      <w:adjustRightInd w:val="0"/>
      <w:snapToGrid w:val="0"/>
      <w:spacing w:line="360" w:lineRule="auto"/>
      <w:ind w:firstLineChars="200" w:firstLine="560"/>
    </w:pPr>
    <w:rPr>
      <w:rFonts w:ascii="宋体" w:hAnsi="宋体"/>
      <w:szCs w:val="28"/>
    </w:rPr>
  </w:style>
  <w:style w:type="character" w:customStyle="1" w:styleId="style3">
    <w:name w:val="style3"/>
  </w:style>
  <w:style w:type="paragraph" w:customStyle="1" w:styleId="2ffffffb">
    <w:name w:val="正文 + 首行缩进:  2 字符"/>
    <w:basedOn w:val="a0"/>
    <w:pPr>
      <w:ind w:firstLineChars="200" w:firstLine="420"/>
    </w:pPr>
  </w:style>
  <w:style w:type="paragraph" w:customStyle="1" w:styleId="PSTableHeading">
    <w:name w:val="PS TableHeading"/>
    <w:basedOn w:val="PSTableText"/>
    <w:pPr>
      <w:jc w:val="center"/>
    </w:pPr>
    <w:rPr>
      <w:b/>
    </w:rPr>
  </w:style>
  <w:style w:type="paragraph" w:customStyle="1" w:styleId="PSTableText">
    <w:name w:val="PS TableText"/>
    <w:basedOn w:val="31"/>
    <w:pPr>
      <w:tabs>
        <w:tab w:val="left" w:pos="852"/>
      </w:tabs>
      <w:spacing w:after="120" w:line="240" w:lineRule="auto"/>
      <w:jc w:val="both"/>
    </w:pPr>
    <w:rPr>
      <w:rFonts w:ascii="Courier" w:eastAsia="BatangChe" w:hAnsi="Courier"/>
      <w:spacing w:val="-5"/>
      <w:kern w:val="2"/>
      <w:sz w:val="22"/>
      <w:lang w:val="en-AU" w:eastAsia="en-US"/>
    </w:rPr>
  </w:style>
  <w:style w:type="paragraph" w:customStyle="1" w:styleId="TT">
    <w:name w:val="TT"/>
    <w:basedOn w:val="a0"/>
    <w:pPr>
      <w:widowControl/>
      <w:tabs>
        <w:tab w:val="left" w:pos="852"/>
      </w:tabs>
      <w:spacing w:before="60" w:after="60"/>
      <w:jc w:val="left"/>
    </w:pPr>
    <w:rPr>
      <w:rFonts w:ascii="Helvetica" w:eastAsia="Times New Roman" w:hAnsi="Helvetica"/>
      <w:b/>
      <w:snapToGrid w:val="0"/>
      <w:color w:val="000000"/>
      <w:spacing w:val="-5"/>
      <w:kern w:val="0"/>
      <w:sz w:val="20"/>
      <w:szCs w:val="20"/>
      <w:lang w:val="en-AU" w:eastAsia="en-US"/>
    </w:rPr>
  </w:style>
  <w:style w:type="paragraph" w:customStyle="1" w:styleId="PSBullet2">
    <w:name w:val="PS Bullet2"/>
    <w:basedOn w:val="a0"/>
    <w:pPr>
      <w:widowControl/>
      <w:spacing w:after="40"/>
      <w:jc w:val="left"/>
    </w:pPr>
    <w:rPr>
      <w:rFonts w:eastAsia="Times New Roman"/>
      <w:color w:val="000000"/>
      <w:kern w:val="0"/>
      <w:sz w:val="24"/>
      <w:szCs w:val="20"/>
      <w:lang w:eastAsia="en-US"/>
    </w:rPr>
  </w:style>
  <w:style w:type="paragraph" w:customStyle="1" w:styleId="TableHeader">
    <w:name w:val="Table Header"/>
    <w:basedOn w:val="a0"/>
    <w:pPr>
      <w:tabs>
        <w:tab w:val="left" w:pos="852"/>
      </w:tabs>
      <w:spacing w:before="60" w:after="120"/>
      <w:ind w:left="4"/>
      <w:jc w:val="left"/>
    </w:pPr>
    <w:rPr>
      <w:rFonts w:eastAsia="BatangChe"/>
      <w:b/>
      <w:caps/>
      <w:snapToGrid w:val="0"/>
      <w:spacing w:val="-5"/>
      <w:kern w:val="0"/>
      <w:sz w:val="20"/>
      <w:szCs w:val="20"/>
      <w:lang w:val="en-AU" w:eastAsia="en-US"/>
    </w:rPr>
  </w:style>
  <w:style w:type="paragraph" w:customStyle="1" w:styleId="ww">
    <w:name w:val="ww"/>
    <w:basedOn w:val="af6"/>
    <w:next w:val="a0"/>
    <w:pPr>
      <w:widowControl w:val="0"/>
      <w:tabs>
        <w:tab w:val="left" w:pos="1080"/>
      </w:tabs>
      <w:spacing w:before="0" w:beforeAutospacing="0" w:after="0" w:afterAutospacing="0"/>
    </w:pPr>
    <w:rPr>
      <w:rFonts w:ascii="黑体" w:eastAsia="黑体" w:hAnsi="Courier New" w:cs="Courier New"/>
      <w:b/>
      <w:kern w:val="2"/>
      <w:sz w:val="28"/>
      <w:szCs w:val="20"/>
    </w:rPr>
  </w:style>
  <w:style w:type="paragraph" w:customStyle="1" w:styleId="1fffffff8">
    <w:name w:val="样式 标题 1 + (西文) 宋体"/>
    <w:basedOn w:val="1"/>
    <w:link w:val="1Charf"/>
    <w:pPr>
      <w:adjustRightInd w:val="0"/>
      <w:snapToGrid w:val="0"/>
      <w:spacing w:before="0" w:after="0" w:line="240" w:lineRule="auto"/>
      <w:ind w:left="420" w:firstLine="6"/>
    </w:pPr>
    <w:rPr>
      <w:rFonts w:ascii="宋体"/>
      <w:bCs/>
      <w:sz w:val="21"/>
      <w:lang w:val="x-none" w:eastAsia="x-none"/>
    </w:rPr>
  </w:style>
  <w:style w:type="character" w:customStyle="1" w:styleId="1Charf">
    <w:name w:val="样式 标题 1 + (西文) 宋体 Char"/>
    <w:link w:val="1fffffff8"/>
    <w:rPr>
      <w:rFonts w:ascii="宋体" w:eastAsia="黑体" w:hAnsi="宋体"/>
      <w:b/>
      <w:bCs/>
      <w:kern w:val="2"/>
      <w:sz w:val="21"/>
      <w:szCs w:val="24"/>
    </w:rPr>
  </w:style>
  <w:style w:type="paragraph" w:customStyle="1" w:styleId="ComNormal">
    <w:name w:val="ComNormal"/>
    <w:basedOn w:val="a0"/>
    <w:pPr>
      <w:keepLines/>
      <w:widowControl/>
      <w:tabs>
        <w:tab w:val="left" w:pos="567"/>
        <w:tab w:val="left" w:pos="1134"/>
        <w:tab w:val="right" w:pos="9469"/>
      </w:tabs>
      <w:spacing w:line="264" w:lineRule="auto"/>
    </w:pPr>
    <w:rPr>
      <w:rFonts w:eastAsia="Times New Roman"/>
      <w:kern w:val="0"/>
      <w:sz w:val="25"/>
      <w:szCs w:val="20"/>
      <w:lang w:val="en-GB"/>
    </w:rPr>
  </w:style>
  <w:style w:type="paragraph" w:customStyle="1" w:styleId="afffffffffffffffffffffffffffffffff4">
    <w:name w:val="四级目录"/>
    <w:basedOn w:val="411"/>
    <w:pPr>
      <w:ind w:left="0"/>
    </w:pPr>
    <w:rPr>
      <w:rFonts w:ascii="宋体" w:hAnsi="宋体"/>
      <w:b/>
      <w:sz w:val="21"/>
      <w:szCs w:val="21"/>
    </w:rPr>
  </w:style>
  <w:style w:type="paragraph" w:customStyle="1" w:styleId="afffffffffffffffffffffffffffffffff5">
    <w:name w:val="二级目录"/>
    <w:basedOn w:val="a0"/>
    <w:next w:val="215"/>
    <w:rPr>
      <w:rFonts w:ascii="宋体" w:hAnsi="宋体"/>
      <w:b/>
    </w:rPr>
  </w:style>
  <w:style w:type="paragraph" w:customStyle="1" w:styleId="xl1443">
    <w:name w:val="xl1443"/>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FF"/>
      <w:kern w:val="0"/>
      <w:sz w:val="18"/>
      <w:szCs w:val="18"/>
    </w:rPr>
  </w:style>
  <w:style w:type="paragraph" w:customStyle="1" w:styleId="xl1444">
    <w:name w:val="xl1444"/>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FF"/>
      <w:kern w:val="0"/>
      <w:sz w:val="18"/>
      <w:szCs w:val="18"/>
    </w:rPr>
  </w:style>
  <w:style w:type="paragraph" w:customStyle="1" w:styleId="xl1478">
    <w:name w:val="xl147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1479">
    <w:name w:val="xl147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1482">
    <w:name w:val="xl1482"/>
    <w:basedOn w:val="a0"/>
    <w:pPr>
      <w:widowControl/>
      <w:spacing w:before="100" w:beforeAutospacing="1" w:after="100" w:afterAutospacing="1"/>
      <w:jc w:val="left"/>
    </w:pPr>
    <w:rPr>
      <w:rFonts w:ascii="宋体" w:hAnsi="宋体" w:cs="宋体"/>
      <w:color w:val="000000"/>
      <w:kern w:val="0"/>
      <w:sz w:val="18"/>
      <w:szCs w:val="18"/>
    </w:rPr>
  </w:style>
  <w:style w:type="paragraph" w:customStyle="1" w:styleId="xl1559">
    <w:name w:val="xl1559"/>
    <w:basedOn w:val="a0"/>
    <w:pPr>
      <w:widowControl/>
      <w:spacing w:before="100" w:beforeAutospacing="1" w:after="100" w:afterAutospacing="1"/>
      <w:jc w:val="center"/>
      <w:textAlignment w:val="center"/>
    </w:pPr>
    <w:rPr>
      <w:rFonts w:ascii="宋体" w:hAnsi="宋体" w:cs="宋体"/>
      <w:kern w:val="0"/>
      <w:sz w:val="18"/>
      <w:szCs w:val="18"/>
    </w:rPr>
  </w:style>
  <w:style w:type="paragraph" w:customStyle="1" w:styleId="xl1560">
    <w:name w:val="xl1560"/>
    <w:basedOn w:val="a0"/>
    <w:pPr>
      <w:widowControl/>
      <w:spacing w:before="100" w:beforeAutospacing="1" w:after="100" w:afterAutospacing="1"/>
      <w:jc w:val="left"/>
    </w:pPr>
    <w:rPr>
      <w:rFonts w:ascii="宋体" w:hAnsi="宋体" w:cs="宋体"/>
      <w:kern w:val="0"/>
      <w:sz w:val="18"/>
      <w:szCs w:val="18"/>
    </w:rPr>
  </w:style>
  <w:style w:type="paragraph" w:customStyle="1" w:styleId="xl1566">
    <w:name w:val="xl156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567">
    <w:name w:val="xl156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609">
    <w:name w:val="xl160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620">
    <w:name w:val="xl162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character" w:customStyle="1" w:styleId="font111">
    <w:name w:val="font111"/>
    <w:rPr>
      <w:rFonts w:ascii="宋体" w:eastAsia="宋体" w:hAnsi="宋体" w:hint="eastAsia"/>
      <w:b w:val="0"/>
      <w:bCs w:val="0"/>
      <w:i w:val="0"/>
      <w:iCs w:val="0"/>
      <w:strike w:val="0"/>
      <w:dstrike w:val="0"/>
      <w:color w:val="auto"/>
      <w:sz w:val="18"/>
      <w:szCs w:val="18"/>
      <w:u w:val="none"/>
    </w:rPr>
  </w:style>
  <w:style w:type="paragraph" w:customStyle="1" w:styleId="xl402">
    <w:name w:val="xl402"/>
    <w:basedOn w:val="a0"/>
    <w:pPr>
      <w:widowControl/>
      <w:spacing w:before="100" w:beforeAutospacing="1" w:after="100" w:afterAutospacing="1"/>
      <w:jc w:val="left"/>
      <w:textAlignment w:val="center"/>
    </w:pPr>
    <w:rPr>
      <w:rFonts w:ascii="宋体" w:hAnsi="宋体" w:cs="宋体"/>
      <w:kern w:val="0"/>
      <w:sz w:val="20"/>
      <w:szCs w:val="20"/>
    </w:rPr>
  </w:style>
  <w:style w:type="paragraph" w:customStyle="1" w:styleId="xl403">
    <w:name w:val="xl403"/>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04">
    <w:name w:val="xl404"/>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05">
    <w:name w:val="xl405"/>
    <w:basedOn w:val="a0"/>
    <w:pPr>
      <w:widowControl/>
      <w:spacing w:before="100" w:beforeAutospacing="1" w:after="100" w:afterAutospacing="1"/>
      <w:jc w:val="left"/>
      <w:textAlignment w:val="center"/>
    </w:pPr>
    <w:rPr>
      <w:rFonts w:ascii="宋体" w:hAnsi="宋体" w:cs="宋体"/>
      <w:kern w:val="0"/>
      <w:sz w:val="24"/>
    </w:rPr>
  </w:style>
  <w:style w:type="paragraph" w:customStyle="1" w:styleId="xl406">
    <w:name w:val="xl40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07">
    <w:name w:val="xl40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408">
    <w:name w:val="xl40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409">
    <w:name w:val="xl409"/>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10">
    <w:name w:val="xl41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411">
    <w:name w:val="xl411"/>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412">
    <w:name w:val="xl412"/>
    <w:basedOn w:val="a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413">
    <w:name w:val="xl413"/>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14">
    <w:name w:val="xl414"/>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15">
    <w:name w:val="xl41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character" w:customStyle="1" w:styleId="79">
    <w:name w:val="标题7"/>
  </w:style>
  <w:style w:type="character" w:customStyle="1" w:styleId="4ff4">
    <w:name w:val="正文文本首行缩进 字符4"/>
    <w:uiPriority w:val="99"/>
    <w:semiHidden/>
    <w:rPr>
      <w:rFonts w:ascii="Times New Roman" w:eastAsia="宋体" w:hAnsi="Times New Roman" w:cs="Times New Roman"/>
      <w:kern w:val="2"/>
      <w:sz w:val="21"/>
      <w:szCs w:val="24"/>
      <w:lang w:val="en-US" w:eastAsia="zh-CN" w:bidi="ar-SA"/>
    </w:rPr>
  </w:style>
  <w:style w:type="paragraph" w:customStyle="1" w:styleId="CharCharCharChar40">
    <w:name w:val="Char Char Char Char4"/>
    <w:basedOn w:val="a0"/>
    <w:pPr>
      <w:spacing w:line="360" w:lineRule="auto"/>
      <w:ind w:firstLineChars="200" w:firstLine="200"/>
    </w:pPr>
    <w:rPr>
      <w:rFonts w:ascii="宋体" w:hAnsi="宋体" w:cs="宋体"/>
      <w:sz w:val="24"/>
    </w:rPr>
  </w:style>
  <w:style w:type="character" w:customStyle="1" w:styleId="z-11">
    <w:name w:val="z-窗体底端 字符1"/>
    <w:uiPriority w:val="99"/>
    <w:semiHidden/>
    <w:rPr>
      <w:rFonts w:ascii="Arial" w:hAnsi="Arial" w:cs="Arial"/>
      <w:vanish/>
      <w:sz w:val="16"/>
      <w:szCs w:val="16"/>
    </w:rPr>
  </w:style>
  <w:style w:type="character" w:customStyle="1" w:styleId="z-12">
    <w:name w:val="z-窗体顶端 字符1"/>
    <w:uiPriority w:val="99"/>
    <w:semiHidden/>
    <w:rPr>
      <w:rFonts w:ascii="Arial" w:hAnsi="Arial" w:cs="Arial"/>
      <w:vanish/>
      <w:sz w:val="16"/>
      <w:szCs w:val="16"/>
    </w:rPr>
  </w:style>
  <w:style w:type="paragraph" w:customStyle="1" w:styleId="Style122">
    <w:name w:val="_Style 122"/>
    <w:basedOn w:val="af2"/>
    <w:next w:val="aff7"/>
    <w:uiPriority w:val="99"/>
    <w:pPr>
      <w:spacing w:after="120" w:line="240" w:lineRule="auto"/>
      <w:ind w:firstLineChars="100" w:firstLine="420"/>
      <w:jc w:val="both"/>
    </w:pPr>
    <w:rPr>
      <w:rFonts w:ascii="Calibri" w:hAnsi="Calibri"/>
      <w:kern w:val="0"/>
    </w:rPr>
  </w:style>
  <w:style w:type="paragraph" w:customStyle="1" w:styleId="Char1CharCharChar3">
    <w:name w:val="Char1 Char Char Char3"/>
    <w:basedOn w:val="a0"/>
  </w:style>
  <w:style w:type="paragraph" w:customStyle="1" w:styleId="CharCharCharCharCharCharChar4">
    <w:name w:val="Char Char Char Char Char Char Char4"/>
    <w:basedOn w:val="a0"/>
    <w:pPr>
      <w:spacing w:line="360" w:lineRule="auto"/>
    </w:pPr>
    <w:rPr>
      <w:rFonts w:ascii="宋体" w:hAnsi="宋体"/>
      <w:sz w:val="22"/>
      <w:szCs w:val="20"/>
    </w:rPr>
  </w:style>
  <w:style w:type="paragraph" w:customStyle="1" w:styleId="Char130">
    <w:name w:val="Char13"/>
    <w:basedOn w:val="a0"/>
    <w:pPr>
      <w:spacing w:line="360" w:lineRule="auto"/>
      <w:ind w:firstLineChars="200" w:firstLine="200"/>
    </w:pPr>
    <w:rPr>
      <w:rFonts w:ascii="宋体" w:hAnsi="宋体"/>
      <w:sz w:val="24"/>
      <w:szCs w:val="20"/>
    </w:rPr>
  </w:style>
  <w:style w:type="paragraph" w:customStyle="1" w:styleId="CharCharCharCharCharCharCharCharCharChar5">
    <w:name w:val="Char Char Char Char Char Char Char Char Char Char5"/>
    <w:basedOn w:val="a0"/>
    <w:pPr>
      <w:spacing w:line="360" w:lineRule="auto"/>
    </w:pPr>
    <w:rPr>
      <w:rFonts w:ascii="宋体" w:hAnsi="宋体"/>
      <w:sz w:val="22"/>
      <w:szCs w:val="20"/>
    </w:rPr>
  </w:style>
  <w:style w:type="paragraph" w:customStyle="1" w:styleId="Style489">
    <w:name w:val="_Style 489"/>
    <w:basedOn w:val="af2"/>
    <w:next w:val="aff7"/>
    <w:uiPriority w:val="99"/>
    <w:pPr>
      <w:spacing w:after="120" w:line="240" w:lineRule="auto"/>
      <w:ind w:firstLineChars="100" w:firstLine="420"/>
      <w:jc w:val="both"/>
    </w:pPr>
    <w:rPr>
      <w:rFonts w:ascii="等线" w:eastAsia="等线" w:hAnsi="等线"/>
      <w:kern w:val="0"/>
    </w:rPr>
  </w:style>
  <w:style w:type="paragraph" w:customStyle="1" w:styleId="Style490">
    <w:name w:val="_Style 490"/>
    <w:basedOn w:val="af2"/>
    <w:next w:val="aff7"/>
    <w:uiPriority w:val="99"/>
    <w:pPr>
      <w:spacing w:after="120" w:line="240" w:lineRule="auto"/>
      <w:ind w:firstLineChars="100" w:firstLine="420"/>
      <w:jc w:val="both"/>
    </w:pPr>
    <w:rPr>
      <w:rFonts w:ascii="等线" w:eastAsia="等线" w:hAnsi="等线"/>
      <w:kern w:val="0"/>
    </w:rPr>
  </w:style>
  <w:style w:type="paragraph" w:customStyle="1" w:styleId="1fffffff9">
    <w:name w:val="列表段落1"/>
    <w:basedOn w:val="a0"/>
    <w:uiPriority w:val="34"/>
    <w:qFormat/>
    <w:pPr>
      <w:ind w:firstLineChars="200" w:firstLine="420"/>
    </w:pPr>
    <w:rPr>
      <w:rFonts w:ascii="等线" w:eastAsia="等线" w:hAnsi="等线"/>
      <w:szCs w:val="22"/>
    </w:rPr>
  </w:style>
  <w:style w:type="character" w:customStyle="1" w:styleId="22e">
    <w:name w:val="正文文本首行缩进 2 字符2"/>
    <w:uiPriority w:val="99"/>
    <w:rPr>
      <w:rFonts w:ascii="Calibri" w:hAnsi="Calibri" w:cs="Times New Roman"/>
      <w:sz w:val="21"/>
    </w:rPr>
  </w:style>
  <w:style w:type="character" w:customStyle="1" w:styleId="2ffffffc">
    <w:name w:val="正文文本缩进 字符2"/>
    <w:aliases w:val="正文文字缩进 Char 字符1,正文文字缩进 字符1,特点标题 字符2,正文文字 21 字符2"/>
    <w:rPr>
      <w:rFonts w:cs="Times New Roman"/>
      <w:szCs w:val="24"/>
    </w:rPr>
  </w:style>
  <w:style w:type="paragraph" w:customStyle="1" w:styleId="CharCharChar1CharCharCharCharCharCharCharCharCharCharCharCharCharCharCharChar1">
    <w:name w:val="Char Char Char1 Char Char Char Char Char Char Char Char Char Char Char Char Char Char Char Char1"/>
    <w:basedOn w:val="a0"/>
    <w:rPr>
      <w:rFonts w:ascii="宋体" w:eastAsia="Times New Roman" w:hAnsi="宋体"/>
      <w:kern w:val="0"/>
      <w:sz w:val="24"/>
      <w:szCs w:val="20"/>
    </w:rPr>
  </w:style>
  <w:style w:type="table" w:customStyle="1" w:styleId="7a">
    <w:name w:val="网格型7"/>
    <w:basedOn w:val="a2"/>
    <w:uiPriority w:val="39"/>
    <w:rPr>
      <w:kern w:val="2"/>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网格型!11"/>
    <w:basedOn w:val="a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9">
    <w:name w:val="网格型!21"/>
    <w:basedOn w:val="a2"/>
    <w:uiPriority w:val="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ffa">
    <w:name w:val="表格样式（李青松居中）1"/>
    <w:basedOn w:val="19"/>
    <w:pPr>
      <w:spacing w:line="400" w:lineRule="exact"/>
      <w:jc w:val="center"/>
    </w:pPr>
    <w:rPr>
      <w:rFonts w:eastAsia="Times New Roman"/>
      <w:sz w:val="21"/>
    </w:rPr>
    <w:tblPr/>
    <w:tcPr>
      <w:vAlign w:val="center"/>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d">
    <w:name w:val="表格样式（李青松居中）2"/>
    <w:basedOn w:val="19"/>
    <w:pPr>
      <w:spacing w:line="400" w:lineRule="exact"/>
      <w:jc w:val="center"/>
    </w:pPr>
    <w:rPr>
      <w:rFonts w:eastAsia="Times New Roman"/>
      <w:sz w:val="21"/>
    </w:rPr>
    <w:tblPr/>
    <w:tcPr>
      <w:vAlign w:val="center"/>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f5">
    <w:name w:val="表格样式（李青松居中）11"/>
    <w:basedOn w:val="19"/>
    <w:pPr>
      <w:spacing w:line="400" w:lineRule="exact"/>
      <w:jc w:val="center"/>
    </w:pPr>
    <w:rPr>
      <w:rFonts w:eastAsia="Times New Roman"/>
      <w:sz w:val="21"/>
    </w:rPr>
    <w:tblPr/>
    <w:tcPr>
      <w:vAlign w:val="center"/>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customStyle="1" w:styleId="232">
    <w:name w:val="正文文本首行缩进 2 字符3"/>
    <w:uiPriority w:val="99"/>
    <w:semiHidden/>
  </w:style>
  <w:style w:type="paragraph" w:customStyle="1" w:styleId="afffffffffffffffffffffffffffffffff6">
    <w:name w:val="预案正文"/>
    <w:basedOn w:val="a0"/>
    <w:qFormat/>
    <w:pPr>
      <w:adjustRightInd w:val="0"/>
      <w:snapToGrid w:val="0"/>
      <w:spacing w:line="360" w:lineRule="auto"/>
      <w:ind w:firstLine="482"/>
      <w:jc w:val="center"/>
    </w:pPr>
    <w:rPr>
      <w:rFonts w:ascii="Calibri" w:eastAsia="仿宋_GB2312" w:hAnsi="Calibri" w:cs="宋体"/>
      <w:sz w:val="28"/>
      <w:szCs w:val="28"/>
    </w:rPr>
  </w:style>
  <w:style w:type="paragraph" w:customStyle="1" w:styleId="afffffffffffffffffffffffffffffffff7">
    <w:name w:val="其他"/>
    <w:basedOn w:val="a0"/>
    <w:qFormat/>
    <w:pPr>
      <w:shd w:val="clear" w:color="auto" w:fill="FFFFFF"/>
    </w:pPr>
    <w:rPr>
      <w:rFonts w:ascii="MingLiU" w:eastAsia="MingLiU" w:hAnsi="MingLiU" w:cs="MingLiU"/>
      <w:sz w:val="17"/>
      <w:szCs w:val="17"/>
      <w:lang w:val="zh-CN" w:bidi="zh-CN"/>
    </w:rPr>
  </w:style>
  <w:style w:type="character" w:customStyle="1" w:styleId="2ffffffe">
    <w:name w:val="未处理的提及2"/>
    <w:uiPriority w:val="99"/>
    <w:unhideWhenUsed/>
    <w:rPr>
      <w:color w:val="605E5C"/>
      <w:shd w:val="clear" w:color="auto" w:fill="E1DFDD"/>
    </w:rPr>
  </w:style>
  <w:style w:type="character" w:customStyle="1" w:styleId="bgr">
    <w:name w:val="bgr"/>
  </w:style>
  <w:style w:type="character" w:customStyle="1" w:styleId="Char1fc">
    <w:name w:val="表格正文 Char1"/>
    <w:rPr>
      <w:rFonts w:ascii="Times New Roman" w:eastAsia="宋体" w:hAnsi="Times New Roman" w:cs="Times New Roman"/>
      <w:szCs w:val="20"/>
    </w:rPr>
  </w:style>
  <w:style w:type="character" w:customStyle="1" w:styleId="afffffffffffffffffffffffffffffffff8">
    <w:name w:val="副标题 字符"/>
    <w:uiPriority w:val="11"/>
    <w:rsid w:val="00E75535"/>
    <w:rPr>
      <w:b/>
      <w:bCs/>
      <w:kern w:val="28"/>
      <w:sz w:val="32"/>
      <w:szCs w:val="32"/>
    </w:rPr>
  </w:style>
  <w:style w:type="character" w:customStyle="1" w:styleId="afffffffffffffffffffffffffffffffff9">
    <w:name w:val="引用 字符"/>
    <w:uiPriority w:val="29"/>
    <w:rsid w:val="00E75535"/>
    <w:rPr>
      <w:rFonts w:ascii="Times New Roman" w:eastAsia="宋体" w:hAnsi="Times New Roman" w:cs="Times New Roman"/>
      <w:i/>
      <w:iCs/>
      <w:color w:val="404040"/>
      <w:szCs w:val="24"/>
    </w:rPr>
  </w:style>
  <w:style w:type="character" w:customStyle="1" w:styleId="afffffffffffffffffffffffffffffffffa">
    <w:name w:val="明显引用 字符"/>
    <w:uiPriority w:val="30"/>
    <w:rsid w:val="00E75535"/>
    <w:rPr>
      <w:rFonts w:ascii="Times New Roman" w:eastAsia="宋体" w:hAnsi="Times New Roman" w:cs="Times New Roman"/>
      <w:i/>
      <w:iCs/>
      <w:color w:val="4F81BD"/>
      <w:szCs w:val="24"/>
    </w:rPr>
  </w:style>
  <w:style w:type="character" w:styleId="afffffffffffffffffffffffffffffffffb">
    <w:name w:val="Intense Emphasis"/>
    <w:basedOn w:val="a1"/>
    <w:uiPriority w:val="21"/>
    <w:qFormat/>
    <w:rsid w:val="00391F81"/>
    <w:rPr>
      <w:i/>
      <w:iCs/>
      <w:color w:val="365F91"/>
    </w:rPr>
  </w:style>
  <w:style w:type="character" w:styleId="afffffffffffffffffffffffffffffffffc">
    <w:name w:val="Intense Reference"/>
    <w:basedOn w:val="a1"/>
    <w:uiPriority w:val="32"/>
    <w:qFormat/>
    <w:rsid w:val="00391F81"/>
    <w:rPr>
      <w:b/>
      <w:bCs/>
      <w:smallCaps/>
      <w:color w:val="365F91"/>
      <w:spacing w:val="5"/>
    </w:rPr>
  </w:style>
  <w:style w:type="character" w:customStyle="1" w:styleId="shorttext">
    <w:name w:val="short_text"/>
    <w:basedOn w:val="a1"/>
    <w:autoRedefine/>
    <w:qFormat/>
    <w:rsid w:val="00391F81"/>
  </w:style>
  <w:style w:type="paragraph" w:customStyle="1" w:styleId="TableCaption">
    <w:name w:val="Table Caption"/>
    <w:basedOn w:val="af2"/>
    <w:next w:val="a0"/>
    <w:autoRedefine/>
    <w:qFormat/>
    <w:rsid w:val="00391F81"/>
    <w:pPr>
      <w:keepNext/>
      <w:widowControl/>
      <w:tabs>
        <w:tab w:val="left" w:pos="420"/>
      </w:tabs>
      <w:adjustRightInd w:val="0"/>
      <w:spacing w:line="240" w:lineRule="auto"/>
      <w:ind w:left="420" w:hanging="420"/>
    </w:pPr>
    <w:rPr>
      <w:b/>
      <w:kern w:val="0"/>
      <w:sz w:val="24"/>
      <w:lang w:val="en-US" w:eastAsia="zh-CN"/>
    </w:rPr>
  </w:style>
  <w:style w:type="paragraph" w:customStyle="1" w:styleId="TableBullets">
    <w:name w:val="Table Bullets"/>
    <w:basedOn w:val="a0"/>
    <w:autoRedefine/>
    <w:qFormat/>
    <w:rsid w:val="00391F81"/>
    <w:pPr>
      <w:widowControl/>
      <w:tabs>
        <w:tab w:val="left" w:pos="2160"/>
      </w:tabs>
      <w:spacing w:before="120" w:after="120"/>
      <w:ind w:left="2160" w:hanging="360"/>
      <w:jc w:val="left"/>
    </w:pPr>
    <w:rPr>
      <w:kern w:val="0"/>
      <w:sz w:val="24"/>
      <w:szCs w:val="20"/>
      <w:lang w:val="en-GB" w:eastAsia="en-US"/>
    </w:rPr>
  </w:style>
  <w:style w:type="paragraph" w:customStyle="1" w:styleId="ExecSumm">
    <w:name w:val="Exec Summ"/>
    <w:autoRedefine/>
    <w:qFormat/>
    <w:rsid w:val="00391F81"/>
    <w:pPr>
      <w:spacing w:before="120" w:after="120"/>
      <w:jc w:val="both"/>
    </w:pPr>
    <w:rPr>
      <w:rFonts w:eastAsia="Batang"/>
      <w:sz w:val="24"/>
      <w:lang w:val="en-GB" w:eastAsia="en-US"/>
    </w:rPr>
  </w:style>
  <w:style w:type="paragraph" w:customStyle="1" w:styleId="Title1">
    <w:name w:val="Title 1"/>
    <w:basedOn w:val="a0"/>
    <w:autoRedefine/>
    <w:qFormat/>
    <w:rsid w:val="00391F81"/>
    <w:pPr>
      <w:numPr>
        <w:numId w:val="74"/>
      </w:numPr>
    </w:pPr>
    <w:rPr>
      <w:rFonts w:ascii="Arial" w:hAnsi="Arial" w:cs="Arial"/>
      <w:b/>
      <w:bCs/>
      <w:caps/>
      <w:sz w:val="28"/>
      <w:szCs w:val="28"/>
    </w:rPr>
  </w:style>
  <w:style w:type="paragraph" w:customStyle="1" w:styleId="afffffffffffffffffffffffffffffffffd">
    <w:name w:val="敬启者："/>
    <w:autoRedefine/>
    <w:qFormat/>
    <w:rsid w:val="00391F81"/>
    <w:pPr>
      <w:widowControl w:val="0"/>
      <w:jc w:val="both"/>
    </w:pPr>
    <w:rPr>
      <w:kern w:val="2"/>
      <w:sz w:val="21"/>
      <w:szCs w:val="24"/>
    </w:rPr>
  </w:style>
  <w:style w:type="paragraph" w:customStyle="1" w:styleId="afffffffffffffffffffffffffffffffffe">
    <w:name w:val="标题四级"/>
    <w:basedOn w:val="4"/>
    <w:next w:val="affffffffffffffffffffffffffffffffff"/>
    <w:autoRedefine/>
    <w:qFormat/>
    <w:rsid w:val="00391F81"/>
    <w:pPr>
      <w:keepNext w:val="0"/>
      <w:keepLines w:val="0"/>
      <w:adjustRightInd w:val="0"/>
      <w:snapToGrid w:val="0"/>
      <w:spacing w:before="100" w:beforeAutospacing="1" w:after="100" w:afterAutospacing="1" w:line="360" w:lineRule="auto"/>
      <w:jc w:val="both"/>
    </w:pPr>
    <w:rPr>
      <w:rFonts w:ascii="Times New Roman" w:eastAsia="宋体" w:hAnsi="Times New Roman"/>
      <w:snapToGrid w:val="0"/>
      <w:color w:val="000000"/>
      <w:sz w:val="28"/>
    </w:rPr>
  </w:style>
  <w:style w:type="paragraph" w:customStyle="1" w:styleId="affffffffffffffffffffffffffffffffff">
    <w:name w:val="通用正文"/>
    <w:basedOn w:val="a0"/>
    <w:autoRedefine/>
    <w:qFormat/>
    <w:rsid w:val="00391F81"/>
    <w:pPr>
      <w:spacing w:line="360" w:lineRule="auto"/>
      <w:ind w:firstLineChars="200" w:firstLine="480"/>
    </w:pPr>
    <w:rPr>
      <w:sz w:val="28"/>
    </w:rPr>
  </w:style>
  <w:style w:type="character" w:customStyle="1" w:styleId="CharCharffff5">
    <w:name w:val="文字正文 Char Char"/>
    <w:link w:val="affffffffffffffffffffffffffffffffff0"/>
    <w:autoRedefine/>
    <w:qFormat/>
    <w:rsid w:val="00391F81"/>
    <w:rPr>
      <w:sz w:val="28"/>
      <w:szCs w:val="28"/>
    </w:rPr>
  </w:style>
  <w:style w:type="paragraph" w:customStyle="1" w:styleId="affffffffffffffffffffffffffffffffff0">
    <w:name w:val="文字正文"/>
    <w:basedOn w:val="a0"/>
    <w:link w:val="CharCharffff5"/>
    <w:qFormat/>
    <w:rsid w:val="00391F81"/>
    <w:pPr>
      <w:spacing w:line="500" w:lineRule="exact"/>
      <w:ind w:firstLineChars="200" w:firstLine="560"/>
    </w:pPr>
    <w:rPr>
      <w:kern w:val="0"/>
      <w:sz w:val="28"/>
      <w:szCs w:val="28"/>
      <w:lang w:val="x-none" w:eastAsia="x-none"/>
    </w:rPr>
  </w:style>
  <w:style w:type="paragraph" w:customStyle="1" w:styleId="1fffffffb">
    <w:name w:val="样式1 正文"/>
    <w:basedOn w:val="52"/>
    <w:next w:val="a0"/>
    <w:autoRedefine/>
    <w:qFormat/>
    <w:rsid w:val="00391F81"/>
    <w:pPr>
      <w:tabs>
        <w:tab w:val="clear" w:pos="900"/>
        <w:tab w:val="left" w:pos="2040"/>
      </w:tabs>
      <w:autoSpaceDE/>
      <w:autoSpaceDN/>
      <w:adjustRightInd/>
      <w:snapToGrid w:val="0"/>
      <w:spacing w:line="420" w:lineRule="auto"/>
      <w:ind w:left="0" w:firstLineChars="200" w:firstLine="200"/>
      <w:jc w:val="both"/>
      <w:textAlignment w:val="auto"/>
    </w:pPr>
    <w:rPr>
      <w:rFonts w:ascii="宋体" w:hAnsi="宋体" w:cs="Courier New"/>
      <w:kern w:val="2"/>
      <w:sz w:val="21"/>
      <w:szCs w:val="21"/>
    </w:rPr>
  </w:style>
  <w:style w:type="character" w:customStyle="1" w:styleId="StyleComplexArialItalic">
    <w:name w:val="Style (Complex) Arial Italic"/>
    <w:autoRedefine/>
    <w:qFormat/>
    <w:rsid w:val="00391F81"/>
    <w:rPr>
      <w:rFonts w:ascii="Arial" w:hAnsi="Arial" w:cs="Arial"/>
      <w:i/>
      <w:i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0201">
      <w:bodyDiv w:val="1"/>
      <w:marLeft w:val="0"/>
      <w:marRight w:val="0"/>
      <w:marTop w:val="0"/>
      <w:marBottom w:val="0"/>
      <w:divBdr>
        <w:top w:val="none" w:sz="0" w:space="0" w:color="auto"/>
        <w:left w:val="none" w:sz="0" w:space="0" w:color="auto"/>
        <w:bottom w:val="none" w:sz="0" w:space="0" w:color="auto"/>
        <w:right w:val="none" w:sz="0" w:space="0" w:color="auto"/>
      </w:divBdr>
    </w:div>
    <w:div w:id="58670712">
      <w:bodyDiv w:val="1"/>
      <w:marLeft w:val="0"/>
      <w:marRight w:val="0"/>
      <w:marTop w:val="0"/>
      <w:marBottom w:val="0"/>
      <w:divBdr>
        <w:top w:val="none" w:sz="0" w:space="0" w:color="auto"/>
        <w:left w:val="none" w:sz="0" w:space="0" w:color="auto"/>
        <w:bottom w:val="none" w:sz="0" w:space="0" w:color="auto"/>
        <w:right w:val="none" w:sz="0" w:space="0" w:color="auto"/>
      </w:divBdr>
    </w:div>
    <w:div w:id="121266066">
      <w:bodyDiv w:val="1"/>
      <w:marLeft w:val="0"/>
      <w:marRight w:val="0"/>
      <w:marTop w:val="0"/>
      <w:marBottom w:val="0"/>
      <w:divBdr>
        <w:top w:val="none" w:sz="0" w:space="0" w:color="auto"/>
        <w:left w:val="none" w:sz="0" w:space="0" w:color="auto"/>
        <w:bottom w:val="none" w:sz="0" w:space="0" w:color="auto"/>
        <w:right w:val="none" w:sz="0" w:space="0" w:color="auto"/>
      </w:divBdr>
    </w:div>
    <w:div w:id="240021034">
      <w:bodyDiv w:val="1"/>
      <w:marLeft w:val="0"/>
      <w:marRight w:val="0"/>
      <w:marTop w:val="0"/>
      <w:marBottom w:val="0"/>
      <w:divBdr>
        <w:top w:val="none" w:sz="0" w:space="0" w:color="auto"/>
        <w:left w:val="none" w:sz="0" w:space="0" w:color="auto"/>
        <w:bottom w:val="none" w:sz="0" w:space="0" w:color="auto"/>
        <w:right w:val="none" w:sz="0" w:space="0" w:color="auto"/>
      </w:divBdr>
    </w:div>
    <w:div w:id="289170197">
      <w:bodyDiv w:val="1"/>
      <w:marLeft w:val="0"/>
      <w:marRight w:val="0"/>
      <w:marTop w:val="0"/>
      <w:marBottom w:val="0"/>
      <w:divBdr>
        <w:top w:val="none" w:sz="0" w:space="0" w:color="auto"/>
        <w:left w:val="none" w:sz="0" w:space="0" w:color="auto"/>
        <w:bottom w:val="none" w:sz="0" w:space="0" w:color="auto"/>
        <w:right w:val="none" w:sz="0" w:space="0" w:color="auto"/>
      </w:divBdr>
    </w:div>
    <w:div w:id="410275694">
      <w:bodyDiv w:val="1"/>
      <w:marLeft w:val="0"/>
      <w:marRight w:val="0"/>
      <w:marTop w:val="0"/>
      <w:marBottom w:val="0"/>
      <w:divBdr>
        <w:top w:val="none" w:sz="0" w:space="0" w:color="auto"/>
        <w:left w:val="none" w:sz="0" w:space="0" w:color="auto"/>
        <w:bottom w:val="none" w:sz="0" w:space="0" w:color="auto"/>
        <w:right w:val="none" w:sz="0" w:space="0" w:color="auto"/>
      </w:divBdr>
    </w:div>
    <w:div w:id="440685182">
      <w:bodyDiv w:val="1"/>
      <w:marLeft w:val="0"/>
      <w:marRight w:val="0"/>
      <w:marTop w:val="0"/>
      <w:marBottom w:val="0"/>
      <w:divBdr>
        <w:top w:val="none" w:sz="0" w:space="0" w:color="auto"/>
        <w:left w:val="none" w:sz="0" w:space="0" w:color="auto"/>
        <w:bottom w:val="none" w:sz="0" w:space="0" w:color="auto"/>
        <w:right w:val="none" w:sz="0" w:space="0" w:color="auto"/>
      </w:divBdr>
    </w:div>
    <w:div w:id="445270563">
      <w:bodyDiv w:val="1"/>
      <w:marLeft w:val="0"/>
      <w:marRight w:val="0"/>
      <w:marTop w:val="0"/>
      <w:marBottom w:val="0"/>
      <w:divBdr>
        <w:top w:val="none" w:sz="0" w:space="0" w:color="auto"/>
        <w:left w:val="none" w:sz="0" w:space="0" w:color="auto"/>
        <w:bottom w:val="none" w:sz="0" w:space="0" w:color="auto"/>
        <w:right w:val="none" w:sz="0" w:space="0" w:color="auto"/>
      </w:divBdr>
    </w:div>
    <w:div w:id="479615534">
      <w:bodyDiv w:val="1"/>
      <w:marLeft w:val="0"/>
      <w:marRight w:val="0"/>
      <w:marTop w:val="0"/>
      <w:marBottom w:val="0"/>
      <w:divBdr>
        <w:top w:val="none" w:sz="0" w:space="0" w:color="auto"/>
        <w:left w:val="none" w:sz="0" w:space="0" w:color="auto"/>
        <w:bottom w:val="none" w:sz="0" w:space="0" w:color="auto"/>
        <w:right w:val="none" w:sz="0" w:space="0" w:color="auto"/>
      </w:divBdr>
    </w:div>
    <w:div w:id="489054884">
      <w:bodyDiv w:val="1"/>
      <w:marLeft w:val="0"/>
      <w:marRight w:val="0"/>
      <w:marTop w:val="0"/>
      <w:marBottom w:val="0"/>
      <w:divBdr>
        <w:top w:val="none" w:sz="0" w:space="0" w:color="auto"/>
        <w:left w:val="none" w:sz="0" w:space="0" w:color="auto"/>
        <w:bottom w:val="none" w:sz="0" w:space="0" w:color="auto"/>
        <w:right w:val="none" w:sz="0" w:space="0" w:color="auto"/>
      </w:divBdr>
    </w:div>
    <w:div w:id="555237818">
      <w:bodyDiv w:val="1"/>
      <w:marLeft w:val="0"/>
      <w:marRight w:val="0"/>
      <w:marTop w:val="0"/>
      <w:marBottom w:val="0"/>
      <w:divBdr>
        <w:top w:val="none" w:sz="0" w:space="0" w:color="auto"/>
        <w:left w:val="none" w:sz="0" w:space="0" w:color="auto"/>
        <w:bottom w:val="none" w:sz="0" w:space="0" w:color="auto"/>
        <w:right w:val="none" w:sz="0" w:space="0" w:color="auto"/>
      </w:divBdr>
    </w:div>
    <w:div w:id="642274936">
      <w:bodyDiv w:val="1"/>
      <w:marLeft w:val="0"/>
      <w:marRight w:val="0"/>
      <w:marTop w:val="0"/>
      <w:marBottom w:val="0"/>
      <w:divBdr>
        <w:top w:val="none" w:sz="0" w:space="0" w:color="auto"/>
        <w:left w:val="none" w:sz="0" w:space="0" w:color="auto"/>
        <w:bottom w:val="none" w:sz="0" w:space="0" w:color="auto"/>
        <w:right w:val="none" w:sz="0" w:space="0" w:color="auto"/>
      </w:divBdr>
    </w:div>
    <w:div w:id="686441172">
      <w:bodyDiv w:val="1"/>
      <w:marLeft w:val="0"/>
      <w:marRight w:val="0"/>
      <w:marTop w:val="0"/>
      <w:marBottom w:val="0"/>
      <w:divBdr>
        <w:top w:val="none" w:sz="0" w:space="0" w:color="auto"/>
        <w:left w:val="none" w:sz="0" w:space="0" w:color="auto"/>
        <w:bottom w:val="none" w:sz="0" w:space="0" w:color="auto"/>
        <w:right w:val="none" w:sz="0" w:space="0" w:color="auto"/>
      </w:divBdr>
    </w:div>
    <w:div w:id="703866815">
      <w:bodyDiv w:val="1"/>
      <w:marLeft w:val="0"/>
      <w:marRight w:val="0"/>
      <w:marTop w:val="0"/>
      <w:marBottom w:val="0"/>
      <w:divBdr>
        <w:top w:val="none" w:sz="0" w:space="0" w:color="auto"/>
        <w:left w:val="none" w:sz="0" w:space="0" w:color="auto"/>
        <w:bottom w:val="none" w:sz="0" w:space="0" w:color="auto"/>
        <w:right w:val="none" w:sz="0" w:space="0" w:color="auto"/>
      </w:divBdr>
    </w:div>
    <w:div w:id="712392338">
      <w:bodyDiv w:val="1"/>
      <w:marLeft w:val="0"/>
      <w:marRight w:val="0"/>
      <w:marTop w:val="0"/>
      <w:marBottom w:val="0"/>
      <w:divBdr>
        <w:top w:val="none" w:sz="0" w:space="0" w:color="auto"/>
        <w:left w:val="none" w:sz="0" w:space="0" w:color="auto"/>
        <w:bottom w:val="none" w:sz="0" w:space="0" w:color="auto"/>
        <w:right w:val="none" w:sz="0" w:space="0" w:color="auto"/>
      </w:divBdr>
    </w:div>
    <w:div w:id="746852674">
      <w:bodyDiv w:val="1"/>
      <w:marLeft w:val="0"/>
      <w:marRight w:val="0"/>
      <w:marTop w:val="0"/>
      <w:marBottom w:val="0"/>
      <w:divBdr>
        <w:top w:val="none" w:sz="0" w:space="0" w:color="auto"/>
        <w:left w:val="none" w:sz="0" w:space="0" w:color="auto"/>
        <w:bottom w:val="none" w:sz="0" w:space="0" w:color="auto"/>
        <w:right w:val="none" w:sz="0" w:space="0" w:color="auto"/>
      </w:divBdr>
    </w:div>
    <w:div w:id="829098369">
      <w:bodyDiv w:val="1"/>
      <w:marLeft w:val="0"/>
      <w:marRight w:val="0"/>
      <w:marTop w:val="0"/>
      <w:marBottom w:val="0"/>
      <w:divBdr>
        <w:top w:val="none" w:sz="0" w:space="0" w:color="auto"/>
        <w:left w:val="none" w:sz="0" w:space="0" w:color="auto"/>
        <w:bottom w:val="none" w:sz="0" w:space="0" w:color="auto"/>
        <w:right w:val="none" w:sz="0" w:space="0" w:color="auto"/>
      </w:divBdr>
    </w:div>
    <w:div w:id="876239667">
      <w:bodyDiv w:val="1"/>
      <w:marLeft w:val="0"/>
      <w:marRight w:val="0"/>
      <w:marTop w:val="0"/>
      <w:marBottom w:val="0"/>
      <w:divBdr>
        <w:top w:val="none" w:sz="0" w:space="0" w:color="auto"/>
        <w:left w:val="none" w:sz="0" w:space="0" w:color="auto"/>
        <w:bottom w:val="none" w:sz="0" w:space="0" w:color="auto"/>
        <w:right w:val="none" w:sz="0" w:space="0" w:color="auto"/>
      </w:divBdr>
    </w:div>
    <w:div w:id="896665940">
      <w:bodyDiv w:val="1"/>
      <w:marLeft w:val="0"/>
      <w:marRight w:val="0"/>
      <w:marTop w:val="0"/>
      <w:marBottom w:val="0"/>
      <w:divBdr>
        <w:top w:val="none" w:sz="0" w:space="0" w:color="auto"/>
        <w:left w:val="none" w:sz="0" w:space="0" w:color="auto"/>
        <w:bottom w:val="none" w:sz="0" w:space="0" w:color="auto"/>
        <w:right w:val="none" w:sz="0" w:space="0" w:color="auto"/>
      </w:divBdr>
    </w:div>
    <w:div w:id="928268002">
      <w:bodyDiv w:val="1"/>
      <w:marLeft w:val="0"/>
      <w:marRight w:val="0"/>
      <w:marTop w:val="0"/>
      <w:marBottom w:val="0"/>
      <w:divBdr>
        <w:top w:val="none" w:sz="0" w:space="0" w:color="auto"/>
        <w:left w:val="none" w:sz="0" w:space="0" w:color="auto"/>
        <w:bottom w:val="none" w:sz="0" w:space="0" w:color="auto"/>
        <w:right w:val="none" w:sz="0" w:space="0" w:color="auto"/>
      </w:divBdr>
    </w:div>
    <w:div w:id="956060037">
      <w:bodyDiv w:val="1"/>
      <w:marLeft w:val="0"/>
      <w:marRight w:val="0"/>
      <w:marTop w:val="0"/>
      <w:marBottom w:val="0"/>
      <w:divBdr>
        <w:top w:val="none" w:sz="0" w:space="0" w:color="auto"/>
        <w:left w:val="none" w:sz="0" w:space="0" w:color="auto"/>
        <w:bottom w:val="none" w:sz="0" w:space="0" w:color="auto"/>
        <w:right w:val="none" w:sz="0" w:space="0" w:color="auto"/>
      </w:divBdr>
    </w:div>
    <w:div w:id="988482827">
      <w:bodyDiv w:val="1"/>
      <w:marLeft w:val="0"/>
      <w:marRight w:val="0"/>
      <w:marTop w:val="0"/>
      <w:marBottom w:val="0"/>
      <w:divBdr>
        <w:top w:val="none" w:sz="0" w:space="0" w:color="auto"/>
        <w:left w:val="none" w:sz="0" w:space="0" w:color="auto"/>
        <w:bottom w:val="none" w:sz="0" w:space="0" w:color="auto"/>
        <w:right w:val="none" w:sz="0" w:space="0" w:color="auto"/>
      </w:divBdr>
    </w:div>
    <w:div w:id="996148065">
      <w:bodyDiv w:val="1"/>
      <w:marLeft w:val="0"/>
      <w:marRight w:val="0"/>
      <w:marTop w:val="0"/>
      <w:marBottom w:val="0"/>
      <w:divBdr>
        <w:top w:val="none" w:sz="0" w:space="0" w:color="auto"/>
        <w:left w:val="none" w:sz="0" w:space="0" w:color="auto"/>
        <w:bottom w:val="none" w:sz="0" w:space="0" w:color="auto"/>
        <w:right w:val="none" w:sz="0" w:space="0" w:color="auto"/>
      </w:divBdr>
    </w:div>
    <w:div w:id="1048989683">
      <w:bodyDiv w:val="1"/>
      <w:marLeft w:val="0"/>
      <w:marRight w:val="0"/>
      <w:marTop w:val="0"/>
      <w:marBottom w:val="0"/>
      <w:divBdr>
        <w:top w:val="none" w:sz="0" w:space="0" w:color="auto"/>
        <w:left w:val="none" w:sz="0" w:space="0" w:color="auto"/>
        <w:bottom w:val="none" w:sz="0" w:space="0" w:color="auto"/>
        <w:right w:val="none" w:sz="0" w:space="0" w:color="auto"/>
      </w:divBdr>
    </w:div>
    <w:div w:id="1056973724">
      <w:bodyDiv w:val="1"/>
      <w:marLeft w:val="0"/>
      <w:marRight w:val="0"/>
      <w:marTop w:val="0"/>
      <w:marBottom w:val="0"/>
      <w:divBdr>
        <w:top w:val="none" w:sz="0" w:space="0" w:color="auto"/>
        <w:left w:val="none" w:sz="0" w:space="0" w:color="auto"/>
        <w:bottom w:val="none" w:sz="0" w:space="0" w:color="auto"/>
        <w:right w:val="none" w:sz="0" w:space="0" w:color="auto"/>
      </w:divBdr>
    </w:div>
    <w:div w:id="1125731448">
      <w:bodyDiv w:val="1"/>
      <w:marLeft w:val="0"/>
      <w:marRight w:val="0"/>
      <w:marTop w:val="0"/>
      <w:marBottom w:val="0"/>
      <w:divBdr>
        <w:top w:val="none" w:sz="0" w:space="0" w:color="auto"/>
        <w:left w:val="none" w:sz="0" w:space="0" w:color="auto"/>
        <w:bottom w:val="none" w:sz="0" w:space="0" w:color="auto"/>
        <w:right w:val="none" w:sz="0" w:space="0" w:color="auto"/>
      </w:divBdr>
    </w:div>
    <w:div w:id="1129710184">
      <w:bodyDiv w:val="1"/>
      <w:marLeft w:val="0"/>
      <w:marRight w:val="0"/>
      <w:marTop w:val="0"/>
      <w:marBottom w:val="0"/>
      <w:divBdr>
        <w:top w:val="none" w:sz="0" w:space="0" w:color="auto"/>
        <w:left w:val="none" w:sz="0" w:space="0" w:color="auto"/>
        <w:bottom w:val="none" w:sz="0" w:space="0" w:color="auto"/>
        <w:right w:val="none" w:sz="0" w:space="0" w:color="auto"/>
      </w:divBdr>
    </w:div>
    <w:div w:id="1191991153">
      <w:bodyDiv w:val="1"/>
      <w:marLeft w:val="0"/>
      <w:marRight w:val="0"/>
      <w:marTop w:val="0"/>
      <w:marBottom w:val="0"/>
      <w:divBdr>
        <w:top w:val="none" w:sz="0" w:space="0" w:color="auto"/>
        <w:left w:val="none" w:sz="0" w:space="0" w:color="auto"/>
        <w:bottom w:val="none" w:sz="0" w:space="0" w:color="auto"/>
        <w:right w:val="none" w:sz="0" w:space="0" w:color="auto"/>
      </w:divBdr>
    </w:div>
    <w:div w:id="1252929213">
      <w:bodyDiv w:val="1"/>
      <w:marLeft w:val="0"/>
      <w:marRight w:val="0"/>
      <w:marTop w:val="0"/>
      <w:marBottom w:val="0"/>
      <w:divBdr>
        <w:top w:val="none" w:sz="0" w:space="0" w:color="auto"/>
        <w:left w:val="none" w:sz="0" w:space="0" w:color="auto"/>
        <w:bottom w:val="none" w:sz="0" w:space="0" w:color="auto"/>
        <w:right w:val="none" w:sz="0" w:space="0" w:color="auto"/>
      </w:divBdr>
    </w:div>
    <w:div w:id="1328443151">
      <w:bodyDiv w:val="1"/>
      <w:marLeft w:val="0"/>
      <w:marRight w:val="0"/>
      <w:marTop w:val="0"/>
      <w:marBottom w:val="0"/>
      <w:divBdr>
        <w:top w:val="none" w:sz="0" w:space="0" w:color="auto"/>
        <w:left w:val="none" w:sz="0" w:space="0" w:color="auto"/>
        <w:bottom w:val="none" w:sz="0" w:space="0" w:color="auto"/>
        <w:right w:val="none" w:sz="0" w:space="0" w:color="auto"/>
      </w:divBdr>
    </w:div>
    <w:div w:id="1373119360">
      <w:bodyDiv w:val="1"/>
      <w:marLeft w:val="0"/>
      <w:marRight w:val="0"/>
      <w:marTop w:val="0"/>
      <w:marBottom w:val="0"/>
      <w:divBdr>
        <w:top w:val="none" w:sz="0" w:space="0" w:color="auto"/>
        <w:left w:val="none" w:sz="0" w:space="0" w:color="auto"/>
        <w:bottom w:val="none" w:sz="0" w:space="0" w:color="auto"/>
        <w:right w:val="none" w:sz="0" w:space="0" w:color="auto"/>
      </w:divBdr>
    </w:div>
    <w:div w:id="1420175141">
      <w:bodyDiv w:val="1"/>
      <w:marLeft w:val="0"/>
      <w:marRight w:val="0"/>
      <w:marTop w:val="0"/>
      <w:marBottom w:val="0"/>
      <w:divBdr>
        <w:top w:val="none" w:sz="0" w:space="0" w:color="auto"/>
        <w:left w:val="none" w:sz="0" w:space="0" w:color="auto"/>
        <w:bottom w:val="none" w:sz="0" w:space="0" w:color="auto"/>
        <w:right w:val="none" w:sz="0" w:space="0" w:color="auto"/>
      </w:divBdr>
    </w:div>
    <w:div w:id="1435369523">
      <w:bodyDiv w:val="1"/>
      <w:marLeft w:val="0"/>
      <w:marRight w:val="0"/>
      <w:marTop w:val="0"/>
      <w:marBottom w:val="0"/>
      <w:divBdr>
        <w:top w:val="none" w:sz="0" w:space="0" w:color="auto"/>
        <w:left w:val="none" w:sz="0" w:space="0" w:color="auto"/>
        <w:bottom w:val="none" w:sz="0" w:space="0" w:color="auto"/>
        <w:right w:val="none" w:sz="0" w:space="0" w:color="auto"/>
      </w:divBdr>
    </w:div>
    <w:div w:id="1466392341">
      <w:bodyDiv w:val="1"/>
      <w:marLeft w:val="0"/>
      <w:marRight w:val="0"/>
      <w:marTop w:val="0"/>
      <w:marBottom w:val="0"/>
      <w:divBdr>
        <w:top w:val="none" w:sz="0" w:space="0" w:color="auto"/>
        <w:left w:val="none" w:sz="0" w:space="0" w:color="auto"/>
        <w:bottom w:val="none" w:sz="0" w:space="0" w:color="auto"/>
        <w:right w:val="none" w:sz="0" w:space="0" w:color="auto"/>
      </w:divBdr>
    </w:div>
    <w:div w:id="1479960720">
      <w:bodyDiv w:val="1"/>
      <w:marLeft w:val="0"/>
      <w:marRight w:val="0"/>
      <w:marTop w:val="0"/>
      <w:marBottom w:val="0"/>
      <w:divBdr>
        <w:top w:val="none" w:sz="0" w:space="0" w:color="auto"/>
        <w:left w:val="none" w:sz="0" w:space="0" w:color="auto"/>
        <w:bottom w:val="none" w:sz="0" w:space="0" w:color="auto"/>
        <w:right w:val="none" w:sz="0" w:space="0" w:color="auto"/>
      </w:divBdr>
    </w:div>
    <w:div w:id="1499538941">
      <w:bodyDiv w:val="1"/>
      <w:marLeft w:val="0"/>
      <w:marRight w:val="0"/>
      <w:marTop w:val="0"/>
      <w:marBottom w:val="0"/>
      <w:divBdr>
        <w:top w:val="none" w:sz="0" w:space="0" w:color="auto"/>
        <w:left w:val="none" w:sz="0" w:space="0" w:color="auto"/>
        <w:bottom w:val="none" w:sz="0" w:space="0" w:color="auto"/>
        <w:right w:val="none" w:sz="0" w:space="0" w:color="auto"/>
      </w:divBdr>
    </w:div>
    <w:div w:id="1517649466">
      <w:bodyDiv w:val="1"/>
      <w:marLeft w:val="0"/>
      <w:marRight w:val="0"/>
      <w:marTop w:val="0"/>
      <w:marBottom w:val="0"/>
      <w:divBdr>
        <w:top w:val="none" w:sz="0" w:space="0" w:color="auto"/>
        <w:left w:val="none" w:sz="0" w:space="0" w:color="auto"/>
        <w:bottom w:val="none" w:sz="0" w:space="0" w:color="auto"/>
        <w:right w:val="none" w:sz="0" w:space="0" w:color="auto"/>
      </w:divBdr>
    </w:div>
    <w:div w:id="1519001130">
      <w:bodyDiv w:val="1"/>
      <w:marLeft w:val="0"/>
      <w:marRight w:val="0"/>
      <w:marTop w:val="0"/>
      <w:marBottom w:val="0"/>
      <w:divBdr>
        <w:top w:val="none" w:sz="0" w:space="0" w:color="auto"/>
        <w:left w:val="none" w:sz="0" w:space="0" w:color="auto"/>
        <w:bottom w:val="none" w:sz="0" w:space="0" w:color="auto"/>
        <w:right w:val="none" w:sz="0" w:space="0" w:color="auto"/>
      </w:divBdr>
    </w:div>
    <w:div w:id="1527407281">
      <w:bodyDiv w:val="1"/>
      <w:marLeft w:val="0"/>
      <w:marRight w:val="0"/>
      <w:marTop w:val="0"/>
      <w:marBottom w:val="0"/>
      <w:divBdr>
        <w:top w:val="none" w:sz="0" w:space="0" w:color="auto"/>
        <w:left w:val="none" w:sz="0" w:space="0" w:color="auto"/>
        <w:bottom w:val="none" w:sz="0" w:space="0" w:color="auto"/>
        <w:right w:val="none" w:sz="0" w:space="0" w:color="auto"/>
      </w:divBdr>
    </w:div>
    <w:div w:id="1530484938">
      <w:bodyDiv w:val="1"/>
      <w:marLeft w:val="0"/>
      <w:marRight w:val="0"/>
      <w:marTop w:val="0"/>
      <w:marBottom w:val="0"/>
      <w:divBdr>
        <w:top w:val="none" w:sz="0" w:space="0" w:color="auto"/>
        <w:left w:val="none" w:sz="0" w:space="0" w:color="auto"/>
        <w:bottom w:val="none" w:sz="0" w:space="0" w:color="auto"/>
        <w:right w:val="none" w:sz="0" w:space="0" w:color="auto"/>
      </w:divBdr>
    </w:div>
    <w:div w:id="1535770647">
      <w:bodyDiv w:val="1"/>
      <w:marLeft w:val="0"/>
      <w:marRight w:val="0"/>
      <w:marTop w:val="0"/>
      <w:marBottom w:val="0"/>
      <w:divBdr>
        <w:top w:val="none" w:sz="0" w:space="0" w:color="auto"/>
        <w:left w:val="none" w:sz="0" w:space="0" w:color="auto"/>
        <w:bottom w:val="none" w:sz="0" w:space="0" w:color="auto"/>
        <w:right w:val="none" w:sz="0" w:space="0" w:color="auto"/>
      </w:divBdr>
    </w:div>
    <w:div w:id="1548486414">
      <w:bodyDiv w:val="1"/>
      <w:marLeft w:val="0"/>
      <w:marRight w:val="0"/>
      <w:marTop w:val="0"/>
      <w:marBottom w:val="0"/>
      <w:divBdr>
        <w:top w:val="none" w:sz="0" w:space="0" w:color="auto"/>
        <w:left w:val="none" w:sz="0" w:space="0" w:color="auto"/>
        <w:bottom w:val="none" w:sz="0" w:space="0" w:color="auto"/>
        <w:right w:val="none" w:sz="0" w:space="0" w:color="auto"/>
      </w:divBdr>
    </w:div>
    <w:div w:id="1560552741">
      <w:bodyDiv w:val="1"/>
      <w:marLeft w:val="0"/>
      <w:marRight w:val="0"/>
      <w:marTop w:val="0"/>
      <w:marBottom w:val="0"/>
      <w:divBdr>
        <w:top w:val="none" w:sz="0" w:space="0" w:color="auto"/>
        <w:left w:val="none" w:sz="0" w:space="0" w:color="auto"/>
        <w:bottom w:val="none" w:sz="0" w:space="0" w:color="auto"/>
        <w:right w:val="none" w:sz="0" w:space="0" w:color="auto"/>
      </w:divBdr>
    </w:div>
    <w:div w:id="1565407397">
      <w:bodyDiv w:val="1"/>
      <w:marLeft w:val="0"/>
      <w:marRight w:val="0"/>
      <w:marTop w:val="0"/>
      <w:marBottom w:val="0"/>
      <w:divBdr>
        <w:top w:val="none" w:sz="0" w:space="0" w:color="auto"/>
        <w:left w:val="none" w:sz="0" w:space="0" w:color="auto"/>
        <w:bottom w:val="none" w:sz="0" w:space="0" w:color="auto"/>
        <w:right w:val="none" w:sz="0" w:space="0" w:color="auto"/>
      </w:divBdr>
    </w:div>
    <w:div w:id="1657493661">
      <w:bodyDiv w:val="1"/>
      <w:marLeft w:val="0"/>
      <w:marRight w:val="0"/>
      <w:marTop w:val="0"/>
      <w:marBottom w:val="0"/>
      <w:divBdr>
        <w:top w:val="none" w:sz="0" w:space="0" w:color="auto"/>
        <w:left w:val="none" w:sz="0" w:space="0" w:color="auto"/>
        <w:bottom w:val="none" w:sz="0" w:space="0" w:color="auto"/>
        <w:right w:val="none" w:sz="0" w:space="0" w:color="auto"/>
      </w:divBdr>
    </w:div>
    <w:div w:id="1667780827">
      <w:bodyDiv w:val="1"/>
      <w:marLeft w:val="0"/>
      <w:marRight w:val="0"/>
      <w:marTop w:val="0"/>
      <w:marBottom w:val="0"/>
      <w:divBdr>
        <w:top w:val="none" w:sz="0" w:space="0" w:color="auto"/>
        <w:left w:val="none" w:sz="0" w:space="0" w:color="auto"/>
        <w:bottom w:val="none" w:sz="0" w:space="0" w:color="auto"/>
        <w:right w:val="none" w:sz="0" w:space="0" w:color="auto"/>
      </w:divBdr>
    </w:div>
    <w:div w:id="1679382181">
      <w:bodyDiv w:val="1"/>
      <w:marLeft w:val="0"/>
      <w:marRight w:val="0"/>
      <w:marTop w:val="0"/>
      <w:marBottom w:val="0"/>
      <w:divBdr>
        <w:top w:val="none" w:sz="0" w:space="0" w:color="auto"/>
        <w:left w:val="none" w:sz="0" w:space="0" w:color="auto"/>
        <w:bottom w:val="none" w:sz="0" w:space="0" w:color="auto"/>
        <w:right w:val="none" w:sz="0" w:space="0" w:color="auto"/>
      </w:divBdr>
    </w:div>
    <w:div w:id="1693919907">
      <w:bodyDiv w:val="1"/>
      <w:marLeft w:val="0"/>
      <w:marRight w:val="0"/>
      <w:marTop w:val="0"/>
      <w:marBottom w:val="0"/>
      <w:divBdr>
        <w:top w:val="none" w:sz="0" w:space="0" w:color="auto"/>
        <w:left w:val="none" w:sz="0" w:space="0" w:color="auto"/>
        <w:bottom w:val="none" w:sz="0" w:space="0" w:color="auto"/>
        <w:right w:val="none" w:sz="0" w:space="0" w:color="auto"/>
      </w:divBdr>
    </w:div>
    <w:div w:id="1699618045">
      <w:bodyDiv w:val="1"/>
      <w:marLeft w:val="0"/>
      <w:marRight w:val="0"/>
      <w:marTop w:val="0"/>
      <w:marBottom w:val="0"/>
      <w:divBdr>
        <w:top w:val="none" w:sz="0" w:space="0" w:color="auto"/>
        <w:left w:val="none" w:sz="0" w:space="0" w:color="auto"/>
        <w:bottom w:val="none" w:sz="0" w:space="0" w:color="auto"/>
        <w:right w:val="none" w:sz="0" w:space="0" w:color="auto"/>
      </w:divBdr>
    </w:div>
    <w:div w:id="1704943710">
      <w:bodyDiv w:val="1"/>
      <w:marLeft w:val="0"/>
      <w:marRight w:val="0"/>
      <w:marTop w:val="0"/>
      <w:marBottom w:val="0"/>
      <w:divBdr>
        <w:top w:val="none" w:sz="0" w:space="0" w:color="auto"/>
        <w:left w:val="none" w:sz="0" w:space="0" w:color="auto"/>
        <w:bottom w:val="none" w:sz="0" w:space="0" w:color="auto"/>
        <w:right w:val="none" w:sz="0" w:space="0" w:color="auto"/>
      </w:divBdr>
    </w:div>
    <w:div w:id="1780757808">
      <w:bodyDiv w:val="1"/>
      <w:marLeft w:val="0"/>
      <w:marRight w:val="0"/>
      <w:marTop w:val="0"/>
      <w:marBottom w:val="0"/>
      <w:divBdr>
        <w:top w:val="none" w:sz="0" w:space="0" w:color="auto"/>
        <w:left w:val="none" w:sz="0" w:space="0" w:color="auto"/>
        <w:bottom w:val="none" w:sz="0" w:space="0" w:color="auto"/>
        <w:right w:val="none" w:sz="0" w:space="0" w:color="auto"/>
      </w:divBdr>
    </w:div>
    <w:div w:id="1844856673">
      <w:bodyDiv w:val="1"/>
      <w:marLeft w:val="0"/>
      <w:marRight w:val="0"/>
      <w:marTop w:val="0"/>
      <w:marBottom w:val="0"/>
      <w:divBdr>
        <w:top w:val="none" w:sz="0" w:space="0" w:color="auto"/>
        <w:left w:val="none" w:sz="0" w:space="0" w:color="auto"/>
        <w:bottom w:val="none" w:sz="0" w:space="0" w:color="auto"/>
        <w:right w:val="none" w:sz="0" w:space="0" w:color="auto"/>
      </w:divBdr>
    </w:div>
    <w:div w:id="1898855520">
      <w:bodyDiv w:val="1"/>
      <w:marLeft w:val="0"/>
      <w:marRight w:val="0"/>
      <w:marTop w:val="0"/>
      <w:marBottom w:val="0"/>
      <w:divBdr>
        <w:top w:val="none" w:sz="0" w:space="0" w:color="auto"/>
        <w:left w:val="none" w:sz="0" w:space="0" w:color="auto"/>
        <w:bottom w:val="none" w:sz="0" w:space="0" w:color="auto"/>
        <w:right w:val="none" w:sz="0" w:space="0" w:color="auto"/>
      </w:divBdr>
    </w:div>
    <w:div w:id="1956718246">
      <w:bodyDiv w:val="1"/>
      <w:marLeft w:val="0"/>
      <w:marRight w:val="0"/>
      <w:marTop w:val="0"/>
      <w:marBottom w:val="0"/>
      <w:divBdr>
        <w:top w:val="none" w:sz="0" w:space="0" w:color="auto"/>
        <w:left w:val="none" w:sz="0" w:space="0" w:color="auto"/>
        <w:bottom w:val="none" w:sz="0" w:space="0" w:color="auto"/>
        <w:right w:val="none" w:sz="0" w:space="0" w:color="auto"/>
      </w:divBdr>
    </w:div>
    <w:div w:id="1973703535">
      <w:bodyDiv w:val="1"/>
      <w:marLeft w:val="0"/>
      <w:marRight w:val="0"/>
      <w:marTop w:val="0"/>
      <w:marBottom w:val="0"/>
      <w:divBdr>
        <w:top w:val="none" w:sz="0" w:space="0" w:color="auto"/>
        <w:left w:val="none" w:sz="0" w:space="0" w:color="auto"/>
        <w:bottom w:val="none" w:sz="0" w:space="0" w:color="auto"/>
        <w:right w:val="none" w:sz="0" w:space="0" w:color="auto"/>
      </w:divBdr>
    </w:div>
    <w:div w:id="1991056619">
      <w:bodyDiv w:val="1"/>
      <w:marLeft w:val="0"/>
      <w:marRight w:val="0"/>
      <w:marTop w:val="0"/>
      <w:marBottom w:val="0"/>
      <w:divBdr>
        <w:top w:val="none" w:sz="0" w:space="0" w:color="auto"/>
        <w:left w:val="none" w:sz="0" w:space="0" w:color="auto"/>
        <w:bottom w:val="none" w:sz="0" w:space="0" w:color="auto"/>
        <w:right w:val="none" w:sz="0" w:space="0" w:color="auto"/>
      </w:divBdr>
    </w:div>
    <w:div w:id="1999070278">
      <w:bodyDiv w:val="1"/>
      <w:marLeft w:val="0"/>
      <w:marRight w:val="0"/>
      <w:marTop w:val="0"/>
      <w:marBottom w:val="0"/>
      <w:divBdr>
        <w:top w:val="none" w:sz="0" w:space="0" w:color="auto"/>
        <w:left w:val="none" w:sz="0" w:space="0" w:color="auto"/>
        <w:bottom w:val="none" w:sz="0" w:space="0" w:color="auto"/>
        <w:right w:val="none" w:sz="0" w:space="0" w:color="auto"/>
      </w:divBdr>
    </w:div>
    <w:div w:id="21098125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www.hbsafety.cn/article/33/"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www.hbsafety.cn/article/33/"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oleObject" Target="embeddings/oleObject1.bin"/><Relationship Id="rId25" Type="http://schemas.openxmlformats.org/officeDocument/2006/relationships/image" Target="media/image4.e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hyperlink" Target="http://www.hbsafety.cn/article/33/"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aqxx.or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www.aqxx.org/" TargetMode="External"/><Relationship Id="rId28" Type="http://schemas.openxmlformats.org/officeDocument/2006/relationships/header" Target="header4.xml"/><Relationship Id="rId10" Type="http://schemas.openxmlformats.org/officeDocument/2006/relationships/header" Target="header3.xml"/><Relationship Id="rId19" Type="http://schemas.openxmlformats.org/officeDocument/2006/relationships/hyperlink" Target="http://www.hbsafety.cn/article/33/" TargetMode="Externa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yperlink" Target="http://www.aqxx.org/" TargetMode="External"/><Relationship Id="rId27" Type="http://schemas.openxmlformats.org/officeDocument/2006/relationships/image" Target="media/image6.png"/><Relationship Id="rId30" Type="http://schemas.openxmlformats.org/officeDocument/2006/relationships/header" Target="header5.xml"/><Relationship Id="rId8"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221</Pages>
  <Words>87877</Words>
  <Characters>96666</Characters>
  <Application>Microsoft Office Word</Application>
  <DocSecurity>0</DocSecurity>
  <Lines>7435</Lines>
  <Paragraphs>7381</Paragraphs>
  <ScaleCrop>false</ScaleCrop>
  <Company/>
  <LinksUpToDate>false</LinksUpToDate>
  <CharactersWithSpaces>177162</CharactersWithSpaces>
  <SharedDoc>false</SharedDoc>
  <HLinks>
    <vt:vector size="1344" baseType="variant">
      <vt:variant>
        <vt:i4>4259921</vt:i4>
      </vt:variant>
      <vt:variant>
        <vt:i4>1326</vt:i4>
      </vt:variant>
      <vt:variant>
        <vt:i4>0</vt:i4>
      </vt:variant>
      <vt:variant>
        <vt:i4>5</vt:i4>
      </vt:variant>
      <vt:variant>
        <vt:lpwstr>http://www.aqxx.org/</vt:lpwstr>
      </vt:variant>
      <vt:variant>
        <vt:lpwstr/>
      </vt:variant>
      <vt:variant>
        <vt:i4>4259921</vt:i4>
      </vt:variant>
      <vt:variant>
        <vt:i4>1323</vt:i4>
      </vt:variant>
      <vt:variant>
        <vt:i4>0</vt:i4>
      </vt:variant>
      <vt:variant>
        <vt:i4>5</vt:i4>
      </vt:variant>
      <vt:variant>
        <vt:lpwstr>http://www.aqxx.org/</vt:lpwstr>
      </vt:variant>
      <vt:variant>
        <vt:lpwstr/>
      </vt:variant>
      <vt:variant>
        <vt:i4>4259921</vt:i4>
      </vt:variant>
      <vt:variant>
        <vt:i4>1320</vt:i4>
      </vt:variant>
      <vt:variant>
        <vt:i4>0</vt:i4>
      </vt:variant>
      <vt:variant>
        <vt:i4>5</vt:i4>
      </vt:variant>
      <vt:variant>
        <vt:lpwstr>http://www.aqxx.org/</vt:lpwstr>
      </vt:variant>
      <vt:variant>
        <vt:lpwstr/>
      </vt:variant>
      <vt:variant>
        <vt:i4>7143528</vt:i4>
      </vt:variant>
      <vt:variant>
        <vt:i4>1317</vt:i4>
      </vt:variant>
      <vt:variant>
        <vt:i4>0</vt:i4>
      </vt:variant>
      <vt:variant>
        <vt:i4>5</vt:i4>
      </vt:variant>
      <vt:variant>
        <vt:lpwstr>http://www.hbsafety.cn/article/33/</vt:lpwstr>
      </vt:variant>
      <vt:variant>
        <vt:lpwstr/>
      </vt:variant>
      <vt:variant>
        <vt:i4>7143528</vt:i4>
      </vt:variant>
      <vt:variant>
        <vt:i4>1314</vt:i4>
      </vt:variant>
      <vt:variant>
        <vt:i4>0</vt:i4>
      </vt:variant>
      <vt:variant>
        <vt:i4>5</vt:i4>
      </vt:variant>
      <vt:variant>
        <vt:lpwstr>http://www.hbsafety.cn/article/33/</vt:lpwstr>
      </vt:variant>
      <vt:variant>
        <vt:lpwstr/>
      </vt:variant>
      <vt:variant>
        <vt:i4>7143528</vt:i4>
      </vt:variant>
      <vt:variant>
        <vt:i4>1311</vt:i4>
      </vt:variant>
      <vt:variant>
        <vt:i4>0</vt:i4>
      </vt:variant>
      <vt:variant>
        <vt:i4>5</vt:i4>
      </vt:variant>
      <vt:variant>
        <vt:lpwstr>http://www.hbsafety.cn/article/33/</vt:lpwstr>
      </vt:variant>
      <vt:variant>
        <vt:lpwstr/>
      </vt:variant>
      <vt:variant>
        <vt:i4>7143528</vt:i4>
      </vt:variant>
      <vt:variant>
        <vt:i4>1308</vt:i4>
      </vt:variant>
      <vt:variant>
        <vt:i4>0</vt:i4>
      </vt:variant>
      <vt:variant>
        <vt:i4>5</vt:i4>
      </vt:variant>
      <vt:variant>
        <vt:lpwstr>http://www.hbsafety.cn/article/33/</vt:lpwstr>
      </vt:variant>
      <vt:variant>
        <vt:lpwstr/>
      </vt:variant>
      <vt:variant>
        <vt:i4>1114171</vt:i4>
      </vt:variant>
      <vt:variant>
        <vt:i4>1298</vt:i4>
      </vt:variant>
      <vt:variant>
        <vt:i4>0</vt:i4>
      </vt:variant>
      <vt:variant>
        <vt:i4>5</vt:i4>
      </vt:variant>
      <vt:variant>
        <vt:lpwstr/>
      </vt:variant>
      <vt:variant>
        <vt:lpwstr>_Toc190935934</vt:lpwstr>
      </vt:variant>
      <vt:variant>
        <vt:i4>1114171</vt:i4>
      </vt:variant>
      <vt:variant>
        <vt:i4>1292</vt:i4>
      </vt:variant>
      <vt:variant>
        <vt:i4>0</vt:i4>
      </vt:variant>
      <vt:variant>
        <vt:i4>5</vt:i4>
      </vt:variant>
      <vt:variant>
        <vt:lpwstr/>
      </vt:variant>
      <vt:variant>
        <vt:lpwstr>_Toc190935933</vt:lpwstr>
      </vt:variant>
      <vt:variant>
        <vt:i4>1114171</vt:i4>
      </vt:variant>
      <vt:variant>
        <vt:i4>1286</vt:i4>
      </vt:variant>
      <vt:variant>
        <vt:i4>0</vt:i4>
      </vt:variant>
      <vt:variant>
        <vt:i4>5</vt:i4>
      </vt:variant>
      <vt:variant>
        <vt:lpwstr/>
      </vt:variant>
      <vt:variant>
        <vt:lpwstr>_Toc190935932</vt:lpwstr>
      </vt:variant>
      <vt:variant>
        <vt:i4>1114171</vt:i4>
      </vt:variant>
      <vt:variant>
        <vt:i4>1280</vt:i4>
      </vt:variant>
      <vt:variant>
        <vt:i4>0</vt:i4>
      </vt:variant>
      <vt:variant>
        <vt:i4>5</vt:i4>
      </vt:variant>
      <vt:variant>
        <vt:lpwstr/>
      </vt:variant>
      <vt:variant>
        <vt:lpwstr>_Toc190935931</vt:lpwstr>
      </vt:variant>
      <vt:variant>
        <vt:i4>1114171</vt:i4>
      </vt:variant>
      <vt:variant>
        <vt:i4>1274</vt:i4>
      </vt:variant>
      <vt:variant>
        <vt:i4>0</vt:i4>
      </vt:variant>
      <vt:variant>
        <vt:i4>5</vt:i4>
      </vt:variant>
      <vt:variant>
        <vt:lpwstr/>
      </vt:variant>
      <vt:variant>
        <vt:lpwstr>_Toc190935930</vt:lpwstr>
      </vt:variant>
      <vt:variant>
        <vt:i4>1048635</vt:i4>
      </vt:variant>
      <vt:variant>
        <vt:i4>1268</vt:i4>
      </vt:variant>
      <vt:variant>
        <vt:i4>0</vt:i4>
      </vt:variant>
      <vt:variant>
        <vt:i4>5</vt:i4>
      </vt:variant>
      <vt:variant>
        <vt:lpwstr/>
      </vt:variant>
      <vt:variant>
        <vt:lpwstr>_Toc190935929</vt:lpwstr>
      </vt:variant>
      <vt:variant>
        <vt:i4>1048635</vt:i4>
      </vt:variant>
      <vt:variant>
        <vt:i4>1262</vt:i4>
      </vt:variant>
      <vt:variant>
        <vt:i4>0</vt:i4>
      </vt:variant>
      <vt:variant>
        <vt:i4>5</vt:i4>
      </vt:variant>
      <vt:variant>
        <vt:lpwstr/>
      </vt:variant>
      <vt:variant>
        <vt:lpwstr>_Toc190935928</vt:lpwstr>
      </vt:variant>
      <vt:variant>
        <vt:i4>1048635</vt:i4>
      </vt:variant>
      <vt:variant>
        <vt:i4>1256</vt:i4>
      </vt:variant>
      <vt:variant>
        <vt:i4>0</vt:i4>
      </vt:variant>
      <vt:variant>
        <vt:i4>5</vt:i4>
      </vt:variant>
      <vt:variant>
        <vt:lpwstr/>
      </vt:variant>
      <vt:variant>
        <vt:lpwstr>_Toc190935927</vt:lpwstr>
      </vt:variant>
      <vt:variant>
        <vt:i4>1048635</vt:i4>
      </vt:variant>
      <vt:variant>
        <vt:i4>1250</vt:i4>
      </vt:variant>
      <vt:variant>
        <vt:i4>0</vt:i4>
      </vt:variant>
      <vt:variant>
        <vt:i4>5</vt:i4>
      </vt:variant>
      <vt:variant>
        <vt:lpwstr/>
      </vt:variant>
      <vt:variant>
        <vt:lpwstr>_Toc190935926</vt:lpwstr>
      </vt:variant>
      <vt:variant>
        <vt:i4>1048635</vt:i4>
      </vt:variant>
      <vt:variant>
        <vt:i4>1244</vt:i4>
      </vt:variant>
      <vt:variant>
        <vt:i4>0</vt:i4>
      </vt:variant>
      <vt:variant>
        <vt:i4>5</vt:i4>
      </vt:variant>
      <vt:variant>
        <vt:lpwstr/>
      </vt:variant>
      <vt:variant>
        <vt:lpwstr>_Toc190935925</vt:lpwstr>
      </vt:variant>
      <vt:variant>
        <vt:i4>1048635</vt:i4>
      </vt:variant>
      <vt:variant>
        <vt:i4>1238</vt:i4>
      </vt:variant>
      <vt:variant>
        <vt:i4>0</vt:i4>
      </vt:variant>
      <vt:variant>
        <vt:i4>5</vt:i4>
      </vt:variant>
      <vt:variant>
        <vt:lpwstr/>
      </vt:variant>
      <vt:variant>
        <vt:lpwstr>_Toc190935924</vt:lpwstr>
      </vt:variant>
      <vt:variant>
        <vt:i4>1048635</vt:i4>
      </vt:variant>
      <vt:variant>
        <vt:i4>1232</vt:i4>
      </vt:variant>
      <vt:variant>
        <vt:i4>0</vt:i4>
      </vt:variant>
      <vt:variant>
        <vt:i4>5</vt:i4>
      </vt:variant>
      <vt:variant>
        <vt:lpwstr/>
      </vt:variant>
      <vt:variant>
        <vt:lpwstr>_Toc190935923</vt:lpwstr>
      </vt:variant>
      <vt:variant>
        <vt:i4>1048635</vt:i4>
      </vt:variant>
      <vt:variant>
        <vt:i4>1226</vt:i4>
      </vt:variant>
      <vt:variant>
        <vt:i4>0</vt:i4>
      </vt:variant>
      <vt:variant>
        <vt:i4>5</vt:i4>
      </vt:variant>
      <vt:variant>
        <vt:lpwstr/>
      </vt:variant>
      <vt:variant>
        <vt:lpwstr>_Toc190935922</vt:lpwstr>
      </vt:variant>
      <vt:variant>
        <vt:i4>1048635</vt:i4>
      </vt:variant>
      <vt:variant>
        <vt:i4>1220</vt:i4>
      </vt:variant>
      <vt:variant>
        <vt:i4>0</vt:i4>
      </vt:variant>
      <vt:variant>
        <vt:i4>5</vt:i4>
      </vt:variant>
      <vt:variant>
        <vt:lpwstr/>
      </vt:variant>
      <vt:variant>
        <vt:lpwstr>_Toc190935921</vt:lpwstr>
      </vt:variant>
      <vt:variant>
        <vt:i4>1048635</vt:i4>
      </vt:variant>
      <vt:variant>
        <vt:i4>1214</vt:i4>
      </vt:variant>
      <vt:variant>
        <vt:i4>0</vt:i4>
      </vt:variant>
      <vt:variant>
        <vt:i4>5</vt:i4>
      </vt:variant>
      <vt:variant>
        <vt:lpwstr/>
      </vt:variant>
      <vt:variant>
        <vt:lpwstr>_Toc190935920</vt:lpwstr>
      </vt:variant>
      <vt:variant>
        <vt:i4>1245243</vt:i4>
      </vt:variant>
      <vt:variant>
        <vt:i4>1208</vt:i4>
      </vt:variant>
      <vt:variant>
        <vt:i4>0</vt:i4>
      </vt:variant>
      <vt:variant>
        <vt:i4>5</vt:i4>
      </vt:variant>
      <vt:variant>
        <vt:lpwstr/>
      </vt:variant>
      <vt:variant>
        <vt:lpwstr>_Toc190935919</vt:lpwstr>
      </vt:variant>
      <vt:variant>
        <vt:i4>1245243</vt:i4>
      </vt:variant>
      <vt:variant>
        <vt:i4>1202</vt:i4>
      </vt:variant>
      <vt:variant>
        <vt:i4>0</vt:i4>
      </vt:variant>
      <vt:variant>
        <vt:i4>5</vt:i4>
      </vt:variant>
      <vt:variant>
        <vt:lpwstr/>
      </vt:variant>
      <vt:variant>
        <vt:lpwstr>_Toc190935918</vt:lpwstr>
      </vt:variant>
      <vt:variant>
        <vt:i4>1245243</vt:i4>
      </vt:variant>
      <vt:variant>
        <vt:i4>1196</vt:i4>
      </vt:variant>
      <vt:variant>
        <vt:i4>0</vt:i4>
      </vt:variant>
      <vt:variant>
        <vt:i4>5</vt:i4>
      </vt:variant>
      <vt:variant>
        <vt:lpwstr/>
      </vt:variant>
      <vt:variant>
        <vt:lpwstr>_Toc190935917</vt:lpwstr>
      </vt:variant>
      <vt:variant>
        <vt:i4>1245243</vt:i4>
      </vt:variant>
      <vt:variant>
        <vt:i4>1190</vt:i4>
      </vt:variant>
      <vt:variant>
        <vt:i4>0</vt:i4>
      </vt:variant>
      <vt:variant>
        <vt:i4>5</vt:i4>
      </vt:variant>
      <vt:variant>
        <vt:lpwstr/>
      </vt:variant>
      <vt:variant>
        <vt:lpwstr>_Toc190935916</vt:lpwstr>
      </vt:variant>
      <vt:variant>
        <vt:i4>1245243</vt:i4>
      </vt:variant>
      <vt:variant>
        <vt:i4>1184</vt:i4>
      </vt:variant>
      <vt:variant>
        <vt:i4>0</vt:i4>
      </vt:variant>
      <vt:variant>
        <vt:i4>5</vt:i4>
      </vt:variant>
      <vt:variant>
        <vt:lpwstr/>
      </vt:variant>
      <vt:variant>
        <vt:lpwstr>_Toc190935915</vt:lpwstr>
      </vt:variant>
      <vt:variant>
        <vt:i4>1245243</vt:i4>
      </vt:variant>
      <vt:variant>
        <vt:i4>1178</vt:i4>
      </vt:variant>
      <vt:variant>
        <vt:i4>0</vt:i4>
      </vt:variant>
      <vt:variant>
        <vt:i4>5</vt:i4>
      </vt:variant>
      <vt:variant>
        <vt:lpwstr/>
      </vt:variant>
      <vt:variant>
        <vt:lpwstr>_Toc190935914</vt:lpwstr>
      </vt:variant>
      <vt:variant>
        <vt:i4>1245243</vt:i4>
      </vt:variant>
      <vt:variant>
        <vt:i4>1172</vt:i4>
      </vt:variant>
      <vt:variant>
        <vt:i4>0</vt:i4>
      </vt:variant>
      <vt:variant>
        <vt:i4>5</vt:i4>
      </vt:variant>
      <vt:variant>
        <vt:lpwstr/>
      </vt:variant>
      <vt:variant>
        <vt:lpwstr>_Toc190935913</vt:lpwstr>
      </vt:variant>
      <vt:variant>
        <vt:i4>1245243</vt:i4>
      </vt:variant>
      <vt:variant>
        <vt:i4>1166</vt:i4>
      </vt:variant>
      <vt:variant>
        <vt:i4>0</vt:i4>
      </vt:variant>
      <vt:variant>
        <vt:i4>5</vt:i4>
      </vt:variant>
      <vt:variant>
        <vt:lpwstr/>
      </vt:variant>
      <vt:variant>
        <vt:lpwstr>_Toc190935912</vt:lpwstr>
      </vt:variant>
      <vt:variant>
        <vt:i4>1245243</vt:i4>
      </vt:variant>
      <vt:variant>
        <vt:i4>1160</vt:i4>
      </vt:variant>
      <vt:variant>
        <vt:i4>0</vt:i4>
      </vt:variant>
      <vt:variant>
        <vt:i4>5</vt:i4>
      </vt:variant>
      <vt:variant>
        <vt:lpwstr/>
      </vt:variant>
      <vt:variant>
        <vt:lpwstr>_Toc190935911</vt:lpwstr>
      </vt:variant>
      <vt:variant>
        <vt:i4>1245243</vt:i4>
      </vt:variant>
      <vt:variant>
        <vt:i4>1154</vt:i4>
      </vt:variant>
      <vt:variant>
        <vt:i4>0</vt:i4>
      </vt:variant>
      <vt:variant>
        <vt:i4>5</vt:i4>
      </vt:variant>
      <vt:variant>
        <vt:lpwstr/>
      </vt:variant>
      <vt:variant>
        <vt:lpwstr>_Toc190935910</vt:lpwstr>
      </vt:variant>
      <vt:variant>
        <vt:i4>1179707</vt:i4>
      </vt:variant>
      <vt:variant>
        <vt:i4>1148</vt:i4>
      </vt:variant>
      <vt:variant>
        <vt:i4>0</vt:i4>
      </vt:variant>
      <vt:variant>
        <vt:i4>5</vt:i4>
      </vt:variant>
      <vt:variant>
        <vt:lpwstr/>
      </vt:variant>
      <vt:variant>
        <vt:lpwstr>_Toc190935909</vt:lpwstr>
      </vt:variant>
      <vt:variant>
        <vt:i4>1179707</vt:i4>
      </vt:variant>
      <vt:variant>
        <vt:i4>1142</vt:i4>
      </vt:variant>
      <vt:variant>
        <vt:i4>0</vt:i4>
      </vt:variant>
      <vt:variant>
        <vt:i4>5</vt:i4>
      </vt:variant>
      <vt:variant>
        <vt:lpwstr/>
      </vt:variant>
      <vt:variant>
        <vt:lpwstr>_Toc190935908</vt:lpwstr>
      </vt:variant>
      <vt:variant>
        <vt:i4>1179707</vt:i4>
      </vt:variant>
      <vt:variant>
        <vt:i4>1136</vt:i4>
      </vt:variant>
      <vt:variant>
        <vt:i4>0</vt:i4>
      </vt:variant>
      <vt:variant>
        <vt:i4>5</vt:i4>
      </vt:variant>
      <vt:variant>
        <vt:lpwstr/>
      </vt:variant>
      <vt:variant>
        <vt:lpwstr>_Toc190935907</vt:lpwstr>
      </vt:variant>
      <vt:variant>
        <vt:i4>1179707</vt:i4>
      </vt:variant>
      <vt:variant>
        <vt:i4>1130</vt:i4>
      </vt:variant>
      <vt:variant>
        <vt:i4>0</vt:i4>
      </vt:variant>
      <vt:variant>
        <vt:i4>5</vt:i4>
      </vt:variant>
      <vt:variant>
        <vt:lpwstr/>
      </vt:variant>
      <vt:variant>
        <vt:lpwstr>_Toc190935906</vt:lpwstr>
      </vt:variant>
      <vt:variant>
        <vt:i4>1179707</vt:i4>
      </vt:variant>
      <vt:variant>
        <vt:i4>1124</vt:i4>
      </vt:variant>
      <vt:variant>
        <vt:i4>0</vt:i4>
      </vt:variant>
      <vt:variant>
        <vt:i4>5</vt:i4>
      </vt:variant>
      <vt:variant>
        <vt:lpwstr/>
      </vt:variant>
      <vt:variant>
        <vt:lpwstr>_Toc190935905</vt:lpwstr>
      </vt:variant>
      <vt:variant>
        <vt:i4>1179707</vt:i4>
      </vt:variant>
      <vt:variant>
        <vt:i4>1118</vt:i4>
      </vt:variant>
      <vt:variant>
        <vt:i4>0</vt:i4>
      </vt:variant>
      <vt:variant>
        <vt:i4>5</vt:i4>
      </vt:variant>
      <vt:variant>
        <vt:lpwstr/>
      </vt:variant>
      <vt:variant>
        <vt:lpwstr>_Toc190935904</vt:lpwstr>
      </vt:variant>
      <vt:variant>
        <vt:i4>1179707</vt:i4>
      </vt:variant>
      <vt:variant>
        <vt:i4>1112</vt:i4>
      </vt:variant>
      <vt:variant>
        <vt:i4>0</vt:i4>
      </vt:variant>
      <vt:variant>
        <vt:i4>5</vt:i4>
      </vt:variant>
      <vt:variant>
        <vt:lpwstr/>
      </vt:variant>
      <vt:variant>
        <vt:lpwstr>_Toc190935903</vt:lpwstr>
      </vt:variant>
      <vt:variant>
        <vt:i4>1179707</vt:i4>
      </vt:variant>
      <vt:variant>
        <vt:i4>1106</vt:i4>
      </vt:variant>
      <vt:variant>
        <vt:i4>0</vt:i4>
      </vt:variant>
      <vt:variant>
        <vt:i4>5</vt:i4>
      </vt:variant>
      <vt:variant>
        <vt:lpwstr/>
      </vt:variant>
      <vt:variant>
        <vt:lpwstr>_Toc190935902</vt:lpwstr>
      </vt:variant>
      <vt:variant>
        <vt:i4>1179707</vt:i4>
      </vt:variant>
      <vt:variant>
        <vt:i4>1100</vt:i4>
      </vt:variant>
      <vt:variant>
        <vt:i4>0</vt:i4>
      </vt:variant>
      <vt:variant>
        <vt:i4>5</vt:i4>
      </vt:variant>
      <vt:variant>
        <vt:lpwstr/>
      </vt:variant>
      <vt:variant>
        <vt:lpwstr>_Toc190935901</vt:lpwstr>
      </vt:variant>
      <vt:variant>
        <vt:i4>1179707</vt:i4>
      </vt:variant>
      <vt:variant>
        <vt:i4>1094</vt:i4>
      </vt:variant>
      <vt:variant>
        <vt:i4>0</vt:i4>
      </vt:variant>
      <vt:variant>
        <vt:i4>5</vt:i4>
      </vt:variant>
      <vt:variant>
        <vt:lpwstr/>
      </vt:variant>
      <vt:variant>
        <vt:lpwstr>_Toc190935900</vt:lpwstr>
      </vt:variant>
      <vt:variant>
        <vt:i4>1769530</vt:i4>
      </vt:variant>
      <vt:variant>
        <vt:i4>1088</vt:i4>
      </vt:variant>
      <vt:variant>
        <vt:i4>0</vt:i4>
      </vt:variant>
      <vt:variant>
        <vt:i4>5</vt:i4>
      </vt:variant>
      <vt:variant>
        <vt:lpwstr/>
      </vt:variant>
      <vt:variant>
        <vt:lpwstr>_Toc190935899</vt:lpwstr>
      </vt:variant>
      <vt:variant>
        <vt:i4>1769530</vt:i4>
      </vt:variant>
      <vt:variant>
        <vt:i4>1082</vt:i4>
      </vt:variant>
      <vt:variant>
        <vt:i4>0</vt:i4>
      </vt:variant>
      <vt:variant>
        <vt:i4>5</vt:i4>
      </vt:variant>
      <vt:variant>
        <vt:lpwstr/>
      </vt:variant>
      <vt:variant>
        <vt:lpwstr>_Toc190935898</vt:lpwstr>
      </vt:variant>
      <vt:variant>
        <vt:i4>1769530</vt:i4>
      </vt:variant>
      <vt:variant>
        <vt:i4>1076</vt:i4>
      </vt:variant>
      <vt:variant>
        <vt:i4>0</vt:i4>
      </vt:variant>
      <vt:variant>
        <vt:i4>5</vt:i4>
      </vt:variant>
      <vt:variant>
        <vt:lpwstr/>
      </vt:variant>
      <vt:variant>
        <vt:lpwstr>_Toc190935897</vt:lpwstr>
      </vt:variant>
      <vt:variant>
        <vt:i4>1769530</vt:i4>
      </vt:variant>
      <vt:variant>
        <vt:i4>1070</vt:i4>
      </vt:variant>
      <vt:variant>
        <vt:i4>0</vt:i4>
      </vt:variant>
      <vt:variant>
        <vt:i4>5</vt:i4>
      </vt:variant>
      <vt:variant>
        <vt:lpwstr/>
      </vt:variant>
      <vt:variant>
        <vt:lpwstr>_Toc190935896</vt:lpwstr>
      </vt:variant>
      <vt:variant>
        <vt:i4>1769530</vt:i4>
      </vt:variant>
      <vt:variant>
        <vt:i4>1064</vt:i4>
      </vt:variant>
      <vt:variant>
        <vt:i4>0</vt:i4>
      </vt:variant>
      <vt:variant>
        <vt:i4>5</vt:i4>
      </vt:variant>
      <vt:variant>
        <vt:lpwstr/>
      </vt:variant>
      <vt:variant>
        <vt:lpwstr>_Toc190935895</vt:lpwstr>
      </vt:variant>
      <vt:variant>
        <vt:i4>1769530</vt:i4>
      </vt:variant>
      <vt:variant>
        <vt:i4>1058</vt:i4>
      </vt:variant>
      <vt:variant>
        <vt:i4>0</vt:i4>
      </vt:variant>
      <vt:variant>
        <vt:i4>5</vt:i4>
      </vt:variant>
      <vt:variant>
        <vt:lpwstr/>
      </vt:variant>
      <vt:variant>
        <vt:lpwstr>_Toc190935894</vt:lpwstr>
      </vt:variant>
      <vt:variant>
        <vt:i4>1769530</vt:i4>
      </vt:variant>
      <vt:variant>
        <vt:i4>1052</vt:i4>
      </vt:variant>
      <vt:variant>
        <vt:i4>0</vt:i4>
      </vt:variant>
      <vt:variant>
        <vt:i4>5</vt:i4>
      </vt:variant>
      <vt:variant>
        <vt:lpwstr/>
      </vt:variant>
      <vt:variant>
        <vt:lpwstr>_Toc190935893</vt:lpwstr>
      </vt:variant>
      <vt:variant>
        <vt:i4>1769530</vt:i4>
      </vt:variant>
      <vt:variant>
        <vt:i4>1046</vt:i4>
      </vt:variant>
      <vt:variant>
        <vt:i4>0</vt:i4>
      </vt:variant>
      <vt:variant>
        <vt:i4>5</vt:i4>
      </vt:variant>
      <vt:variant>
        <vt:lpwstr/>
      </vt:variant>
      <vt:variant>
        <vt:lpwstr>_Toc190935892</vt:lpwstr>
      </vt:variant>
      <vt:variant>
        <vt:i4>1769530</vt:i4>
      </vt:variant>
      <vt:variant>
        <vt:i4>1040</vt:i4>
      </vt:variant>
      <vt:variant>
        <vt:i4>0</vt:i4>
      </vt:variant>
      <vt:variant>
        <vt:i4>5</vt:i4>
      </vt:variant>
      <vt:variant>
        <vt:lpwstr/>
      </vt:variant>
      <vt:variant>
        <vt:lpwstr>_Toc190935891</vt:lpwstr>
      </vt:variant>
      <vt:variant>
        <vt:i4>1769530</vt:i4>
      </vt:variant>
      <vt:variant>
        <vt:i4>1034</vt:i4>
      </vt:variant>
      <vt:variant>
        <vt:i4>0</vt:i4>
      </vt:variant>
      <vt:variant>
        <vt:i4>5</vt:i4>
      </vt:variant>
      <vt:variant>
        <vt:lpwstr/>
      </vt:variant>
      <vt:variant>
        <vt:lpwstr>_Toc190935890</vt:lpwstr>
      </vt:variant>
      <vt:variant>
        <vt:i4>1703994</vt:i4>
      </vt:variant>
      <vt:variant>
        <vt:i4>1028</vt:i4>
      </vt:variant>
      <vt:variant>
        <vt:i4>0</vt:i4>
      </vt:variant>
      <vt:variant>
        <vt:i4>5</vt:i4>
      </vt:variant>
      <vt:variant>
        <vt:lpwstr/>
      </vt:variant>
      <vt:variant>
        <vt:lpwstr>_Toc190935889</vt:lpwstr>
      </vt:variant>
      <vt:variant>
        <vt:i4>1703994</vt:i4>
      </vt:variant>
      <vt:variant>
        <vt:i4>1022</vt:i4>
      </vt:variant>
      <vt:variant>
        <vt:i4>0</vt:i4>
      </vt:variant>
      <vt:variant>
        <vt:i4>5</vt:i4>
      </vt:variant>
      <vt:variant>
        <vt:lpwstr/>
      </vt:variant>
      <vt:variant>
        <vt:lpwstr>_Toc190935888</vt:lpwstr>
      </vt:variant>
      <vt:variant>
        <vt:i4>1703994</vt:i4>
      </vt:variant>
      <vt:variant>
        <vt:i4>1016</vt:i4>
      </vt:variant>
      <vt:variant>
        <vt:i4>0</vt:i4>
      </vt:variant>
      <vt:variant>
        <vt:i4>5</vt:i4>
      </vt:variant>
      <vt:variant>
        <vt:lpwstr/>
      </vt:variant>
      <vt:variant>
        <vt:lpwstr>_Toc190935887</vt:lpwstr>
      </vt:variant>
      <vt:variant>
        <vt:i4>1703994</vt:i4>
      </vt:variant>
      <vt:variant>
        <vt:i4>1010</vt:i4>
      </vt:variant>
      <vt:variant>
        <vt:i4>0</vt:i4>
      </vt:variant>
      <vt:variant>
        <vt:i4>5</vt:i4>
      </vt:variant>
      <vt:variant>
        <vt:lpwstr/>
      </vt:variant>
      <vt:variant>
        <vt:lpwstr>_Toc190935886</vt:lpwstr>
      </vt:variant>
      <vt:variant>
        <vt:i4>1703994</vt:i4>
      </vt:variant>
      <vt:variant>
        <vt:i4>1004</vt:i4>
      </vt:variant>
      <vt:variant>
        <vt:i4>0</vt:i4>
      </vt:variant>
      <vt:variant>
        <vt:i4>5</vt:i4>
      </vt:variant>
      <vt:variant>
        <vt:lpwstr/>
      </vt:variant>
      <vt:variant>
        <vt:lpwstr>_Toc190935885</vt:lpwstr>
      </vt:variant>
      <vt:variant>
        <vt:i4>1703994</vt:i4>
      </vt:variant>
      <vt:variant>
        <vt:i4>998</vt:i4>
      </vt:variant>
      <vt:variant>
        <vt:i4>0</vt:i4>
      </vt:variant>
      <vt:variant>
        <vt:i4>5</vt:i4>
      </vt:variant>
      <vt:variant>
        <vt:lpwstr/>
      </vt:variant>
      <vt:variant>
        <vt:lpwstr>_Toc190935884</vt:lpwstr>
      </vt:variant>
      <vt:variant>
        <vt:i4>1703994</vt:i4>
      </vt:variant>
      <vt:variant>
        <vt:i4>992</vt:i4>
      </vt:variant>
      <vt:variant>
        <vt:i4>0</vt:i4>
      </vt:variant>
      <vt:variant>
        <vt:i4>5</vt:i4>
      </vt:variant>
      <vt:variant>
        <vt:lpwstr/>
      </vt:variant>
      <vt:variant>
        <vt:lpwstr>_Toc190935883</vt:lpwstr>
      </vt:variant>
      <vt:variant>
        <vt:i4>1703994</vt:i4>
      </vt:variant>
      <vt:variant>
        <vt:i4>986</vt:i4>
      </vt:variant>
      <vt:variant>
        <vt:i4>0</vt:i4>
      </vt:variant>
      <vt:variant>
        <vt:i4>5</vt:i4>
      </vt:variant>
      <vt:variant>
        <vt:lpwstr/>
      </vt:variant>
      <vt:variant>
        <vt:lpwstr>_Toc190935882</vt:lpwstr>
      </vt:variant>
      <vt:variant>
        <vt:i4>1703994</vt:i4>
      </vt:variant>
      <vt:variant>
        <vt:i4>980</vt:i4>
      </vt:variant>
      <vt:variant>
        <vt:i4>0</vt:i4>
      </vt:variant>
      <vt:variant>
        <vt:i4>5</vt:i4>
      </vt:variant>
      <vt:variant>
        <vt:lpwstr/>
      </vt:variant>
      <vt:variant>
        <vt:lpwstr>_Toc190935881</vt:lpwstr>
      </vt:variant>
      <vt:variant>
        <vt:i4>1703994</vt:i4>
      </vt:variant>
      <vt:variant>
        <vt:i4>974</vt:i4>
      </vt:variant>
      <vt:variant>
        <vt:i4>0</vt:i4>
      </vt:variant>
      <vt:variant>
        <vt:i4>5</vt:i4>
      </vt:variant>
      <vt:variant>
        <vt:lpwstr/>
      </vt:variant>
      <vt:variant>
        <vt:lpwstr>_Toc190935880</vt:lpwstr>
      </vt:variant>
      <vt:variant>
        <vt:i4>1376314</vt:i4>
      </vt:variant>
      <vt:variant>
        <vt:i4>968</vt:i4>
      </vt:variant>
      <vt:variant>
        <vt:i4>0</vt:i4>
      </vt:variant>
      <vt:variant>
        <vt:i4>5</vt:i4>
      </vt:variant>
      <vt:variant>
        <vt:lpwstr/>
      </vt:variant>
      <vt:variant>
        <vt:lpwstr>_Toc190935879</vt:lpwstr>
      </vt:variant>
      <vt:variant>
        <vt:i4>1376314</vt:i4>
      </vt:variant>
      <vt:variant>
        <vt:i4>962</vt:i4>
      </vt:variant>
      <vt:variant>
        <vt:i4>0</vt:i4>
      </vt:variant>
      <vt:variant>
        <vt:i4>5</vt:i4>
      </vt:variant>
      <vt:variant>
        <vt:lpwstr/>
      </vt:variant>
      <vt:variant>
        <vt:lpwstr>_Toc190935878</vt:lpwstr>
      </vt:variant>
      <vt:variant>
        <vt:i4>1376314</vt:i4>
      </vt:variant>
      <vt:variant>
        <vt:i4>956</vt:i4>
      </vt:variant>
      <vt:variant>
        <vt:i4>0</vt:i4>
      </vt:variant>
      <vt:variant>
        <vt:i4>5</vt:i4>
      </vt:variant>
      <vt:variant>
        <vt:lpwstr/>
      </vt:variant>
      <vt:variant>
        <vt:lpwstr>_Toc190935877</vt:lpwstr>
      </vt:variant>
      <vt:variant>
        <vt:i4>1376314</vt:i4>
      </vt:variant>
      <vt:variant>
        <vt:i4>950</vt:i4>
      </vt:variant>
      <vt:variant>
        <vt:i4>0</vt:i4>
      </vt:variant>
      <vt:variant>
        <vt:i4>5</vt:i4>
      </vt:variant>
      <vt:variant>
        <vt:lpwstr/>
      </vt:variant>
      <vt:variant>
        <vt:lpwstr>_Toc190935876</vt:lpwstr>
      </vt:variant>
      <vt:variant>
        <vt:i4>1376314</vt:i4>
      </vt:variant>
      <vt:variant>
        <vt:i4>944</vt:i4>
      </vt:variant>
      <vt:variant>
        <vt:i4>0</vt:i4>
      </vt:variant>
      <vt:variant>
        <vt:i4>5</vt:i4>
      </vt:variant>
      <vt:variant>
        <vt:lpwstr/>
      </vt:variant>
      <vt:variant>
        <vt:lpwstr>_Toc190935875</vt:lpwstr>
      </vt:variant>
      <vt:variant>
        <vt:i4>1376314</vt:i4>
      </vt:variant>
      <vt:variant>
        <vt:i4>938</vt:i4>
      </vt:variant>
      <vt:variant>
        <vt:i4>0</vt:i4>
      </vt:variant>
      <vt:variant>
        <vt:i4>5</vt:i4>
      </vt:variant>
      <vt:variant>
        <vt:lpwstr/>
      </vt:variant>
      <vt:variant>
        <vt:lpwstr>_Toc190935874</vt:lpwstr>
      </vt:variant>
      <vt:variant>
        <vt:i4>1376314</vt:i4>
      </vt:variant>
      <vt:variant>
        <vt:i4>932</vt:i4>
      </vt:variant>
      <vt:variant>
        <vt:i4>0</vt:i4>
      </vt:variant>
      <vt:variant>
        <vt:i4>5</vt:i4>
      </vt:variant>
      <vt:variant>
        <vt:lpwstr/>
      </vt:variant>
      <vt:variant>
        <vt:lpwstr>_Toc190935873</vt:lpwstr>
      </vt:variant>
      <vt:variant>
        <vt:i4>1376314</vt:i4>
      </vt:variant>
      <vt:variant>
        <vt:i4>926</vt:i4>
      </vt:variant>
      <vt:variant>
        <vt:i4>0</vt:i4>
      </vt:variant>
      <vt:variant>
        <vt:i4>5</vt:i4>
      </vt:variant>
      <vt:variant>
        <vt:lpwstr/>
      </vt:variant>
      <vt:variant>
        <vt:lpwstr>_Toc190935872</vt:lpwstr>
      </vt:variant>
      <vt:variant>
        <vt:i4>1376314</vt:i4>
      </vt:variant>
      <vt:variant>
        <vt:i4>920</vt:i4>
      </vt:variant>
      <vt:variant>
        <vt:i4>0</vt:i4>
      </vt:variant>
      <vt:variant>
        <vt:i4>5</vt:i4>
      </vt:variant>
      <vt:variant>
        <vt:lpwstr/>
      </vt:variant>
      <vt:variant>
        <vt:lpwstr>_Toc190935871</vt:lpwstr>
      </vt:variant>
      <vt:variant>
        <vt:i4>1376314</vt:i4>
      </vt:variant>
      <vt:variant>
        <vt:i4>914</vt:i4>
      </vt:variant>
      <vt:variant>
        <vt:i4>0</vt:i4>
      </vt:variant>
      <vt:variant>
        <vt:i4>5</vt:i4>
      </vt:variant>
      <vt:variant>
        <vt:lpwstr/>
      </vt:variant>
      <vt:variant>
        <vt:lpwstr>_Toc190935870</vt:lpwstr>
      </vt:variant>
      <vt:variant>
        <vt:i4>1310778</vt:i4>
      </vt:variant>
      <vt:variant>
        <vt:i4>908</vt:i4>
      </vt:variant>
      <vt:variant>
        <vt:i4>0</vt:i4>
      </vt:variant>
      <vt:variant>
        <vt:i4>5</vt:i4>
      </vt:variant>
      <vt:variant>
        <vt:lpwstr/>
      </vt:variant>
      <vt:variant>
        <vt:lpwstr>_Toc190935869</vt:lpwstr>
      </vt:variant>
      <vt:variant>
        <vt:i4>1310778</vt:i4>
      </vt:variant>
      <vt:variant>
        <vt:i4>902</vt:i4>
      </vt:variant>
      <vt:variant>
        <vt:i4>0</vt:i4>
      </vt:variant>
      <vt:variant>
        <vt:i4>5</vt:i4>
      </vt:variant>
      <vt:variant>
        <vt:lpwstr/>
      </vt:variant>
      <vt:variant>
        <vt:lpwstr>_Toc190935868</vt:lpwstr>
      </vt:variant>
      <vt:variant>
        <vt:i4>1310778</vt:i4>
      </vt:variant>
      <vt:variant>
        <vt:i4>896</vt:i4>
      </vt:variant>
      <vt:variant>
        <vt:i4>0</vt:i4>
      </vt:variant>
      <vt:variant>
        <vt:i4>5</vt:i4>
      </vt:variant>
      <vt:variant>
        <vt:lpwstr/>
      </vt:variant>
      <vt:variant>
        <vt:lpwstr>_Toc190935867</vt:lpwstr>
      </vt:variant>
      <vt:variant>
        <vt:i4>1310778</vt:i4>
      </vt:variant>
      <vt:variant>
        <vt:i4>890</vt:i4>
      </vt:variant>
      <vt:variant>
        <vt:i4>0</vt:i4>
      </vt:variant>
      <vt:variant>
        <vt:i4>5</vt:i4>
      </vt:variant>
      <vt:variant>
        <vt:lpwstr/>
      </vt:variant>
      <vt:variant>
        <vt:lpwstr>_Toc190935866</vt:lpwstr>
      </vt:variant>
      <vt:variant>
        <vt:i4>1310778</vt:i4>
      </vt:variant>
      <vt:variant>
        <vt:i4>884</vt:i4>
      </vt:variant>
      <vt:variant>
        <vt:i4>0</vt:i4>
      </vt:variant>
      <vt:variant>
        <vt:i4>5</vt:i4>
      </vt:variant>
      <vt:variant>
        <vt:lpwstr/>
      </vt:variant>
      <vt:variant>
        <vt:lpwstr>_Toc190935865</vt:lpwstr>
      </vt:variant>
      <vt:variant>
        <vt:i4>1310778</vt:i4>
      </vt:variant>
      <vt:variant>
        <vt:i4>878</vt:i4>
      </vt:variant>
      <vt:variant>
        <vt:i4>0</vt:i4>
      </vt:variant>
      <vt:variant>
        <vt:i4>5</vt:i4>
      </vt:variant>
      <vt:variant>
        <vt:lpwstr/>
      </vt:variant>
      <vt:variant>
        <vt:lpwstr>_Toc190935864</vt:lpwstr>
      </vt:variant>
      <vt:variant>
        <vt:i4>1310778</vt:i4>
      </vt:variant>
      <vt:variant>
        <vt:i4>872</vt:i4>
      </vt:variant>
      <vt:variant>
        <vt:i4>0</vt:i4>
      </vt:variant>
      <vt:variant>
        <vt:i4>5</vt:i4>
      </vt:variant>
      <vt:variant>
        <vt:lpwstr/>
      </vt:variant>
      <vt:variant>
        <vt:lpwstr>_Toc190935863</vt:lpwstr>
      </vt:variant>
      <vt:variant>
        <vt:i4>1310778</vt:i4>
      </vt:variant>
      <vt:variant>
        <vt:i4>866</vt:i4>
      </vt:variant>
      <vt:variant>
        <vt:i4>0</vt:i4>
      </vt:variant>
      <vt:variant>
        <vt:i4>5</vt:i4>
      </vt:variant>
      <vt:variant>
        <vt:lpwstr/>
      </vt:variant>
      <vt:variant>
        <vt:lpwstr>_Toc190935862</vt:lpwstr>
      </vt:variant>
      <vt:variant>
        <vt:i4>1310778</vt:i4>
      </vt:variant>
      <vt:variant>
        <vt:i4>860</vt:i4>
      </vt:variant>
      <vt:variant>
        <vt:i4>0</vt:i4>
      </vt:variant>
      <vt:variant>
        <vt:i4>5</vt:i4>
      </vt:variant>
      <vt:variant>
        <vt:lpwstr/>
      </vt:variant>
      <vt:variant>
        <vt:lpwstr>_Toc190935861</vt:lpwstr>
      </vt:variant>
      <vt:variant>
        <vt:i4>1310778</vt:i4>
      </vt:variant>
      <vt:variant>
        <vt:i4>854</vt:i4>
      </vt:variant>
      <vt:variant>
        <vt:i4>0</vt:i4>
      </vt:variant>
      <vt:variant>
        <vt:i4>5</vt:i4>
      </vt:variant>
      <vt:variant>
        <vt:lpwstr/>
      </vt:variant>
      <vt:variant>
        <vt:lpwstr>_Toc190935860</vt:lpwstr>
      </vt:variant>
      <vt:variant>
        <vt:i4>1507386</vt:i4>
      </vt:variant>
      <vt:variant>
        <vt:i4>848</vt:i4>
      </vt:variant>
      <vt:variant>
        <vt:i4>0</vt:i4>
      </vt:variant>
      <vt:variant>
        <vt:i4>5</vt:i4>
      </vt:variant>
      <vt:variant>
        <vt:lpwstr/>
      </vt:variant>
      <vt:variant>
        <vt:lpwstr>_Toc190935859</vt:lpwstr>
      </vt:variant>
      <vt:variant>
        <vt:i4>1507386</vt:i4>
      </vt:variant>
      <vt:variant>
        <vt:i4>842</vt:i4>
      </vt:variant>
      <vt:variant>
        <vt:i4>0</vt:i4>
      </vt:variant>
      <vt:variant>
        <vt:i4>5</vt:i4>
      </vt:variant>
      <vt:variant>
        <vt:lpwstr/>
      </vt:variant>
      <vt:variant>
        <vt:lpwstr>_Toc190935858</vt:lpwstr>
      </vt:variant>
      <vt:variant>
        <vt:i4>1507386</vt:i4>
      </vt:variant>
      <vt:variant>
        <vt:i4>836</vt:i4>
      </vt:variant>
      <vt:variant>
        <vt:i4>0</vt:i4>
      </vt:variant>
      <vt:variant>
        <vt:i4>5</vt:i4>
      </vt:variant>
      <vt:variant>
        <vt:lpwstr/>
      </vt:variant>
      <vt:variant>
        <vt:lpwstr>_Toc190935857</vt:lpwstr>
      </vt:variant>
      <vt:variant>
        <vt:i4>1507386</vt:i4>
      </vt:variant>
      <vt:variant>
        <vt:i4>830</vt:i4>
      </vt:variant>
      <vt:variant>
        <vt:i4>0</vt:i4>
      </vt:variant>
      <vt:variant>
        <vt:i4>5</vt:i4>
      </vt:variant>
      <vt:variant>
        <vt:lpwstr/>
      </vt:variant>
      <vt:variant>
        <vt:lpwstr>_Toc190935856</vt:lpwstr>
      </vt:variant>
      <vt:variant>
        <vt:i4>1507386</vt:i4>
      </vt:variant>
      <vt:variant>
        <vt:i4>824</vt:i4>
      </vt:variant>
      <vt:variant>
        <vt:i4>0</vt:i4>
      </vt:variant>
      <vt:variant>
        <vt:i4>5</vt:i4>
      </vt:variant>
      <vt:variant>
        <vt:lpwstr/>
      </vt:variant>
      <vt:variant>
        <vt:lpwstr>_Toc190935855</vt:lpwstr>
      </vt:variant>
      <vt:variant>
        <vt:i4>1507386</vt:i4>
      </vt:variant>
      <vt:variant>
        <vt:i4>818</vt:i4>
      </vt:variant>
      <vt:variant>
        <vt:i4>0</vt:i4>
      </vt:variant>
      <vt:variant>
        <vt:i4>5</vt:i4>
      </vt:variant>
      <vt:variant>
        <vt:lpwstr/>
      </vt:variant>
      <vt:variant>
        <vt:lpwstr>_Toc190935854</vt:lpwstr>
      </vt:variant>
      <vt:variant>
        <vt:i4>1507386</vt:i4>
      </vt:variant>
      <vt:variant>
        <vt:i4>812</vt:i4>
      </vt:variant>
      <vt:variant>
        <vt:i4>0</vt:i4>
      </vt:variant>
      <vt:variant>
        <vt:i4>5</vt:i4>
      </vt:variant>
      <vt:variant>
        <vt:lpwstr/>
      </vt:variant>
      <vt:variant>
        <vt:lpwstr>_Toc190935853</vt:lpwstr>
      </vt:variant>
      <vt:variant>
        <vt:i4>1507386</vt:i4>
      </vt:variant>
      <vt:variant>
        <vt:i4>806</vt:i4>
      </vt:variant>
      <vt:variant>
        <vt:i4>0</vt:i4>
      </vt:variant>
      <vt:variant>
        <vt:i4>5</vt:i4>
      </vt:variant>
      <vt:variant>
        <vt:lpwstr/>
      </vt:variant>
      <vt:variant>
        <vt:lpwstr>_Toc190935852</vt:lpwstr>
      </vt:variant>
      <vt:variant>
        <vt:i4>1507386</vt:i4>
      </vt:variant>
      <vt:variant>
        <vt:i4>800</vt:i4>
      </vt:variant>
      <vt:variant>
        <vt:i4>0</vt:i4>
      </vt:variant>
      <vt:variant>
        <vt:i4>5</vt:i4>
      </vt:variant>
      <vt:variant>
        <vt:lpwstr/>
      </vt:variant>
      <vt:variant>
        <vt:lpwstr>_Toc190935851</vt:lpwstr>
      </vt:variant>
      <vt:variant>
        <vt:i4>1507386</vt:i4>
      </vt:variant>
      <vt:variant>
        <vt:i4>794</vt:i4>
      </vt:variant>
      <vt:variant>
        <vt:i4>0</vt:i4>
      </vt:variant>
      <vt:variant>
        <vt:i4>5</vt:i4>
      </vt:variant>
      <vt:variant>
        <vt:lpwstr/>
      </vt:variant>
      <vt:variant>
        <vt:lpwstr>_Toc190935850</vt:lpwstr>
      </vt:variant>
      <vt:variant>
        <vt:i4>1441850</vt:i4>
      </vt:variant>
      <vt:variant>
        <vt:i4>788</vt:i4>
      </vt:variant>
      <vt:variant>
        <vt:i4>0</vt:i4>
      </vt:variant>
      <vt:variant>
        <vt:i4>5</vt:i4>
      </vt:variant>
      <vt:variant>
        <vt:lpwstr/>
      </vt:variant>
      <vt:variant>
        <vt:lpwstr>_Toc190935849</vt:lpwstr>
      </vt:variant>
      <vt:variant>
        <vt:i4>1441850</vt:i4>
      </vt:variant>
      <vt:variant>
        <vt:i4>782</vt:i4>
      </vt:variant>
      <vt:variant>
        <vt:i4>0</vt:i4>
      </vt:variant>
      <vt:variant>
        <vt:i4>5</vt:i4>
      </vt:variant>
      <vt:variant>
        <vt:lpwstr/>
      </vt:variant>
      <vt:variant>
        <vt:lpwstr>_Toc190935848</vt:lpwstr>
      </vt:variant>
      <vt:variant>
        <vt:i4>1441850</vt:i4>
      </vt:variant>
      <vt:variant>
        <vt:i4>776</vt:i4>
      </vt:variant>
      <vt:variant>
        <vt:i4>0</vt:i4>
      </vt:variant>
      <vt:variant>
        <vt:i4>5</vt:i4>
      </vt:variant>
      <vt:variant>
        <vt:lpwstr/>
      </vt:variant>
      <vt:variant>
        <vt:lpwstr>_Toc190935847</vt:lpwstr>
      </vt:variant>
      <vt:variant>
        <vt:i4>1441850</vt:i4>
      </vt:variant>
      <vt:variant>
        <vt:i4>770</vt:i4>
      </vt:variant>
      <vt:variant>
        <vt:i4>0</vt:i4>
      </vt:variant>
      <vt:variant>
        <vt:i4>5</vt:i4>
      </vt:variant>
      <vt:variant>
        <vt:lpwstr/>
      </vt:variant>
      <vt:variant>
        <vt:lpwstr>_Toc190935846</vt:lpwstr>
      </vt:variant>
      <vt:variant>
        <vt:i4>1441850</vt:i4>
      </vt:variant>
      <vt:variant>
        <vt:i4>764</vt:i4>
      </vt:variant>
      <vt:variant>
        <vt:i4>0</vt:i4>
      </vt:variant>
      <vt:variant>
        <vt:i4>5</vt:i4>
      </vt:variant>
      <vt:variant>
        <vt:lpwstr/>
      </vt:variant>
      <vt:variant>
        <vt:lpwstr>_Toc190935845</vt:lpwstr>
      </vt:variant>
      <vt:variant>
        <vt:i4>1441850</vt:i4>
      </vt:variant>
      <vt:variant>
        <vt:i4>758</vt:i4>
      </vt:variant>
      <vt:variant>
        <vt:i4>0</vt:i4>
      </vt:variant>
      <vt:variant>
        <vt:i4>5</vt:i4>
      </vt:variant>
      <vt:variant>
        <vt:lpwstr/>
      </vt:variant>
      <vt:variant>
        <vt:lpwstr>_Toc190935844</vt:lpwstr>
      </vt:variant>
      <vt:variant>
        <vt:i4>1441850</vt:i4>
      </vt:variant>
      <vt:variant>
        <vt:i4>752</vt:i4>
      </vt:variant>
      <vt:variant>
        <vt:i4>0</vt:i4>
      </vt:variant>
      <vt:variant>
        <vt:i4>5</vt:i4>
      </vt:variant>
      <vt:variant>
        <vt:lpwstr/>
      </vt:variant>
      <vt:variant>
        <vt:lpwstr>_Toc190935843</vt:lpwstr>
      </vt:variant>
      <vt:variant>
        <vt:i4>1441850</vt:i4>
      </vt:variant>
      <vt:variant>
        <vt:i4>746</vt:i4>
      </vt:variant>
      <vt:variant>
        <vt:i4>0</vt:i4>
      </vt:variant>
      <vt:variant>
        <vt:i4>5</vt:i4>
      </vt:variant>
      <vt:variant>
        <vt:lpwstr/>
      </vt:variant>
      <vt:variant>
        <vt:lpwstr>_Toc190935842</vt:lpwstr>
      </vt:variant>
      <vt:variant>
        <vt:i4>1441850</vt:i4>
      </vt:variant>
      <vt:variant>
        <vt:i4>740</vt:i4>
      </vt:variant>
      <vt:variant>
        <vt:i4>0</vt:i4>
      </vt:variant>
      <vt:variant>
        <vt:i4>5</vt:i4>
      </vt:variant>
      <vt:variant>
        <vt:lpwstr/>
      </vt:variant>
      <vt:variant>
        <vt:lpwstr>_Toc190935841</vt:lpwstr>
      </vt:variant>
      <vt:variant>
        <vt:i4>1441850</vt:i4>
      </vt:variant>
      <vt:variant>
        <vt:i4>734</vt:i4>
      </vt:variant>
      <vt:variant>
        <vt:i4>0</vt:i4>
      </vt:variant>
      <vt:variant>
        <vt:i4>5</vt:i4>
      </vt:variant>
      <vt:variant>
        <vt:lpwstr/>
      </vt:variant>
      <vt:variant>
        <vt:lpwstr>_Toc190935840</vt:lpwstr>
      </vt:variant>
      <vt:variant>
        <vt:i4>1114170</vt:i4>
      </vt:variant>
      <vt:variant>
        <vt:i4>728</vt:i4>
      </vt:variant>
      <vt:variant>
        <vt:i4>0</vt:i4>
      </vt:variant>
      <vt:variant>
        <vt:i4>5</vt:i4>
      </vt:variant>
      <vt:variant>
        <vt:lpwstr/>
      </vt:variant>
      <vt:variant>
        <vt:lpwstr>_Toc190935839</vt:lpwstr>
      </vt:variant>
      <vt:variant>
        <vt:i4>1114170</vt:i4>
      </vt:variant>
      <vt:variant>
        <vt:i4>722</vt:i4>
      </vt:variant>
      <vt:variant>
        <vt:i4>0</vt:i4>
      </vt:variant>
      <vt:variant>
        <vt:i4>5</vt:i4>
      </vt:variant>
      <vt:variant>
        <vt:lpwstr/>
      </vt:variant>
      <vt:variant>
        <vt:lpwstr>_Toc190935838</vt:lpwstr>
      </vt:variant>
      <vt:variant>
        <vt:i4>1114170</vt:i4>
      </vt:variant>
      <vt:variant>
        <vt:i4>716</vt:i4>
      </vt:variant>
      <vt:variant>
        <vt:i4>0</vt:i4>
      </vt:variant>
      <vt:variant>
        <vt:i4>5</vt:i4>
      </vt:variant>
      <vt:variant>
        <vt:lpwstr/>
      </vt:variant>
      <vt:variant>
        <vt:lpwstr>_Toc190935837</vt:lpwstr>
      </vt:variant>
      <vt:variant>
        <vt:i4>1114170</vt:i4>
      </vt:variant>
      <vt:variant>
        <vt:i4>710</vt:i4>
      </vt:variant>
      <vt:variant>
        <vt:i4>0</vt:i4>
      </vt:variant>
      <vt:variant>
        <vt:i4>5</vt:i4>
      </vt:variant>
      <vt:variant>
        <vt:lpwstr/>
      </vt:variant>
      <vt:variant>
        <vt:lpwstr>_Toc190935836</vt:lpwstr>
      </vt:variant>
      <vt:variant>
        <vt:i4>1114170</vt:i4>
      </vt:variant>
      <vt:variant>
        <vt:i4>704</vt:i4>
      </vt:variant>
      <vt:variant>
        <vt:i4>0</vt:i4>
      </vt:variant>
      <vt:variant>
        <vt:i4>5</vt:i4>
      </vt:variant>
      <vt:variant>
        <vt:lpwstr/>
      </vt:variant>
      <vt:variant>
        <vt:lpwstr>_Toc190935835</vt:lpwstr>
      </vt:variant>
      <vt:variant>
        <vt:i4>1114170</vt:i4>
      </vt:variant>
      <vt:variant>
        <vt:i4>698</vt:i4>
      </vt:variant>
      <vt:variant>
        <vt:i4>0</vt:i4>
      </vt:variant>
      <vt:variant>
        <vt:i4>5</vt:i4>
      </vt:variant>
      <vt:variant>
        <vt:lpwstr/>
      </vt:variant>
      <vt:variant>
        <vt:lpwstr>_Toc190935834</vt:lpwstr>
      </vt:variant>
      <vt:variant>
        <vt:i4>1114170</vt:i4>
      </vt:variant>
      <vt:variant>
        <vt:i4>692</vt:i4>
      </vt:variant>
      <vt:variant>
        <vt:i4>0</vt:i4>
      </vt:variant>
      <vt:variant>
        <vt:i4>5</vt:i4>
      </vt:variant>
      <vt:variant>
        <vt:lpwstr/>
      </vt:variant>
      <vt:variant>
        <vt:lpwstr>_Toc190935833</vt:lpwstr>
      </vt:variant>
      <vt:variant>
        <vt:i4>1114170</vt:i4>
      </vt:variant>
      <vt:variant>
        <vt:i4>686</vt:i4>
      </vt:variant>
      <vt:variant>
        <vt:i4>0</vt:i4>
      </vt:variant>
      <vt:variant>
        <vt:i4>5</vt:i4>
      </vt:variant>
      <vt:variant>
        <vt:lpwstr/>
      </vt:variant>
      <vt:variant>
        <vt:lpwstr>_Toc190935832</vt:lpwstr>
      </vt:variant>
      <vt:variant>
        <vt:i4>1114170</vt:i4>
      </vt:variant>
      <vt:variant>
        <vt:i4>680</vt:i4>
      </vt:variant>
      <vt:variant>
        <vt:i4>0</vt:i4>
      </vt:variant>
      <vt:variant>
        <vt:i4>5</vt:i4>
      </vt:variant>
      <vt:variant>
        <vt:lpwstr/>
      </vt:variant>
      <vt:variant>
        <vt:lpwstr>_Toc190935831</vt:lpwstr>
      </vt:variant>
      <vt:variant>
        <vt:i4>1114170</vt:i4>
      </vt:variant>
      <vt:variant>
        <vt:i4>674</vt:i4>
      </vt:variant>
      <vt:variant>
        <vt:i4>0</vt:i4>
      </vt:variant>
      <vt:variant>
        <vt:i4>5</vt:i4>
      </vt:variant>
      <vt:variant>
        <vt:lpwstr/>
      </vt:variant>
      <vt:variant>
        <vt:lpwstr>_Toc190935830</vt:lpwstr>
      </vt:variant>
      <vt:variant>
        <vt:i4>1048634</vt:i4>
      </vt:variant>
      <vt:variant>
        <vt:i4>668</vt:i4>
      </vt:variant>
      <vt:variant>
        <vt:i4>0</vt:i4>
      </vt:variant>
      <vt:variant>
        <vt:i4>5</vt:i4>
      </vt:variant>
      <vt:variant>
        <vt:lpwstr/>
      </vt:variant>
      <vt:variant>
        <vt:lpwstr>_Toc190935829</vt:lpwstr>
      </vt:variant>
      <vt:variant>
        <vt:i4>1048634</vt:i4>
      </vt:variant>
      <vt:variant>
        <vt:i4>662</vt:i4>
      </vt:variant>
      <vt:variant>
        <vt:i4>0</vt:i4>
      </vt:variant>
      <vt:variant>
        <vt:i4>5</vt:i4>
      </vt:variant>
      <vt:variant>
        <vt:lpwstr/>
      </vt:variant>
      <vt:variant>
        <vt:lpwstr>_Toc190935828</vt:lpwstr>
      </vt:variant>
      <vt:variant>
        <vt:i4>1048634</vt:i4>
      </vt:variant>
      <vt:variant>
        <vt:i4>656</vt:i4>
      </vt:variant>
      <vt:variant>
        <vt:i4>0</vt:i4>
      </vt:variant>
      <vt:variant>
        <vt:i4>5</vt:i4>
      </vt:variant>
      <vt:variant>
        <vt:lpwstr/>
      </vt:variant>
      <vt:variant>
        <vt:lpwstr>_Toc190935827</vt:lpwstr>
      </vt:variant>
      <vt:variant>
        <vt:i4>1048634</vt:i4>
      </vt:variant>
      <vt:variant>
        <vt:i4>650</vt:i4>
      </vt:variant>
      <vt:variant>
        <vt:i4>0</vt:i4>
      </vt:variant>
      <vt:variant>
        <vt:i4>5</vt:i4>
      </vt:variant>
      <vt:variant>
        <vt:lpwstr/>
      </vt:variant>
      <vt:variant>
        <vt:lpwstr>_Toc190935826</vt:lpwstr>
      </vt:variant>
      <vt:variant>
        <vt:i4>1048634</vt:i4>
      </vt:variant>
      <vt:variant>
        <vt:i4>644</vt:i4>
      </vt:variant>
      <vt:variant>
        <vt:i4>0</vt:i4>
      </vt:variant>
      <vt:variant>
        <vt:i4>5</vt:i4>
      </vt:variant>
      <vt:variant>
        <vt:lpwstr/>
      </vt:variant>
      <vt:variant>
        <vt:lpwstr>_Toc190935825</vt:lpwstr>
      </vt:variant>
      <vt:variant>
        <vt:i4>1048634</vt:i4>
      </vt:variant>
      <vt:variant>
        <vt:i4>638</vt:i4>
      </vt:variant>
      <vt:variant>
        <vt:i4>0</vt:i4>
      </vt:variant>
      <vt:variant>
        <vt:i4>5</vt:i4>
      </vt:variant>
      <vt:variant>
        <vt:lpwstr/>
      </vt:variant>
      <vt:variant>
        <vt:lpwstr>_Toc190935824</vt:lpwstr>
      </vt:variant>
      <vt:variant>
        <vt:i4>1048634</vt:i4>
      </vt:variant>
      <vt:variant>
        <vt:i4>632</vt:i4>
      </vt:variant>
      <vt:variant>
        <vt:i4>0</vt:i4>
      </vt:variant>
      <vt:variant>
        <vt:i4>5</vt:i4>
      </vt:variant>
      <vt:variant>
        <vt:lpwstr/>
      </vt:variant>
      <vt:variant>
        <vt:lpwstr>_Toc190935823</vt:lpwstr>
      </vt:variant>
      <vt:variant>
        <vt:i4>1048634</vt:i4>
      </vt:variant>
      <vt:variant>
        <vt:i4>626</vt:i4>
      </vt:variant>
      <vt:variant>
        <vt:i4>0</vt:i4>
      </vt:variant>
      <vt:variant>
        <vt:i4>5</vt:i4>
      </vt:variant>
      <vt:variant>
        <vt:lpwstr/>
      </vt:variant>
      <vt:variant>
        <vt:lpwstr>_Toc190935822</vt:lpwstr>
      </vt:variant>
      <vt:variant>
        <vt:i4>1048634</vt:i4>
      </vt:variant>
      <vt:variant>
        <vt:i4>620</vt:i4>
      </vt:variant>
      <vt:variant>
        <vt:i4>0</vt:i4>
      </vt:variant>
      <vt:variant>
        <vt:i4>5</vt:i4>
      </vt:variant>
      <vt:variant>
        <vt:lpwstr/>
      </vt:variant>
      <vt:variant>
        <vt:lpwstr>_Toc190935821</vt:lpwstr>
      </vt:variant>
      <vt:variant>
        <vt:i4>1048634</vt:i4>
      </vt:variant>
      <vt:variant>
        <vt:i4>614</vt:i4>
      </vt:variant>
      <vt:variant>
        <vt:i4>0</vt:i4>
      </vt:variant>
      <vt:variant>
        <vt:i4>5</vt:i4>
      </vt:variant>
      <vt:variant>
        <vt:lpwstr/>
      </vt:variant>
      <vt:variant>
        <vt:lpwstr>_Toc190935820</vt:lpwstr>
      </vt:variant>
      <vt:variant>
        <vt:i4>1245242</vt:i4>
      </vt:variant>
      <vt:variant>
        <vt:i4>608</vt:i4>
      </vt:variant>
      <vt:variant>
        <vt:i4>0</vt:i4>
      </vt:variant>
      <vt:variant>
        <vt:i4>5</vt:i4>
      </vt:variant>
      <vt:variant>
        <vt:lpwstr/>
      </vt:variant>
      <vt:variant>
        <vt:lpwstr>_Toc190935819</vt:lpwstr>
      </vt:variant>
      <vt:variant>
        <vt:i4>1245242</vt:i4>
      </vt:variant>
      <vt:variant>
        <vt:i4>602</vt:i4>
      </vt:variant>
      <vt:variant>
        <vt:i4>0</vt:i4>
      </vt:variant>
      <vt:variant>
        <vt:i4>5</vt:i4>
      </vt:variant>
      <vt:variant>
        <vt:lpwstr/>
      </vt:variant>
      <vt:variant>
        <vt:lpwstr>_Toc190935818</vt:lpwstr>
      </vt:variant>
      <vt:variant>
        <vt:i4>1245242</vt:i4>
      </vt:variant>
      <vt:variant>
        <vt:i4>596</vt:i4>
      </vt:variant>
      <vt:variant>
        <vt:i4>0</vt:i4>
      </vt:variant>
      <vt:variant>
        <vt:i4>5</vt:i4>
      </vt:variant>
      <vt:variant>
        <vt:lpwstr/>
      </vt:variant>
      <vt:variant>
        <vt:lpwstr>_Toc190935817</vt:lpwstr>
      </vt:variant>
      <vt:variant>
        <vt:i4>1245242</vt:i4>
      </vt:variant>
      <vt:variant>
        <vt:i4>590</vt:i4>
      </vt:variant>
      <vt:variant>
        <vt:i4>0</vt:i4>
      </vt:variant>
      <vt:variant>
        <vt:i4>5</vt:i4>
      </vt:variant>
      <vt:variant>
        <vt:lpwstr/>
      </vt:variant>
      <vt:variant>
        <vt:lpwstr>_Toc190935816</vt:lpwstr>
      </vt:variant>
      <vt:variant>
        <vt:i4>1245242</vt:i4>
      </vt:variant>
      <vt:variant>
        <vt:i4>584</vt:i4>
      </vt:variant>
      <vt:variant>
        <vt:i4>0</vt:i4>
      </vt:variant>
      <vt:variant>
        <vt:i4>5</vt:i4>
      </vt:variant>
      <vt:variant>
        <vt:lpwstr/>
      </vt:variant>
      <vt:variant>
        <vt:lpwstr>_Toc190935815</vt:lpwstr>
      </vt:variant>
      <vt:variant>
        <vt:i4>1245242</vt:i4>
      </vt:variant>
      <vt:variant>
        <vt:i4>578</vt:i4>
      </vt:variant>
      <vt:variant>
        <vt:i4>0</vt:i4>
      </vt:variant>
      <vt:variant>
        <vt:i4>5</vt:i4>
      </vt:variant>
      <vt:variant>
        <vt:lpwstr/>
      </vt:variant>
      <vt:variant>
        <vt:lpwstr>_Toc190935814</vt:lpwstr>
      </vt:variant>
      <vt:variant>
        <vt:i4>1245242</vt:i4>
      </vt:variant>
      <vt:variant>
        <vt:i4>572</vt:i4>
      </vt:variant>
      <vt:variant>
        <vt:i4>0</vt:i4>
      </vt:variant>
      <vt:variant>
        <vt:i4>5</vt:i4>
      </vt:variant>
      <vt:variant>
        <vt:lpwstr/>
      </vt:variant>
      <vt:variant>
        <vt:lpwstr>_Toc190935813</vt:lpwstr>
      </vt:variant>
      <vt:variant>
        <vt:i4>1245242</vt:i4>
      </vt:variant>
      <vt:variant>
        <vt:i4>566</vt:i4>
      </vt:variant>
      <vt:variant>
        <vt:i4>0</vt:i4>
      </vt:variant>
      <vt:variant>
        <vt:i4>5</vt:i4>
      </vt:variant>
      <vt:variant>
        <vt:lpwstr/>
      </vt:variant>
      <vt:variant>
        <vt:lpwstr>_Toc190935812</vt:lpwstr>
      </vt:variant>
      <vt:variant>
        <vt:i4>1245242</vt:i4>
      </vt:variant>
      <vt:variant>
        <vt:i4>560</vt:i4>
      </vt:variant>
      <vt:variant>
        <vt:i4>0</vt:i4>
      </vt:variant>
      <vt:variant>
        <vt:i4>5</vt:i4>
      </vt:variant>
      <vt:variant>
        <vt:lpwstr/>
      </vt:variant>
      <vt:variant>
        <vt:lpwstr>_Toc190935811</vt:lpwstr>
      </vt:variant>
      <vt:variant>
        <vt:i4>1245242</vt:i4>
      </vt:variant>
      <vt:variant>
        <vt:i4>554</vt:i4>
      </vt:variant>
      <vt:variant>
        <vt:i4>0</vt:i4>
      </vt:variant>
      <vt:variant>
        <vt:i4>5</vt:i4>
      </vt:variant>
      <vt:variant>
        <vt:lpwstr/>
      </vt:variant>
      <vt:variant>
        <vt:lpwstr>_Toc190935810</vt:lpwstr>
      </vt:variant>
      <vt:variant>
        <vt:i4>1179706</vt:i4>
      </vt:variant>
      <vt:variant>
        <vt:i4>548</vt:i4>
      </vt:variant>
      <vt:variant>
        <vt:i4>0</vt:i4>
      </vt:variant>
      <vt:variant>
        <vt:i4>5</vt:i4>
      </vt:variant>
      <vt:variant>
        <vt:lpwstr/>
      </vt:variant>
      <vt:variant>
        <vt:lpwstr>_Toc190935809</vt:lpwstr>
      </vt:variant>
      <vt:variant>
        <vt:i4>1179706</vt:i4>
      </vt:variant>
      <vt:variant>
        <vt:i4>542</vt:i4>
      </vt:variant>
      <vt:variant>
        <vt:i4>0</vt:i4>
      </vt:variant>
      <vt:variant>
        <vt:i4>5</vt:i4>
      </vt:variant>
      <vt:variant>
        <vt:lpwstr/>
      </vt:variant>
      <vt:variant>
        <vt:lpwstr>_Toc190935808</vt:lpwstr>
      </vt:variant>
      <vt:variant>
        <vt:i4>1179706</vt:i4>
      </vt:variant>
      <vt:variant>
        <vt:i4>536</vt:i4>
      </vt:variant>
      <vt:variant>
        <vt:i4>0</vt:i4>
      </vt:variant>
      <vt:variant>
        <vt:i4>5</vt:i4>
      </vt:variant>
      <vt:variant>
        <vt:lpwstr/>
      </vt:variant>
      <vt:variant>
        <vt:lpwstr>_Toc190935807</vt:lpwstr>
      </vt:variant>
      <vt:variant>
        <vt:i4>1179706</vt:i4>
      </vt:variant>
      <vt:variant>
        <vt:i4>530</vt:i4>
      </vt:variant>
      <vt:variant>
        <vt:i4>0</vt:i4>
      </vt:variant>
      <vt:variant>
        <vt:i4>5</vt:i4>
      </vt:variant>
      <vt:variant>
        <vt:lpwstr/>
      </vt:variant>
      <vt:variant>
        <vt:lpwstr>_Toc190935806</vt:lpwstr>
      </vt:variant>
      <vt:variant>
        <vt:i4>1179706</vt:i4>
      </vt:variant>
      <vt:variant>
        <vt:i4>524</vt:i4>
      </vt:variant>
      <vt:variant>
        <vt:i4>0</vt:i4>
      </vt:variant>
      <vt:variant>
        <vt:i4>5</vt:i4>
      </vt:variant>
      <vt:variant>
        <vt:lpwstr/>
      </vt:variant>
      <vt:variant>
        <vt:lpwstr>_Toc190935805</vt:lpwstr>
      </vt:variant>
      <vt:variant>
        <vt:i4>1179706</vt:i4>
      </vt:variant>
      <vt:variant>
        <vt:i4>518</vt:i4>
      </vt:variant>
      <vt:variant>
        <vt:i4>0</vt:i4>
      </vt:variant>
      <vt:variant>
        <vt:i4>5</vt:i4>
      </vt:variant>
      <vt:variant>
        <vt:lpwstr/>
      </vt:variant>
      <vt:variant>
        <vt:lpwstr>_Toc190935804</vt:lpwstr>
      </vt:variant>
      <vt:variant>
        <vt:i4>1179706</vt:i4>
      </vt:variant>
      <vt:variant>
        <vt:i4>512</vt:i4>
      </vt:variant>
      <vt:variant>
        <vt:i4>0</vt:i4>
      </vt:variant>
      <vt:variant>
        <vt:i4>5</vt:i4>
      </vt:variant>
      <vt:variant>
        <vt:lpwstr/>
      </vt:variant>
      <vt:variant>
        <vt:lpwstr>_Toc190935803</vt:lpwstr>
      </vt:variant>
      <vt:variant>
        <vt:i4>1179706</vt:i4>
      </vt:variant>
      <vt:variant>
        <vt:i4>506</vt:i4>
      </vt:variant>
      <vt:variant>
        <vt:i4>0</vt:i4>
      </vt:variant>
      <vt:variant>
        <vt:i4>5</vt:i4>
      </vt:variant>
      <vt:variant>
        <vt:lpwstr/>
      </vt:variant>
      <vt:variant>
        <vt:lpwstr>_Toc190935802</vt:lpwstr>
      </vt:variant>
      <vt:variant>
        <vt:i4>1179706</vt:i4>
      </vt:variant>
      <vt:variant>
        <vt:i4>500</vt:i4>
      </vt:variant>
      <vt:variant>
        <vt:i4>0</vt:i4>
      </vt:variant>
      <vt:variant>
        <vt:i4>5</vt:i4>
      </vt:variant>
      <vt:variant>
        <vt:lpwstr/>
      </vt:variant>
      <vt:variant>
        <vt:lpwstr>_Toc190935801</vt:lpwstr>
      </vt:variant>
      <vt:variant>
        <vt:i4>1179706</vt:i4>
      </vt:variant>
      <vt:variant>
        <vt:i4>494</vt:i4>
      </vt:variant>
      <vt:variant>
        <vt:i4>0</vt:i4>
      </vt:variant>
      <vt:variant>
        <vt:i4>5</vt:i4>
      </vt:variant>
      <vt:variant>
        <vt:lpwstr/>
      </vt:variant>
      <vt:variant>
        <vt:lpwstr>_Toc190935800</vt:lpwstr>
      </vt:variant>
      <vt:variant>
        <vt:i4>1769525</vt:i4>
      </vt:variant>
      <vt:variant>
        <vt:i4>488</vt:i4>
      </vt:variant>
      <vt:variant>
        <vt:i4>0</vt:i4>
      </vt:variant>
      <vt:variant>
        <vt:i4>5</vt:i4>
      </vt:variant>
      <vt:variant>
        <vt:lpwstr/>
      </vt:variant>
      <vt:variant>
        <vt:lpwstr>_Toc190935799</vt:lpwstr>
      </vt:variant>
      <vt:variant>
        <vt:i4>1769525</vt:i4>
      </vt:variant>
      <vt:variant>
        <vt:i4>482</vt:i4>
      </vt:variant>
      <vt:variant>
        <vt:i4>0</vt:i4>
      </vt:variant>
      <vt:variant>
        <vt:i4>5</vt:i4>
      </vt:variant>
      <vt:variant>
        <vt:lpwstr/>
      </vt:variant>
      <vt:variant>
        <vt:lpwstr>_Toc190935798</vt:lpwstr>
      </vt:variant>
      <vt:variant>
        <vt:i4>1769525</vt:i4>
      </vt:variant>
      <vt:variant>
        <vt:i4>476</vt:i4>
      </vt:variant>
      <vt:variant>
        <vt:i4>0</vt:i4>
      </vt:variant>
      <vt:variant>
        <vt:i4>5</vt:i4>
      </vt:variant>
      <vt:variant>
        <vt:lpwstr/>
      </vt:variant>
      <vt:variant>
        <vt:lpwstr>_Toc190935797</vt:lpwstr>
      </vt:variant>
      <vt:variant>
        <vt:i4>1769525</vt:i4>
      </vt:variant>
      <vt:variant>
        <vt:i4>470</vt:i4>
      </vt:variant>
      <vt:variant>
        <vt:i4>0</vt:i4>
      </vt:variant>
      <vt:variant>
        <vt:i4>5</vt:i4>
      </vt:variant>
      <vt:variant>
        <vt:lpwstr/>
      </vt:variant>
      <vt:variant>
        <vt:lpwstr>_Toc190935796</vt:lpwstr>
      </vt:variant>
      <vt:variant>
        <vt:i4>1769525</vt:i4>
      </vt:variant>
      <vt:variant>
        <vt:i4>464</vt:i4>
      </vt:variant>
      <vt:variant>
        <vt:i4>0</vt:i4>
      </vt:variant>
      <vt:variant>
        <vt:i4>5</vt:i4>
      </vt:variant>
      <vt:variant>
        <vt:lpwstr/>
      </vt:variant>
      <vt:variant>
        <vt:lpwstr>_Toc190935795</vt:lpwstr>
      </vt:variant>
      <vt:variant>
        <vt:i4>1769525</vt:i4>
      </vt:variant>
      <vt:variant>
        <vt:i4>458</vt:i4>
      </vt:variant>
      <vt:variant>
        <vt:i4>0</vt:i4>
      </vt:variant>
      <vt:variant>
        <vt:i4>5</vt:i4>
      </vt:variant>
      <vt:variant>
        <vt:lpwstr/>
      </vt:variant>
      <vt:variant>
        <vt:lpwstr>_Toc190935794</vt:lpwstr>
      </vt:variant>
      <vt:variant>
        <vt:i4>1769525</vt:i4>
      </vt:variant>
      <vt:variant>
        <vt:i4>452</vt:i4>
      </vt:variant>
      <vt:variant>
        <vt:i4>0</vt:i4>
      </vt:variant>
      <vt:variant>
        <vt:i4>5</vt:i4>
      </vt:variant>
      <vt:variant>
        <vt:lpwstr/>
      </vt:variant>
      <vt:variant>
        <vt:lpwstr>_Toc190935793</vt:lpwstr>
      </vt:variant>
      <vt:variant>
        <vt:i4>1769525</vt:i4>
      </vt:variant>
      <vt:variant>
        <vt:i4>446</vt:i4>
      </vt:variant>
      <vt:variant>
        <vt:i4>0</vt:i4>
      </vt:variant>
      <vt:variant>
        <vt:i4>5</vt:i4>
      </vt:variant>
      <vt:variant>
        <vt:lpwstr/>
      </vt:variant>
      <vt:variant>
        <vt:lpwstr>_Toc190935792</vt:lpwstr>
      </vt:variant>
      <vt:variant>
        <vt:i4>1769525</vt:i4>
      </vt:variant>
      <vt:variant>
        <vt:i4>440</vt:i4>
      </vt:variant>
      <vt:variant>
        <vt:i4>0</vt:i4>
      </vt:variant>
      <vt:variant>
        <vt:i4>5</vt:i4>
      </vt:variant>
      <vt:variant>
        <vt:lpwstr/>
      </vt:variant>
      <vt:variant>
        <vt:lpwstr>_Toc190935791</vt:lpwstr>
      </vt:variant>
      <vt:variant>
        <vt:i4>1769525</vt:i4>
      </vt:variant>
      <vt:variant>
        <vt:i4>434</vt:i4>
      </vt:variant>
      <vt:variant>
        <vt:i4>0</vt:i4>
      </vt:variant>
      <vt:variant>
        <vt:i4>5</vt:i4>
      </vt:variant>
      <vt:variant>
        <vt:lpwstr/>
      </vt:variant>
      <vt:variant>
        <vt:lpwstr>_Toc190935790</vt:lpwstr>
      </vt:variant>
      <vt:variant>
        <vt:i4>1703989</vt:i4>
      </vt:variant>
      <vt:variant>
        <vt:i4>428</vt:i4>
      </vt:variant>
      <vt:variant>
        <vt:i4>0</vt:i4>
      </vt:variant>
      <vt:variant>
        <vt:i4>5</vt:i4>
      </vt:variant>
      <vt:variant>
        <vt:lpwstr/>
      </vt:variant>
      <vt:variant>
        <vt:lpwstr>_Toc190935789</vt:lpwstr>
      </vt:variant>
      <vt:variant>
        <vt:i4>1703989</vt:i4>
      </vt:variant>
      <vt:variant>
        <vt:i4>422</vt:i4>
      </vt:variant>
      <vt:variant>
        <vt:i4>0</vt:i4>
      </vt:variant>
      <vt:variant>
        <vt:i4>5</vt:i4>
      </vt:variant>
      <vt:variant>
        <vt:lpwstr/>
      </vt:variant>
      <vt:variant>
        <vt:lpwstr>_Toc190935788</vt:lpwstr>
      </vt:variant>
      <vt:variant>
        <vt:i4>1703989</vt:i4>
      </vt:variant>
      <vt:variant>
        <vt:i4>416</vt:i4>
      </vt:variant>
      <vt:variant>
        <vt:i4>0</vt:i4>
      </vt:variant>
      <vt:variant>
        <vt:i4>5</vt:i4>
      </vt:variant>
      <vt:variant>
        <vt:lpwstr/>
      </vt:variant>
      <vt:variant>
        <vt:lpwstr>_Toc190935787</vt:lpwstr>
      </vt:variant>
      <vt:variant>
        <vt:i4>1703989</vt:i4>
      </vt:variant>
      <vt:variant>
        <vt:i4>410</vt:i4>
      </vt:variant>
      <vt:variant>
        <vt:i4>0</vt:i4>
      </vt:variant>
      <vt:variant>
        <vt:i4>5</vt:i4>
      </vt:variant>
      <vt:variant>
        <vt:lpwstr/>
      </vt:variant>
      <vt:variant>
        <vt:lpwstr>_Toc190935786</vt:lpwstr>
      </vt:variant>
      <vt:variant>
        <vt:i4>1703989</vt:i4>
      </vt:variant>
      <vt:variant>
        <vt:i4>404</vt:i4>
      </vt:variant>
      <vt:variant>
        <vt:i4>0</vt:i4>
      </vt:variant>
      <vt:variant>
        <vt:i4>5</vt:i4>
      </vt:variant>
      <vt:variant>
        <vt:lpwstr/>
      </vt:variant>
      <vt:variant>
        <vt:lpwstr>_Toc190935785</vt:lpwstr>
      </vt:variant>
      <vt:variant>
        <vt:i4>1703989</vt:i4>
      </vt:variant>
      <vt:variant>
        <vt:i4>398</vt:i4>
      </vt:variant>
      <vt:variant>
        <vt:i4>0</vt:i4>
      </vt:variant>
      <vt:variant>
        <vt:i4>5</vt:i4>
      </vt:variant>
      <vt:variant>
        <vt:lpwstr/>
      </vt:variant>
      <vt:variant>
        <vt:lpwstr>_Toc190935784</vt:lpwstr>
      </vt:variant>
      <vt:variant>
        <vt:i4>1703989</vt:i4>
      </vt:variant>
      <vt:variant>
        <vt:i4>392</vt:i4>
      </vt:variant>
      <vt:variant>
        <vt:i4>0</vt:i4>
      </vt:variant>
      <vt:variant>
        <vt:i4>5</vt:i4>
      </vt:variant>
      <vt:variant>
        <vt:lpwstr/>
      </vt:variant>
      <vt:variant>
        <vt:lpwstr>_Toc190935783</vt:lpwstr>
      </vt:variant>
      <vt:variant>
        <vt:i4>1703989</vt:i4>
      </vt:variant>
      <vt:variant>
        <vt:i4>386</vt:i4>
      </vt:variant>
      <vt:variant>
        <vt:i4>0</vt:i4>
      </vt:variant>
      <vt:variant>
        <vt:i4>5</vt:i4>
      </vt:variant>
      <vt:variant>
        <vt:lpwstr/>
      </vt:variant>
      <vt:variant>
        <vt:lpwstr>_Toc190935782</vt:lpwstr>
      </vt:variant>
      <vt:variant>
        <vt:i4>1703989</vt:i4>
      </vt:variant>
      <vt:variant>
        <vt:i4>380</vt:i4>
      </vt:variant>
      <vt:variant>
        <vt:i4>0</vt:i4>
      </vt:variant>
      <vt:variant>
        <vt:i4>5</vt:i4>
      </vt:variant>
      <vt:variant>
        <vt:lpwstr/>
      </vt:variant>
      <vt:variant>
        <vt:lpwstr>_Toc190935781</vt:lpwstr>
      </vt:variant>
      <vt:variant>
        <vt:i4>1703989</vt:i4>
      </vt:variant>
      <vt:variant>
        <vt:i4>374</vt:i4>
      </vt:variant>
      <vt:variant>
        <vt:i4>0</vt:i4>
      </vt:variant>
      <vt:variant>
        <vt:i4>5</vt:i4>
      </vt:variant>
      <vt:variant>
        <vt:lpwstr/>
      </vt:variant>
      <vt:variant>
        <vt:lpwstr>_Toc190935780</vt:lpwstr>
      </vt:variant>
      <vt:variant>
        <vt:i4>1376309</vt:i4>
      </vt:variant>
      <vt:variant>
        <vt:i4>368</vt:i4>
      </vt:variant>
      <vt:variant>
        <vt:i4>0</vt:i4>
      </vt:variant>
      <vt:variant>
        <vt:i4>5</vt:i4>
      </vt:variant>
      <vt:variant>
        <vt:lpwstr/>
      </vt:variant>
      <vt:variant>
        <vt:lpwstr>_Toc190935779</vt:lpwstr>
      </vt:variant>
      <vt:variant>
        <vt:i4>1376309</vt:i4>
      </vt:variant>
      <vt:variant>
        <vt:i4>362</vt:i4>
      </vt:variant>
      <vt:variant>
        <vt:i4>0</vt:i4>
      </vt:variant>
      <vt:variant>
        <vt:i4>5</vt:i4>
      </vt:variant>
      <vt:variant>
        <vt:lpwstr/>
      </vt:variant>
      <vt:variant>
        <vt:lpwstr>_Toc190935778</vt:lpwstr>
      </vt:variant>
      <vt:variant>
        <vt:i4>1376309</vt:i4>
      </vt:variant>
      <vt:variant>
        <vt:i4>356</vt:i4>
      </vt:variant>
      <vt:variant>
        <vt:i4>0</vt:i4>
      </vt:variant>
      <vt:variant>
        <vt:i4>5</vt:i4>
      </vt:variant>
      <vt:variant>
        <vt:lpwstr/>
      </vt:variant>
      <vt:variant>
        <vt:lpwstr>_Toc190935777</vt:lpwstr>
      </vt:variant>
      <vt:variant>
        <vt:i4>1376309</vt:i4>
      </vt:variant>
      <vt:variant>
        <vt:i4>350</vt:i4>
      </vt:variant>
      <vt:variant>
        <vt:i4>0</vt:i4>
      </vt:variant>
      <vt:variant>
        <vt:i4>5</vt:i4>
      </vt:variant>
      <vt:variant>
        <vt:lpwstr/>
      </vt:variant>
      <vt:variant>
        <vt:lpwstr>_Toc190935776</vt:lpwstr>
      </vt:variant>
      <vt:variant>
        <vt:i4>1376309</vt:i4>
      </vt:variant>
      <vt:variant>
        <vt:i4>344</vt:i4>
      </vt:variant>
      <vt:variant>
        <vt:i4>0</vt:i4>
      </vt:variant>
      <vt:variant>
        <vt:i4>5</vt:i4>
      </vt:variant>
      <vt:variant>
        <vt:lpwstr/>
      </vt:variant>
      <vt:variant>
        <vt:lpwstr>_Toc190935775</vt:lpwstr>
      </vt:variant>
      <vt:variant>
        <vt:i4>1376309</vt:i4>
      </vt:variant>
      <vt:variant>
        <vt:i4>338</vt:i4>
      </vt:variant>
      <vt:variant>
        <vt:i4>0</vt:i4>
      </vt:variant>
      <vt:variant>
        <vt:i4>5</vt:i4>
      </vt:variant>
      <vt:variant>
        <vt:lpwstr/>
      </vt:variant>
      <vt:variant>
        <vt:lpwstr>_Toc190935774</vt:lpwstr>
      </vt:variant>
      <vt:variant>
        <vt:i4>1376309</vt:i4>
      </vt:variant>
      <vt:variant>
        <vt:i4>332</vt:i4>
      </vt:variant>
      <vt:variant>
        <vt:i4>0</vt:i4>
      </vt:variant>
      <vt:variant>
        <vt:i4>5</vt:i4>
      </vt:variant>
      <vt:variant>
        <vt:lpwstr/>
      </vt:variant>
      <vt:variant>
        <vt:lpwstr>_Toc190935773</vt:lpwstr>
      </vt:variant>
      <vt:variant>
        <vt:i4>1376309</vt:i4>
      </vt:variant>
      <vt:variant>
        <vt:i4>326</vt:i4>
      </vt:variant>
      <vt:variant>
        <vt:i4>0</vt:i4>
      </vt:variant>
      <vt:variant>
        <vt:i4>5</vt:i4>
      </vt:variant>
      <vt:variant>
        <vt:lpwstr/>
      </vt:variant>
      <vt:variant>
        <vt:lpwstr>_Toc190935772</vt:lpwstr>
      </vt:variant>
      <vt:variant>
        <vt:i4>1376309</vt:i4>
      </vt:variant>
      <vt:variant>
        <vt:i4>320</vt:i4>
      </vt:variant>
      <vt:variant>
        <vt:i4>0</vt:i4>
      </vt:variant>
      <vt:variant>
        <vt:i4>5</vt:i4>
      </vt:variant>
      <vt:variant>
        <vt:lpwstr/>
      </vt:variant>
      <vt:variant>
        <vt:lpwstr>_Toc190935771</vt:lpwstr>
      </vt:variant>
      <vt:variant>
        <vt:i4>1310773</vt:i4>
      </vt:variant>
      <vt:variant>
        <vt:i4>314</vt:i4>
      </vt:variant>
      <vt:variant>
        <vt:i4>0</vt:i4>
      </vt:variant>
      <vt:variant>
        <vt:i4>5</vt:i4>
      </vt:variant>
      <vt:variant>
        <vt:lpwstr/>
      </vt:variant>
      <vt:variant>
        <vt:lpwstr>_Toc190935769</vt:lpwstr>
      </vt:variant>
      <vt:variant>
        <vt:i4>1310773</vt:i4>
      </vt:variant>
      <vt:variant>
        <vt:i4>308</vt:i4>
      </vt:variant>
      <vt:variant>
        <vt:i4>0</vt:i4>
      </vt:variant>
      <vt:variant>
        <vt:i4>5</vt:i4>
      </vt:variant>
      <vt:variant>
        <vt:lpwstr/>
      </vt:variant>
      <vt:variant>
        <vt:lpwstr>_Toc190935768</vt:lpwstr>
      </vt:variant>
      <vt:variant>
        <vt:i4>1310773</vt:i4>
      </vt:variant>
      <vt:variant>
        <vt:i4>302</vt:i4>
      </vt:variant>
      <vt:variant>
        <vt:i4>0</vt:i4>
      </vt:variant>
      <vt:variant>
        <vt:i4>5</vt:i4>
      </vt:variant>
      <vt:variant>
        <vt:lpwstr/>
      </vt:variant>
      <vt:variant>
        <vt:lpwstr>_Toc190935767</vt:lpwstr>
      </vt:variant>
      <vt:variant>
        <vt:i4>1310773</vt:i4>
      </vt:variant>
      <vt:variant>
        <vt:i4>296</vt:i4>
      </vt:variant>
      <vt:variant>
        <vt:i4>0</vt:i4>
      </vt:variant>
      <vt:variant>
        <vt:i4>5</vt:i4>
      </vt:variant>
      <vt:variant>
        <vt:lpwstr/>
      </vt:variant>
      <vt:variant>
        <vt:lpwstr>_Toc190935766</vt:lpwstr>
      </vt:variant>
      <vt:variant>
        <vt:i4>1310773</vt:i4>
      </vt:variant>
      <vt:variant>
        <vt:i4>290</vt:i4>
      </vt:variant>
      <vt:variant>
        <vt:i4>0</vt:i4>
      </vt:variant>
      <vt:variant>
        <vt:i4>5</vt:i4>
      </vt:variant>
      <vt:variant>
        <vt:lpwstr/>
      </vt:variant>
      <vt:variant>
        <vt:lpwstr>_Toc190935765</vt:lpwstr>
      </vt:variant>
      <vt:variant>
        <vt:i4>1310773</vt:i4>
      </vt:variant>
      <vt:variant>
        <vt:i4>284</vt:i4>
      </vt:variant>
      <vt:variant>
        <vt:i4>0</vt:i4>
      </vt:variant>
      <vt:variant>
        <vt:i4>5</vt:i4>
      </vt:variant>
      <vt:variant>
        <vt:lpwstr/>
      </vt:variant>
      <vt:variant>
        <vt:lpwstr>_Toc190935764</vt:lpwstr>
      </vt:variant>
      <vt:variant>
        <vt:i4>1310773</vt:i4>
      </vt:variant>
      <vt:variant>
        <vt:i4>278</vt:i4>
      </vt:variant>
      <vt:variant>
        <vt:i4>0</vt:i4>
      </vt:variant>
      <vt:variant>
        <vt:i4>5</vt:i4>
      </vt:variant>
      <vt:variant>
        <vt:lpwstr/>
      </vt:variant>
      <vt:variant>
        <vt:lpwstr>_Toc190935763</vt:lpwstr>
      </vt:variant>
      <vt:variant>
        <vt:i4>1310773</vt:i4>
      </vt:variant>
      <vt:variant>
        <vt:i4>272</vt:i4>
      </vt:variant>
      <vt:variant>
        <vt:i4>0</vt:i4>
      </vt:variant>
      <vt:variant>
        <vt:i4>5</vt:i4>
      </vt:variant>
      <vt:variant>
        <vt:lpwstr/>
      </vt:variant>
      <vt:variant>
        <vt:lpwstr>_Toc190935762</vt:lpwstr>
      </vt:variant>
      <vt:variant>
        <vt:i4>1310773</vt:i4>
      </vt:variant>
      <vt:variant>
        <vt:i4>266</vt:i4>
      </vt:variant>
      <vt:variant>
        <vt:i4>0</vt:i4>
      </vt:variant>
      <vt:variant>
        <vt:i4>5</vt:i4>
      </vt:variant>
      <vt:variant>
        <vt:lpwstr/>
      </vt:variant>
      <vt:variant>
        <vt:lpwstr>_Toc190935761</vt:lpwstr>
      </vt:variant>
      <vt:variant>
        <vt:i4>1310773</vt:i4>
      </vt:variant>
      <vt:variant>
        <vt:i4>260</vt:i4>
      </vt:variant>
      <vt:variant>
        <vt:i4>0</vt:i4>
      </vt:variant>
      <vt:variant>
        <vt:i4>5</vt:i4>
      </vt:variant>
      <vt:variant>
        <vt:lpwstr/>
      </vt:variant>
      <vt:variant>
        <vt:lpwstr>_Toc190935760</vt:lpwstr>
      </vt:variant>
      <vt:variant>
        <vt:i4>1507381</vt:i4>
      </vt:variant>
      <vt:variant>
        <vt:i4>254</vt:i4>
      </vt:variant>
      <vt:variant>
        <vt:i4>0</vt:i4>
      </vt:variant>
      <vt:variant>
        <vt:i4>5</vt:i4>
      </vt:variant>
      <vt:variant>
        <vt:lpwstr/>
      </vt:variant>
      <vt:variant>
        <vt:lpwstr>_Toc190935759</vt:lpwstr>
      </vt:variant>
      <vt:variant>
        <vt:i4>1507381</vt:i4>
      </vt:variant>
      <vt:variant>
        <vt:i4>248</vt:i4>
      </vt:variant>
      <vt:variant>
        <vt:i4>0</vt:i4>
      </vt:variant>
      <vt:variant>
        <vt:i4>5</vt:i4>
      </vt:variant>
      <vt:variant>
        <vt:lpwstr/>
      </vt:variant>
      <vt:variant>
        <vt:lpwstr>_Toc190935758</vt:lpwstr>
      </vt:variant>
      <vt:variant>
        <vt:i4>1507381</vt:i4>
      </vt:variant>
      <vt:variant>
        <vt:i4>242</vt:i4>
      </vt:variant>
      <vt:variant>
        <vt:i4>0</vt:i4>
      </vt:variant>
      <vt:variant>
        <vt:i4>5</vt:i4>
      </vt:variant>
      <vt:variant>
        <vt:lpwstr/>
      </vt:variant>
      <vt:variant>
        <vt:lpwstr>_Toc190935757</vt:lpwstr>
      </vt:variant>
      <vt:variant>
        <vt:i4>1507381</vt:i4>
      </vt:variant>
      <vt:variant>
        <vt:i4>236</vt:i4>
      </vt:variant>
      <vt:variant>
        <vt:i4>0</vt:i4>
      </vt:variant>
      <vt:variant>
        <vt:i4>5</vt:i4>
      </vt:variant>
      <vt:variant>
        <vt:lpwstr/>
      </vt:variant>
      <vt:variant>
        <vt:lpwstr>_Toc190935756</vt:lpwstr>
      </vt:variant>
      <vt:variant>
        <vt:i4>1507381</vt:i4>
      </vt:variant>
      <vt:variant>
        <vt:i4>230</vt:i4>
      </vt:variant>
      <vt:variant>
        <vt:i4>0</vt:i4>
      </vt:variant>
      <vt:variant>
        <vt:i4>5</vt:i4>
      </vt:variant>
      <vt:variant>
        <vt:lpwstr/>
      </vt:variant>
      <vt:variant>
        <vt:lpwstr>_Toc190935755</vt:lpwstr>
      </vt:variant>
      <vt:variant>
        <vt:i4>1507381</vt:i4>
      </vt:variant>
      <vt:variant>
        <vt:i4>224</vt:i4>
      </vt:variant>
      <vt:variant>
        <vt:i4>0</vt:i4>
      </vt:variant>
      <vt:variant>
        <vt:i4>5</vt:i4>
      </vt:variant>
      <vt:variant>
        <vt:lpwstr/>
      </vt:variant>
      <vt:variant>
        <vt:lpwstr>_Toc190935754</vt:lpwstr>
      </vt:variant>
      <vt:variant>
        <vt:i4>1507381</vt:i4>
      </vt:variant>
      <vt:variant>
        <vt:i4>218</vt:i4>
      </vt:variant>
      <vt:variant>
        <vt:i4>0</vt:i4>
      </vt:variant>
      <vt:variant>
        <vt:i4>5</vt:i4>
      </vt:variant>
      <vt:variant>
        <vt:lpwstr/>
      </vt:variant>
      <vt:variant>
        <vt:lpwstr>_Toc190935753</vt:lpwstr>
      </vt:variant>
      <vt:variant>
        <vt:i4>1507381</vt:i4>
      </vt:variant>
      <vt:variant>
        <vt:i4>212</vt:i4>
      </vt:variant>
      <vt:variant>
        <vt:i4>0</vt:i4>
      </vt:variant>
      <vt:variant>
        <vt:i4>5</vt:i4>
      </vt:variant>
      <vt:variant>
        <vt:lpwstr/>
      </vt:variant>
      <vt:variant>
        <vt:lpwstr>_Toc190935752</vt:lpwstr>
      </vt:variant>
      <vt:variant>
        <vt:i4>1507381</vt:i4>
      </vt:variant>
      <vt:variant>
        <vt:i4>206</vt:i4>
      </vt:variant>
      <vt:variant>
        <vt:i4>0</vt:i4>
      </vt:variant>
      <vt:variant>
        <vt:i4>5</vt:i4>
      </vt:variant>
      <vt:variant>
        <vt:lpwstr/>
      </vt:variant>
      <vt:variant>
        <vt:lpwstr>_Toc190935751</vt:lpwstr>
      </vt:variant>
      <vt:variant>
        <vt:i4>1507381</vt:i4>
      </vt:variant>
      <vt:variant>
        <vt:i4>200</vt:i4>
      </vt:variant>
      <vt:variant>
        <vt:i4>0</vt:i4>
      </vt:variant>
      <vt:variant>
        <vt:i4>5</vt:i4>
      </vt:variant>
      <vt:variant>
        <vt:lpwstr/>
      </vt:variant>
      <vt:variant>
        <vt:lpwstr>_Toc190935750</vt:lpwstr>
      </vt:variant>
      <vt:variant>
        <vt:i4>1441845</vt:i4>
      </vt:variant>
      <vt:variant>
        <vt:i4>194</vt:i4>
      </vt:variant>
      <vt:variant>
        <vt:i4>0</vt:i4>
      </vt:variant>
      <vt:variant>
        <vt:i4>5</vt:i4>
      </vt:variant>
      <vt:variant>
        <vt:lpwstr/>
      </vt:variant>
      <vt:variant>
        <vt:lpwstr>_Toc190935749</vt:lpwstr>
      </vt:variant>
      <vt:variant>
        <vt:i4>1441845</vt:i4>
      </vt:variant>
      <vt:variant>
        <vt:i4>188</vt:i4>
      </vt:variant>
      <vt:variant>
        <vt:i4>0</vt:i4>
      </vt:variant>
      <vt:variant>
        <vt:i4>5</vt:i4>
      </vt:variant>
      <vt:variant>
        <vt:lpwstr/>
      </vt:variant>
      <vt:variant>
        <vt:lpwstr>_Toc190935748</vt:lpwstr>
      </vt:variant>
      <vt:variant>
        <vt:i4>1441845</vt:i4>
      </vt:variant>
      <vt:variant>
        <vt:i4>182</vt:i4>
      </vt:variant>
      <vt:variant>
        <vt:i4>0</vt:i4>
      </vt:variant>
      <vt:variant>
        <vt:i4>5</vt:i4>
      </vt:variant>
      <vt:variant>
        <vt:lpwstr/>
      </vt:variant>
      <vt:variant>
        <vt:lpwstr>_Toc190935747</vt:lpwstr>
      </vt:variant>
      <vt:variant>
        <vt:i4>1441845</vt:i4>
      </vt:variant>
      <vt:variant>
        <vt:i4>176</vt:i4>
      </vt:variant>
      <vt:variant>
        <vt:i4>0</vt:i4>
      </vt:variant>
      <vt:variant>
        <vt:i4>5</vt:i4>
      </vt:variant>
      <vt:variant>
        <vt:lpwstr/>
      </vt:variant>
      <vt:variant>
        <vt:lpwstr>_Toc190935746</vt:lpwstr>
      </vt:variant>
      <vt:variant>
        <vt:i4>1441845</vt:i4>
      </vt:variant>
      <vt:variant>
        <vt:i4>170</vt:i4>
      </vt:variant>
      <vt:variant>
        <vt:i4>0</vt:i4>
      </vt:variant>
      <vt:variant>
        <vt:i4>5</vt:i4>
      </vt:variant>
      <vt:variant>
        <vt:lpwstr/>
      </vt:variant>
      <vt:variant>
        <vt:lpwstr>_Toc190935745</vt:lpwstr>
      </vt:variant>
      <vt:variant>
        <vt:i4>1441845</vt:i4>
      </vt:variant>
      <vt:variant>
        <vt:i4>164</vt:i4>
      </vt:variant>
      <vt:variant>
        <vt:i4>0</vt:i4>
      </vt:variant>
      <vt:variant>
        <vt:i4>5</vt:i4>
      </vt:variant>
      <vt:variant>
        <vt:lpwstr/>
      </vt:variant>
      <vt:variant>
        <vt:lpwstr>_Toc190935744</vt:lpwstr>
      </vt:variant>
      <vt:variant>
        <vt:i4>1441845</vt:i4>
      </vt:variant>
      <vt:variant>
        <vt:i4>158</vt:i4>
      </vt:variant>
      <vt:variant>
        <vt:i4>0</vt:i4>
      </vt:variant>
      <vt:variant>
        <vt:i4>5</vt:i4>
      </vt:variant>
      <vt:variant>
        <vt:lpwstr/>
      </vt:variant>
      <vt:variant>
        <vt:lpwstr>_Toc190935743</vt:lpwstr>
      </vt:variant>
      <vt:variant>
        <vt:i4>1441845</vt:i4>
      </vt:variant>
      <vt:variant>
        <vt:i4>152</vt:i4>
      </vt:variant>
      <vt:variant>
        <vt:i4>0</vt:i4>
      </vt:variant>
      <vt:variant>
        <vt:i4>5</vt:i4>
      </vt:variant>
      <vt:variant>
        <vt:lpwstr/>
      </vt:variant>
      <vt:variant>
        <vt:lpwstr>_Toc190935742</vt:lpwstr>
      </vt:variant>
      <vt:variant>
        <vt:i4>1441845</vt:i4>
      </vt:variant>
      <vt:variant>
        <vt:i4>146</vt:i4>
      </vt:variant>
      <vt:variant>
        <vt:i4>0</vt:i4>
      </vt:variant>
      <vt:variant>
        <vt:i4>5</vt:i4>
      </vt:variant>
      <vt:variant>
        <vt:lpwstr/>
      </vt:variant>
      <vt:variant>
        <vt:lpwstr>_Toc190935741</vt:lpwstr>
      </vt:variant>
      <vt:variant>
        <vt:i4>1441845</vt:i4>
      </vt:variant>
      <vt:variant>
        <vt:i4>140</vt:i4>
      </vt:variant>
      <vt:variant>
        <vt:i4>0</vt:i4>
      </vt:variant>
      <vt:variant>
        <vt:i4>5</vt:i4>
      </vt:variant>
      <vt:variant>
        <vt:lpwstr/>
      </vt:variant>
      <vt:variant>
        <vt:lpwstr>_Toc190935740</vt:lpwstr>
      </vt:variant>
      <vt:variant>
        <vt:i4>1114165</vt:i4>
      </vt:variant>
      <vt:variant>
        <vt:i4>134</vt:i4>
      </vt:variant>
      <vt:variant>
        <vt:i4>0</vt:i4>
      </vt:variant>
      <vt:variant>
        <vt:i4>5</vt:i4>
      </vt:variant>
      <vt:variant>
        <vt:lpwstr/>
      </vt:variant>
      <vt:variant>
        <vt:lpwstr>_Toc190935739</vt:lpwstr>
      </vt:variant>
      <vt:variant>
        <vt:i4>1114165</vt:i4>
      </vt:variant>
      <vt:variant>
        <vt:i4>128</vt:i4>
      </vt:variant>
      <vt:variant>
        <vt:i4>0</vt:i4>
      </vt:variant>
      <vt:variant>
        <vt:i4>5</vt:i4>
      </vt:variant>
      <vt:variant>
        <vt:lpwstr/>
      </vt:variant>
      <vt:variant>
        <vt:lpwstr>_Toc190935738</vt:lpwstr>
      </vt:variant>
      <vt:variant>
        <vt:i4>1114165</vt:i4>
      </vt:variant>
      <vt:variant>
        <vt:i4>122</vt:i4>
      </vt:variant>
      <vt:variant>
        <vt:i4>0</vt:i4>
      </vt:variant>
      <vt:variant>
        <vt:i4>5</vt:i4>
      </vt:variant>
      <vt:variant>
        <vt:lpwstr/>
      </vt:variant>
      <vt:variant>
        <vt:lpwstr>_Toc190935737</vt:lpwstr>
      </vt:variant>
      <vt:variant>
        <vt:i4>1114165</vt:i4>
      </vt:variant>
      <vt:variant>
        <vt:i4>116</vt:i4>
      </vt:variant>
      <vt:variant>
        <vt:i4>0</vt:i4>
      </vt:variant>
      <vt:variant>
        <vt:i4>5</vt:i4>
      </vt:variant>
      <vt:variant>
        <vt:lpwstr/>
      </vt:variant>
      <vt:variant>
        <vt:lpwstr>_Toc190935736</vt:lpwstr>
      </vt:variant>
      <vt:variant>
        <vt:i4>1114165</vt:i4>
      </vt:variant>
      <vt:variant>
        <vt:i4>110</vt:i4>
      </vt:variant>
      <vt:variant>
        <vt:i4>0</vt:i4>
      </vt:variant>
      <vt:variant>
        <vt:i4>5</vt:i4>
      </vt:variant>
      <vt:variant>
        <vt:lpwstr/>
      </vt:variant>
      <vt:variant>
        <vt:lpwstr>_Toc190935735</vt:lpwstr>
      </vt:variant>
      <vt:variant>
        <vt:i4>1114165</vt:i4>
      </vt:variant>
      <vt:variant>
        <vt:i4>104</vt:i4>
      </vt:variant>
      <vt:variant>
        <vt:i4>0</vt:i4>
      </vt:variant>
      <vt:variant>
        <vt:i4>5</vt:i4>
      </vt:variant>
      <vt:variant>
        <vt:lpwstr/>
      </vt:variant>
      <vt:variant>
        <vt:lpwstr>_Toc190935734</vt:lpwstr>
      </vt:variant>
      <vt:variant>
        <vt:i4>1114165</vt:i4>
      </vt:variant>
      <vt:variant>
        <vt:i4>98</vt:i4>
      </vt:variant>
      <vt:variant>
        <vt:i4>0</vt:i4>
      </vt:variant>
      <vt:variant>
        <vt:i4>5</vt:i4>
      </vt:variant>
      <vt:variant>
        <vt:lpwstr/>
      </vt:variant>
      <vt:variant>
        <vt:lpwstr>_Toc190935733</vt:lpwstr>
      </vt:variant>
      <vt:variant>
        <vt:i4>1114165</vt:i4>
      </vt:variant>
      <vt:variant>
        <vt:i4>92</vt:i4>
      </vt:variant>
      <vt:variant>
        <vt:i4>0</vt:i4>
      </vt:variant>
      <vt:variant>
        <vt:i4>5</vt:i4>
      </vt:variant>
      <vt:variant>
        <vt:lpwstr/>
      </vt:variant>
      <vt:variant>
        <vt:lpwstr>_Toc190935732</vt:lpwstr>
      </vt:variant>
      <vt:variant>
        <vt:i4>1114165</vt:i4>
      </vt:variant>
      <vt:variant>
        <vt:i4>86</vt:i4>
      </vt:variant>
      <vt:variant>
        <vt:i4>0</vt:i4>
      </vt:variant>
      <vt:variant>
        <vt:i4>5</vt:i4>
      </vt:variant>
      <vt:variant>
        <vt:lpwstr/>
      </vt:variant>
      <vt:variant>
        <vt:lpwstr>_Toc190935731</vt:lpwstr>
      </vt:variant>
      <vt:variant>
        <vt:i4>1114165</vt:i4>
      </vt:variant>
      <vt:variant>
        <vt:i4>80</vt:i4>
      </vt:variant>
      <vt:variant>
        <vt:i4>0</vt:i4>
      </vt:variant>
      <vt:variant>
        <vt:i4>5</vt:i4>
      </vt:variant>
      <vt:variant>
        <vt:lpwstr/>
      </vt:variant>
      <vt:variant>
        <vt:lpwstr>_Toc190935730</vt:lpwstr>
      </vt:variant>
      <vt:variant>
        <vt:i4>1048629</vt:i4>
      </vt:variant>
      <vt:variant>
        <vt:i4>74</vt:i4>
      </vt:variant>
      <vt:variant>
        <vt:i4>0</vt:i4>
      </vt:variant>
      <vt:variant>
        <vt:i4>5</vt:i4>
      </vt:variant>
      <vt:variant>
        <vt:lpwstr/>
      </vt:variant>
      <vt:variant>
        <vt:lpwstr>_Toc190935729</vt:lpwstr>
      </vt:variant>
      <vt:variant>
        <vt:i4>1048629</vt:i4>
      </vt:variant>
      <vt:variant>
        <vt:i4>68</vt:i4>
      </vt:variant>
      <vt:variant>
        <vt:i4>0</vt:i4>
      </vt:variant>
      <vt:variant>
        <vt:i4>5</vt:i4>
      </vt:variant>
      <vt:variant>
        <vt:lpwstr/>
      </vt:variant>
      <vt:variant>
        <vt:lpwstr>_Toc190935728</vt:lpwstr>
      </vt:variant>
      <vt:variant>
        <vt:i4>1048629</vt:i4>
      </vt:variant>
      <vt:variant>
        <vt:i4>62</vt:i4>
      </vt:variant>
      <vt:variant>
        <vt:i4>0</vt:i4>
      </vt:variant>
      <vt:variant>
        <vt:i4>5</vt:i4>
      </vt:variant>
      <vt:variant>
        <vt:lpwstr/>
      </vt:variant>
      <vt:variant>
        <vt:lpwstr>_Toc190935727</vt:lpwstr>
      </vt:variant>
      <vt:variant>
        <vt:i4>1048629</vt:i4>
      </vt:variant>
      <vt:variant>
        <vt:i4>56</vt:i4>
      </vt:variant>
      <vt:variant>
        <vt:i4>0</vt:i4>
      </vt:variant>
      <vt:variant>
        <vt:i4>5</vt:i4>
      </vt:variant>
      <vt:variant>
        <vt:lpwstr/>
      </vt:variant>
      <vt:variant>
        <vt:lpwstr>_Toc190935726</vt:lpwstr>
      </vt:variant>
      <vt:variant>
        <vt:i4>1048629</vt:i4>
      </vt:variant>
      <vt:variant>
        <vt:i4>50</vt:i4>
      </vt:variant>
      <vt:variant>
        <vt:i4>0</vt:i4>
      </vt:variant>
      <vt:variant>
        <vt:i4>5</vt:i4>
      </vt:variant>
      <vt:variant>
        <vt:lpwstr/>
      </vt:variant>
      <vt:variant>
        <vt:lpwstr>_Toc190935725</vt:lpwstr>
      </vt:variant>
      <vt:variant>
        <vt:i4>1048629</vt:i4>
      </vt:variant>
      <vt:variant>
        <vt:i4>44</vt:i4>
      </vt:variant>
      <vt:variant>
        <vt:i4>0</vt:i4>
      </vt:variant>
      <vt:variant>
        <vt:i4>5</vt:i4>
      </vt:variant>
      <vt:variant>
        <vt:lpwstr/>
      </vt:variant>
      <vt:variant>
        <vt:lpwstr>_Toc190935724</vt:lpwstr>
      </vt:variant>
      <vt:variant>
        <vt:i4>1048629</vt:i4>
      </vt:variant>
      <vt:variant>
        <vt:i4>38</vt:i4>
      </vt:variant>
      <vt:variant>
        <vt:i4>0</vt:i4>
      </vt:variant>
      <vt:variant>
        <vt:i4>5</vt:i4>
      </vt:variant>
      <vt:variant>
        <vt:lpwstr/>
      </vt:variant>
      <vt:variant>
        <vt:lpwstr>_Toc190935723</vt:lpwstr>
      </vt:variant>
      <vt:variant>
        <vt:i4>1048629</vt:i4>
      </vt:variant>
      <vt:variant>
        <vt:i4>32</vt:i4>
      </vt:variant>
      <vt:variant>
        <vt:i4>0</vt:i4>
      </vt:variant>
      <vt:variant>
        <vt:i4>5</vt:i4>
      </vt:variant>
      <vt:variant>
        <vt:lpwstr/>
      </vt:variant>
      <vt:variant>
        <vt:lpwstr>_Toc190935722</vt:lpwstr>
      </vt:variant>
      <vt:variant>
        <vt:i4>1048629</vt:i4>
      </vt:variant>
      <vt:variant>
        <vt:i4>26</vt:i4>
      </vt:variant>
      <vt:variant>
        <vt:i4>0</vt:i4>
      </vt:variant>
      <vt:variant>
        <vt:i4>5</vt:i4>
      </vt:variant>
      <vt:variant>
        <vt:lpwstr/>
      </vt:variant>
      <vt:variant>
        <vt:lpwstr>_Toc190935721</vt:lpwstr>
      </vt:variant>
      <vt:variant>
        <vt:i4>1048629</vt:i4>
      </vt:variant>
      <vt:variant>
        <vt:i4>20</vt:i4>
      </vt:variant>
      <vt:variant>
        <vt:i4>0</vt:i4>
      </vt:variant>
      <vt:variant>
        <vt:i4>5</vt:i4>
      </vt:variant>
      <vt:variant>
        <vt:lpwstr/>
      </vt:variant>
      <vt:variant>
        <vt:lpwstr>_Toc190935720</vt:lpwstr>
      </vt:variant>
      <vt:variant>
        <vt:i4>1245237</vt:i4>
      </vt:variant>
      <vt:variant>
        <vt:i4>14</vt:i4>
      </vt:variant>
      <vt:variant>
        <vt:i4>0</vt:i4>
      </vt:variant>
      <vt:variant>
        <vt:i4>5</vt:i4>
      </vt:variant>
      <vt:variant>
        <vt:lpwstr/>
      </vt:variant>
      <vt:variant>
        <vt:lpwstr>_Toc190935719</vt:lpwstr>
      </vt:variant>
      <vt:variant>
        <vt:i4>1245237</vt:i4>
      </vt:variant>
      <vt:variant>
        <vt:i4>8</vt:i4>
      </vt:variant>
      <vt:variant>
        <vt:i4>0</vt:i4>
      </vt:variant>
      <vt:variant>
        <vt:i4>5</vt:i4>
      </vt:variant>
      <vt:variant>
        <vt:lpwstr/>
      </vt:variant>
      <vt:variant>
        <vt:lpwstr>_Toc190935718</vt:lpwstr>
      </vt:variant>
      <vt:variant>
        <vt:i4>1245237</vt:i4>
      </vt:variant>
      <vt:variant>
        <vt:i4>2</vt:i4>
      </vt:variant>
      <vt:variant>
        <vt:i4>0</vt:i4>
      </vt:variant>
      <vt:variant>
        <vt:i4>5</vt:i4>
      </vt:variant>
      <vt:variant>
        <vt:lpwstr/>
      </vt:variant>
      <vt:variant>
        <vt:lpwstr>_Toc190935717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兴兴新能源现状评价</dc:title>
  <dc:subject/>
  <dc:creator>tkkyang</dc:creator>
  <cp:keywords/>
  <cp:lastModifiedBy>清 邓</cp:lastModifiedBy>
  <cp:revision>2</cp:revision>
  <cp:lastPrinted>2025-06-09T07:08:00Z</cp:lastPrinted>
  <dcterms:created xsi:type="dcterms:W3CDTF">2025-07-07T06:09:00Z</dcterms:created>
  <dcterms:modified xsi:type="dcterms:W3CDTF">2025-07-07T06:09:00Z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EDA69AB2A6F0452E827DFDC014A94A1F</vt:lpwstr>
  </property>
</Properties>
</file>